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CBF4" w14:textId="3FD08429" w:rsidR="00512D1C" w:rsidRPr="008226ED" w:rsidRDefault="00BB4704" w:rsidP="00BB4704">
      <w:pPr>
        <w:spacing w:line="360" w:lineRule="auto"/>
        <w:ind w:firstLine="720"/>
        <w:jc w:val="center"/>
        <w:rPr>
          <w:rFonts w:ascii="Times New Roman" w:hAnsi="Times New Roman" w:cs="Times New Roman"/>
          <w:b/>
          <w:bCs/>
          <w:sz w:val="24"/>
          <w:szCs w:val="24"/>
          <w:lang w:val="bg-BG"/>
        </w:rPr>
      </w:pPr>
      <w:r w:rsidRPr="008226ED">
        <w:rPr>
          <w:rFonts w:ascii="Times New Roman" w:hAnsi="Times New Roman" w:cs="Times New Roman"/>
          <w:b/>
          <w:bCs/>
          <w:sz w:val="24"/>
          <w:szCs w:val="24"/>
        </w:rPr>
        <w:t>Мониторинг на селскостопанската политика в България за периода</w:t>
      </w:r>
      <w:r w:rsidRPr="008226ED">
        <w:rPr>
          <w:rFonts w:ascii="Times New Roman" w:hAnsi="Times New Roman" w:cs="Times New Roman"/>
          <w:b/>
          <w:bCs/>
          <w:sz w:val="24"/>
          <w:szCs w:val="24"/>
          <w:lang w:val="bg-BG"/>
        </w:rPr>
        <w:t xml:space="preserve"> </w:t>
      </w:r>
      <w:r w:rsidRPr="008226ED">
        <w:rPr>
          <w:rFonts w:ascii="Times New Roman" w:hAnsi="Times New Roman" w:cs="Times New Roman"/>
          <w:b/>
          <w:bCs/>
          <w:sz w:val="24"/>
          <w:szCs w:val="24"/>
        </w:rPr>
        <w:t>2014-2020 и резултати от ПРСР</w:t>
      </w:r>
    </w:p>
    <w:p w14:paraId="62B1944D" w14:textId="77777777" w:rsidR="006C1F23" w:rsidRPr="008226ED" w:rsidRDefault="006C1F23">
      <w:pPr>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br w:type="page"/>
      </w:r>
    </w:p>
    <w:p w14:paraId="739B7378" w14:textId="2DA9B5D6" w:rsidR="006C1F23" w:rsidRPr="008226ED" w:rsidRDefault="006C1F23" w:rsidP="006C1F23">
      <w:pPr>
        <w:spacing w:line="360" w:lineRule="auto"/>
        <w:ind w:firstLine="720"/>
        <w:jc w:val="center"/>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lastRenderedPageBreak/>
        <w:t>Съдържание</w:t>
      </w:r>
    </w:p>
    <w:p w14:paraId="7FB3E97D" w14:textId="1DFFA64C" w:rsidR="00BB4704" w:rsidRPr="008226ED" w:rsidRDefault="00BB4704" w:rsidP="00BB4704">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Увод</w:t>
      </w:r>
    </w:p>
    <w:p w14:paraId="1CCC6676" w14:textId="77777777" w:rsidR="00BB4704" w:rsidRPr="008226ED" w:rsidRDefault="00BB4704" w:rsidP="00BB4704">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Първа глава. Теоретични основи и стратегически рамки на селскостопанската политика</w:t>
      </w:r>
    </w:p>
    <w:p w14:paraId="688389F7" w14:textId="77777777" w:rsidR="00BB4704" w:rsidRPr="008226ED" w:rsidRDefault="00BB4704" w:rsidP="00BB470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1.1. Същност и цели на Общата селскостопанска политика на ЕС</w:t>
      </w:r>
    </w:p>
    <w:p w14:paraId="1950C56A" w14:textId="77777777" w:rsidR="00BB4704" w:rsidRPr="008226ED" w:rsidRDefault="00BB4704" w:rsidP="00BB470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1.2. Механизми и инструменти на ОСП в програмния период 2014–2020</w:t>
      </w:r>
    </w:p>
    <w:p w14:paraId="4AB23093" w14:textId="77777777" w:rsidR="00BB4704" w:rsidRPr="008226ED" w:rsidRDefault="00BB4704" w:rsidP="00BB470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1.3. Място и роля на Програмата за развитие на селските райони в рамките на ОСП</w:t>
      </w:r>
    </w:p>
    <w:p w14:paraId="1ACC0A4A" w14:textId="0EA4B73D" w:rsidR="006C1F23" w:rsidRPr="008226ED" w:rsidRDefault="00BB4704" w:rsidP="00BB470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 xml:space="preserve">1.4. </w:t>
      </w:r>
      <w:r w:rsidR="006C1F23" w:rsidRPr="008226ED">
        <w:rPr>
          <w:rFonts w:ascii="Times New Roman" w:hAnsi="Times New Roman" w:cs="Times New Roman"/>
          <w:sz w:val="24"/>
          <w:szCs w:val="24"/>
          <w:lang w:val="bg-BG"/>
        </w:rPr>
        <w:t>Изразходване на публични средства в рамките на ОСП – мониториинг и добри практики</w:t>
      </w:r>
    </w:p>
    <w:p w14:paraId="41AB59A7" w14:textId="0DCDFBE6" w:rsidR="00BB4704" w:rsidRPr="008226ED" w:rsidRDefault="00BB4704" w:rsidP="00BB4704">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Втора глава. Методология на мониторинга на ПРСР 2014–2020</w:t>
      </w:r>
    </w:p>
    <w:p w14:paraId="659B343B" w14:textId="77777777" w:rsidR="00BB4704" w:rsidRPr="008226ED" w:rsidRDefault="00BB4704" w:rsidP="00BB470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2.1. Методологични принципи за оценка на политиките в земеделието</w:t>
      </w:r>
    </w:p>
    <w:p w14:paraId="0E2FB01A" w14:textId="77777777" w:rsidR="00BB4704" w:rsidRPr="008226ED" w:rsidRDefault="00BB4704" w:rsidP="00BB470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2.2. Индикатори за мониторинг – видове, значение и нормативна уредба</w:t>
      </w:r>
    </w:p>
    <w:p w14:paraId="11F8F87B" w14:textId="32688C60" w:rsidR="00BB4704" w:rsidRPr="008226ED" w:rsidRDefault="00BB4704" w:rsidP="00BB470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2.4. Методи за анализ на ефективността</w:t>
      </w:r>
    </w:p>
    <w:p w14:paraId="38CC623C" w14:textId="77777777" w:rsidR="00BB4704" w:rsidRPr="008226ED" w:rsidRDefault="00BB4704" w:rsidP="00BB4704">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Трета глава. Анализ на резултатите от ПРСР 2014–2020 в България</w:t>
      </w:r>
    </w:p>
    <w:p w14:paraId="13E176A9" w14:textId="24865375" w:rsidR="00BB4704" w:rsidRPr="008226ED" w:rsidRDefault="00BB4704" w:rsidP="00BB470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3.1. Финансово изпълнение</w:t>
      </w:r>
    </w:p>
    <w:p w14:paraId="4B91E339" w14:textId="77777777" w:rsidR="00BB4704" w:rsidRPr="008226ED" w:rsidRDefault="00BB4704" w:rsidP="00BB470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3.2. Основни резултати и въздействие върху селското стопанство и селските райони</w:t>
      </w:r>
    </w:p>
    <w:p w14:paraId="335079B8" w14:textId="36C6D388" w:rsidR="00BB4704" w:rsidRPr="008226ED" w:rsidRDefault="00BB4704" w:rsidP="00BB470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3.3. Сравнение с други държави и изведени добри практики</w:t>
      </w:r>
    </w:p>
    <w:p w14:paraId="3B2EE082" w14:textId="4B01EDC5" w:rsidR="00BB4704" w:rsidRPr="008226ED" w:rsidRDefault="00BB4704" w:rsidP="00BB4704">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Заключение</w:t>
      </w:r>
    </w:p>
    <w:p w14:paraId="6816D3F1" w14:textId="2B268F1B" w:rsidR="00BB4704" w:rsidRPr="008226ED" w:rsidRDefault="00BB4704" w:rsidP="00BB4704">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 xml:space="preserve">Библиография </w:t>
      </w:r>
    </w:p>
    <w:p w14:paraId="79A7C66D" w14:textId="0EA33B55" w:rsidR="00BB4704" w:rsidRPr="008226ED" w:rsidRDefault="00BB4704" w:rsidP="00BB4704">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 xml:space="preserve">Приложения </w:t>
      </w:r>
    </w:p>
    <w:p w14:paraId="3398AC78" w14:textId="031D43A6" w:rsidR="006C1F23" w:rsidRPr="008226ED" w:rsidRDefault="006C1F23">
      <w:pPr>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br w:type="page"/>
      </w:r>
    </w:p>
    <w:p w14:paraId="172D5426" w14:textId="77777777"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lastRenderedPageBreak/>
        <w:t>Увод</w:t>
      </w:r>
    </w:p>
    <w:p w14:paraId="060FD5A5" w14:textId="783B316A" w:rsidR="00B20186" w:rsidRPr="008226ED" w:rsidRDefault="00B20186" w:rsidP="00B2018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Актуалността на изследването </w:t>
      </w:r>
      <w:r w:rsidRPr="008226ED">
        <w:rPr>
          <w:rFonts w:ascii="Times New Roman" w:hAnsi="Times New Roman" w:cs="Times New Roman"/>
          <w:sz w:val="24"/>
          <w:szCs w:val="24"/>
          <w:lang w:val="bg-BG"/>
        </w:rPr>
        <w:t xml:space="preserve">на мониторинга на селскостопанската политика в България за периода 2014-2020 и резултатите от ПРСР </w:t>
      </w:r>
      <w:r w:rsidRPr="008226ED">
        <w:rPr>
          <w:rFonts w:ascii="Times New Roman" w:hAnsi="Times New Roman" w:cs="Times New Roman"/>
          <w:sz w:val="24"/>
          <w:szCs w:val="24"/>
        </w:rPr>
        <w:t xml:space="preserve">произтича от </w:t>
      </w:r>
      <w:r w:rsidRPr="008226ED">
        <w:rPr>
          <w:rFonts w:ascii="Times New Roman" w:hAnsi="Times New Roman" w:cs="Times New Roman"/>
          <w:sz w:val="24"/>
          <w:szCs w:val="24"/>
          <w:lang w:val="bg-BG"/>
        </w:rPr>
        <w:t>факта</w:t>
      </w:r>
      <w:r w:rsidRPr="008226ED">
        <w:rPr>
          <w:rFonts w:ascii="Times New Roman" w:hAnsi="Times New Roman" w:cs="Times New Roman"/>
          <w:sz w:val="24"/>
          <w:szCs w:val="24"/>
        </w:rPr>
        <w:t>, че периодът 2014–2020 е първият цикъл, в който мониторингът на Общата селскостопанска политика се изгражда върху единна рамка с общи индикатори и електронни системи за данни, а България прилага Програмата за развитие на селските райони върху цялата си територия. Това превръща темата в ключова за разбирането как публичните средства се материализират в измерими продукти и резултати у нас, как се проследява напредъкът и къде веригата данни–управление–въздействие се къса.</w:t>
      </w:r>
    </w:p>
    <w:p w14:paraId="2883E187" w14:textId="77777777" w:rsidR="00B20186" w:rsidRPr="008226ED" w:rsidRDefault="00B20186" w:rsidP="00B2018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Значимостта е и практическа, защото ПРСР е основният канал за инвестиции в земеделието и селските райони в България и покрива широк спектър от интервенции: модернизация на стопанства и преработка, агроекологични и климатични ангажименти, биологично производство, райони с природни ограничения, LEADER/ВОМР и инструменти за управление на риска. Мониторингът на тези мерки показва не само обемите на договориране и плащане, а и реалните промени на терен – внедрени технологии, подобрена екологична практика, нови работни места и местни партньорства.</w:t>
      </w:r>
    </w:p>
    <w:p w14:paraId="666FAF90" w14:textId="00ABD2D5" w:rsidR="00B20186" w:rsidRPr="008226ED" w:rsidRDefault="00B20186" w:rsidP="00B2018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Изследването е релевантно за политиката, защото организира доказателствена база за ефективност и ефикасност: каква възвръщаемост носят </w:t>
      </w:r>
      <w:r w:rsidRPr="008226ED">
        <w:rPr>
          <w:rFonts w:ascii="Times New Roman" w:hAnsi="Times New Roman" w:cs="Times New Roman"/>
          <w:sz w:val="24"/>
          <w:szCs w:val="24"/>
          <w:lang w:val="bg-BG"/>
        </w:rPr>
        <w:t xml:space="preserve">плащанията </w:t>
      </w:r>
      <w:r w:rsidRPr="008226ED">
        <w:rPr>
          <w:rFonts w:ascii="Times New Roman" w:hAnsi="Times New Roman" w:cs="Times New Roman"/>
          <w:sz w:val="24"/>
          <w:szCs w:val="24"/>
        </w:rPr>
        <w:t>по различни мерки; кои дизайни на схеми водят до по-добро покритие на малки и средни стопанства; къде се наблюдават задръствания по процедурите и забавяния на плащанията; какво е съотношението между постигани резултати и административна тежест за бенефициентите. Подобен анализ дава инструмент за корекции в реално време и предотвратява цикличното повтаряне на слабости в следващия програмен период.</w:t>
      </w:r>
    </w:p>
    <w:p w14:paraId="65AF1801" w14:textId="7250A660" w:rsidR="00B20186" w:rsidRPr="008226ED" w:rsidRDefault="00B20186" w:rsidP="00B2018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И</w:t>
      </w:r>
      <w:r w:rsidRPr="008226ED">
        <w:rPr>
          <w:rFonts w:ascii="Times New Roman" w:hAnsi="Times New Roman" w:cs="Times New Roman"/>
          <w:sz w:val="24"/>
          <w:szCs w:val="24"/>
          <w:lang w:val="bg-BG"/>
        </w:rPr>
        <w:t xml:space="preserve">зследванвто има и </w:t>
      </w:r>
      <w:r w:rsidRPr="008226ED">
        <w:rPr>
          <w:rFonts w:ascii="Times New Roman" w:hAnsi="Times New Roman" w:cs="Times New Roman"/>
          <w:sz w:val="24"/>
          <w:szCs w:val="24"/>
        </w:rPr>
        <w:t>стойност за управлението на публичните финанси. Проследяването на показателите в динамика позволява да се идентифицират мерки с ниска изпълнимост, да се пренасочват бюджети към по-работещи интервенции и да се калибрират критерии за подбор, така че средствата да отиват там, където общественият ефект е най-голям. Това укрепва отчетността пред обществото и европейските институции и намалява риска от финансови корекции.</w:t>
      </w:r>
    </w:p>
    <w:p w14:paraId="0938BF66" w14:textId="77777777" w:rsidR="00B20186" w:rsidRPr="008226ED" w:rsidRDefault="00B20186" w:rsidP="00B2018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Научната и методологичната значимост е свързана с необходимостта да се свържат „</w:t>
      </w:r>
      <w:proofErr w:type="gramStart"/>
      <w:r w:rsidRPr="008226ED">
        <w:rPr>
          <w:rFonts w:ascii="Times New Roman" w:hAnsi="Times New Roman" w:cs="Times New Roman"/>
          <w:sz w:val="24"/>
          <w:szCs w:val="24"/>
        </w:rPr>
        <w:t>входовете“ и</w:t>
      </w:r>
      <w:proofErr w:type="gramEnd"/>
      <w:r w:rsidRPr="008226ED">
        <w:rPr>
          <w:rFonts w:ascii="Times New Roman" w:hAnsi="Times New Roman" w:cs="Times New Roman"/>
          <w:sz w:val="24"/>
          <w:szCs w:val="24"/>
        </w:rPr>
        <w:t xml:space="preserve"> „</w:t>
      </w:r>
      <w:proofErr w:type="gramStart"/>
      <w:r w:rsidRPr="008226ED">
        <w:rPr>
          <w:rFonts w:ascii="Times New Roman" w:hAnsi="Times New Roman" w:cs="Times New Roman"/>
          <w:sz w:val="24"/>
          <w:szCs w:val="24"/>
        </w:rPr>
        <w:t>изходите“ с</w:t>
      </w:r>
      <w:proofErr w:type="gramEnd"/>
      <w:r w:rsidRPr="008226ED">
        <w:rPr>
          <w:rFonts w:ascii="Times New Roman" w:hAnsi="Times New Roman" w:cs="Times New Roman"/>
          <w:sz w:val="24"/>
          <w:szCs w:val="24"/>
        </w:rPr>
        <w:t xml:space="preserve"> „</w:t>
      </w:r>
      <w:proofErr w:type="gramStart"/>
      <w:r w:rsidRPr="008226ED">
        <w:rPr>
          <w:rFonts w:ascii="Times New Roman" w:hAnsi="Times New Roman" w:cs="Times New Roman"/>
          <w:sz w:val="24"/>
          <w:szCs w:val="24"/>
        </w:rPr>
        <w:t>резултатите“ и</w:t>
      </w:r>
      <w:proofErr w:type="gramEnd"/>
      <w:r w:rsidRPr="008226ED">
        <w:rPr>
          <w:rFonts w:ascii="Times New Roman" w:hAnsi="Times New Roman" w:cs="Times New Roman"/>
          <w:sz w:val="24"/>
          <w:szCs w:val="24"/>
        </w:rPr>
        <w:t xml:space="preserve"> „</w:t>
      </w:r>
      <w:proofErr w:type="gramStart"/>
      <w:r w:rsidRPr="008226ED">
        <w:rPr>
          <w:rFonts w:ascii="Times New Roman" w:hAnsi="Times New Roman" w:cs="Times New Roman"/>
          <w:sz w:val="24"/>
          <w:szCs w:val="24"/>
        </w:rPr>
        <w:t>въздействието“</w:t>
      </w:r>
      <w:proofErr w:type="gramEnd"/>
      <w:r w:rsidRPr="008226ED">
        <w:rPr>
          <w:rFonts w:ascii="Times New Roman" w:hAnsi="Times New Roman" w:cs="Times New Roman"/>
          <w:sz w:val="24"/>
          <w:szCs w:val="24"/>
        </w:rPr>
        <w:t xml:space="preserve">, а не да се спира до изпълнение </w:t>
      </w:r>
      <w:r w:rsidRPr="008226ED">
        <w:rPr>
          <w:rFonts w:ascii="Times New Roman" w:hAnsi="Times New Roman" w:cs="Times New Roman"/>
          <w:sz w:val="24"/>
          <w:szCs w:val="24"/>
        </w:rPr>
        <w:lastRenderedPageBreak/>
        <w:t>по график. Българският контекст поставя допълнителни предизвикателства – фрагментация на стопанствата, регионални различия, чувствителни сектори и демографски натиск – които изискват фино таргетиране и качествени данни. Изследване, което сравнява мерки, региони и типове бенефициенти, донася ново знание за това кои комбинации работят и защо.</w:t>
      </w:r>
    </w:p>
    <w:p w14:paraId="61136825" w14:textId="77777777" w:rsidR="00B20186" w:rsidRPr="008226ED" w:rsidRDefault="00B20186" w:rsidP="00B2018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Темата има пряка значимост и за зеления преход и климатичната устойчивост. ПРСР 2014–2020 съдържа силни екологични компоненти, но реалният принос зависи от обхвата, качеството на поетите ангажименти и контрола върху тяхното изпълнение. Добре реализиран мониторинг показва дали агроекологичните практики и биологичното земеделие водят до измерими подобрения по почви, води и биоразнообразие, и какви корекции са нужни, за да се избегнат „</w:t>
      </w:r>
      <w:proofErr w:type="gramStart"/>
      <w:r w:rsidRPr="008226ED">
        <w:rPr>
          <w:rFonts w:ascii="Times New Roman" w:hAnsi="Times New Roman" w:cs="Times New Roman"/>
          <w:sz w:val="24"/>
          <w:szCs w:val="24"/>
        </w:rPr>
        <w:t>формални“ ангажименти</w:t>
      </w:r>
      <w:proofErr w:type="gramEnd"/>
      <w:r w:rsidRPr="008226ED">
        <w:rPr>
          <w:rFonts w:ascii="Times New Roman" w:hAnsi="Times New Roman" w:cs="Times New Roman"/>
          <w:sz w:val="24"/>
          <w:szCs w:val="24"/>
        </w:rPr>
        <w:t xml:space="preserve"> без ефект.</w:t>
      </w:r>
    </w:p>
    <w:p w14:paraId="408F4735" w14:textId="24B3766B" w:rsidR="00B20186" w:rsidRPr="008226ED" w:rsidRDefault="00B20186" w:rsidP="00B2018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lang w:val="bg-BG"/>
        </w:rPr>
        <w:t>Не на последно място</w:t>
      </w:r>
      <w:r w:rsidRPr="008226ED">
        <w:rPr>
          <w:rFonts w:ascii="Times New Roman" w:hAnsi="Times New Roman" w:cs="Times New Roman"/>
          <w:sz w:val="24"/>
          <w:szCs w:val="24"/>
        </w:rPr>
        <w:t>, изследването е актуално като мост към периода 2023–2027. Уроците от мониторинга на ПРСР 2014–2020 – за данните, индикаторите, процедурите и административния капацитет – са директно приложими в новата, базирана на резултати архитектура на ОСП. Колкото по-добре се разбере какво е работило и какво не в предходния цикъл, толкова по-ефективно ще бъдат реализирани еко-схемите, условността и националният стратегически план в настоящия период.</w:t>
      </w:r>
    </w:p>
    <w:p w14:paraId="4F17CE77" w14:textId="77777777" w:rsidR="00B20186" w:rsidRPr="008226ED" w:rsidRDefault="00B20186" w:rsidP="00B2018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Целта на изследването е цялостно да оцени как селскостопанската политика на ЕС и Програмата за развитие на селските райони са реализирани в България през 2014–2020 г., като измери ефективността и резултатността на интервенциите спрямо целите за конкурентоспособност, устойчиво управление на ресурсите и териториално развитие, установи кои механизми и управленски практики работят най-добре и формулира практически приложими изводи и препоръки за периода 2023–2027.</w:t>
      </w:r>
    </w:p>
    <w:p w14:paraId="4101FC76" w14:textId="62CBB7F9" w:rsidR="006C1F23" w:rsidRPr="008226ED" w:rsidRDefault="00B20186" w:rsidP="006C1F2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За постигане на така формулираната цел, изследването изпълнява следните задачи:</w:t>
      </w:r>
    </w:p>
    <w:p w14:paraId="2150D99D" w14:textId="77777777" w:rsidR="00B20186" w:rsidRPr="008226ED" w:rsidRDefault="00B20186" w:rsidP="00B20186">
      <w:pPr>
        <w:numPr>
          <w:ilvl w:val="0"/>
          <w:numId w:val="7"/>
        </w:numPr>
        <w:spacing w:line="360" w:lineRule="auto"/>
        <w:jc w:val="both"/>
        <w:rPr>
          <w:rFonts w:ascii="Times New Roman" w:hAnsi="Times New Roman" w:cs="Times New Roman"/>
          <w:sz w:val="24"/>
          <w:szCs w:val="24"/>
        </w:rPr>
      </w:pPr>
      <w:r w:rsidRPr="008226ED">
        <w:rPr>
          <w:rFonts w:ascii="Times New Roman" w:hAnsi="Times New Roman" w:cs="Times New Roman"/>
          <w:sz w:val="24"/>
          <w:szCs w:val="24"/>
        </w:rPr>
        <w:t>Да се направи кратък преглед на нормативната и аналитичната литература за ОСП и ПРСР 2014–2020.</w:t>
      </w:r>
    </w:p>
    <w:p w14:paraId="35B90F5D" w14:textId="77777777" w:rsidR="00B20186" w:rsidRPr="008226ED" w:rsidRDefault="00B20186" w:rsidP="00B20186">
      <w:pPr>
        <w:numPr>
          <w:ilvl w:val="0"/>
          <w:numId w:val="7"/>
        </w:numPr>
        <w:spacing w:line="360" w:lineRule="auto"/>
        <w:jc w:val="both"/>
        <w:rPr>
          <w:rFonts w:ascii="Times New Roman" w:hAnsi="Times New Roman" w:cs="Times New Roman"/>
          <w:sz w:val="24"/>
          <w:szCs w:val="24"/>
        </w:rPr>
      </w:pPr>
      <w:r w:rsidRPr="008226ED">
        <w:rPr>
          <w:rFonts w:ascii="Times New Roman" w:hAnsi="Times New Roman" w:cs="Times New Roman"/>
          <w:sz w:val="24"/>
          <w:szCs w:val="24"/>
        </w:rPr>
        <w:t>Да се съберат, почистят и структурират основните данни и индикатори за ПРСР; да се опише как работи мониторингът.</w:t>
      </w:r>
    </w:p>
    <w:p w14:paraId="178F2686" w14:textId="77777777" w:rsidR="00B20186" w:rsidRPr="008226ED" w:rsidRDefault="00B20186" w:rsidP="00B20186">
      <w:pPr>
        <w:numPr>
          <w:ilvl w:val="0"/>
          <w:numId w:val="7"/>
        </w:numPr>
        <w:spacing w:line="360" w:lineRule="auto"/>
        <w:jc w:val="both"/>
        <w:rPr>
          <w:rFonts w:ascii="Times New Roman" w:hAnsi="Times New Roman" w:cs="Times New Roman"/>
          <w:sz w:val="24"/>
          <w:szCs w:val="24"/>
        </w:rPr>
      </w:pPr>
      <w:r w:rsidRPr="008226ED">
        <w:rPr>
          <w:rFonts w:ascii="Times New Roman" w:hAnsi="Times New Roman" w:cs="Times New Roman"/>
          <w:sz w:val="24"/>
          <w:szCs w:val="24"/>
        </w:rPr>
        <w:t>Да се оцени финансовото изпълнение и основните резултати/въздействия по ключови мерки.</w:t>
      </w:r>
    </w:p>
    <w:p w14:paraId="69C59DF2" w14:textId="77777777" w:rsidR="00B20186" w:rsidRPr="008226ED" w:rsidRDefault="00B20186" w:rsidP="00B20186">
      <w:pPr>
        <w:numPr>
          <w:ilvl w:val="0"/>
          <w:numId w:val="7"/>
        </w:numPr>
        <w:spacing w:line="360" w:lineRule="auto"/>
        <w:jc w:val="both"/>
        <w:rPr>
          <w:rFonts w:ascii="Times New Roman" w:hAnsi="Times New Roman" w:cs="Times New Roman"/>
          <w:sz w:val="24"/>
          <w:szCs w:val="24"/>
        </w:rPr>
      </w:pPr>
      <w:r w:rsidRPr="008226ED">
        <w:rPr>
          <w:rFonts w:ascii="Times New Roman" w:hAnsi="Times New Roman" w:cs="Times New Roman"/>
          <w:sz w:val="24"/>
          <w:szCs w:val="24"/>
        </w:rPr>
        <w:t>Да се синтезират сравнения и добри практики и да се формулират изводи и конкретни препоръки.</w:t>
      </w:r>
    </w:p>
    <w:p w14:paraId="72C2E1F0" w14:textId="77777777" w:rsidR="00B20186" w:rsidRPr="008226ED" w:rsidRDefault="00B20186" w:rsidP="006C1F23">
      <w:pPr>
        <w:spacing w:line="360" w:lineRule="auto"/>
        <w:ind w:firstLine="720"/>
        <w:jc w:val="both"/>
        <w:rPr>
          <w:rFonts w:ascii="Times New Roman" w:hAnsi="Times New Roman" w:cs="Times New Roman"/>
          <w:sz w:val="24"/>
          <w:szCs w:val="24"/>
          <w:lang w:val="bg-BG"/>
        </w:rPr>
      </w:pPr>
    </w:p>
    <w:p w14:paraId="48ACD851" w14:textId="77777777" w:rsidR="00B20186" w:rsidRPr="008226ED" w:rsidRDefault="00B20186" w:rsidP="00B2018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Обект на изследването е селскостопанската политика в България през програмния период 2014–2020, разглеждана в рамката на Общата селскостопанска политика на ЕС и националната Програма за развитие на селските райони. Той обхваща институциите, правилата и финансовите механизми, чрез които се планират, финансират и управляват интервенциите в земеделието и селските райони на национално и регионално ниво.</w:t>
      </w:r>
    </w:p>
    <w:p w14:paraId="29F380CE" w14:textId="77777777" w:rsidR="00B20186" w:rsidRPr="008226ED" w:rsidRDefault="00B20186" w:rsidP="00B2018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Предмет на изследването са процесите и резултатите от мониторинга на ПРСР 2014–2020: системата от индикатори и източници на данни, процедурите по събиране, валидиране и отчетност, динамиката на договориране и плащанията, постигнатите продукти и резултати по ключови мерки, както и оценката на ефективността и въздействието върху стопанствата и селските общности. Предметът включва още идентифициране на добри практики и тесни места в управлението и отчитането, без да се навлиза в технологични аспекти на производството извън обхвата на мониторинга.</w:t>
      </w:r>
    </w:p>
    <w:p w14:paraId="0C1F3DEB" w14:textId="3BD9B1F5" w:rsidR="006C1F23" w:rsidRPr="008226ED" w:rsidRDefault="00006BCF" w:rsidP="006C1F2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Изследването аргументира следната т</w:t>
      </w:r>
      <w:r w:rsidR="006C1F23" w:rsidRPr="008226ED">
        <w:rPr>
          <w:rFonts w:ascii="Times New Roman" w:hAnsi="Times New Roman" w:cs="Times New Roman"/>
          <w:sz w:val="24"/>
          <w:szCs w:val="24"/>
          <w:lang w:val="bg-BG"/>
        </w:rPr>
        <w:t>еза</w:t>
      </w:r>
      <w:r w:rsidRPr="008226ED">
        <w:rPr>
          <w:rFonts w:ascii="Times New Roman" w:hAnsi="Times New Roman" w:cs="Times New Roman"/>
          <w:sz w:val="24"/>
          <w:szCs w:val="24"/>
          <w:lang w:val="bg-BG"/>
        </w:rPr>
        <w:t>: Качествен, данни-ориентиран мониторинг в рамката на ОСП превръща публичните разходи по ПРСР 2014–2020 в измерими резултати, но в България ефективността и въздействието варират значимо между мерките поради различия в дизайна на интервенциите, административния капацитет и практиките по отчитане; следователно подобряването на системата от индикатори, качеството на данните и таргетирането на подкрепата е ключът за по-висока резултатност през следващия програмен период.</w:t>
      </w:r>
    </w:p>
    <w:p w14:paraId="521602AD" w14:textId="77777777" w:rsidR="0091656E" w:rsidRPr="008226ED" w:rsidRDefault="0091656E" w:rsidP="0091656E">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Изследването прилага приложна, количествено-описателна методология, която стъпва на официални източници и изчисления: събиране на данни за ПРСР 2014–2020 от годишните доклади за изпълнение и приложенията им, публичните извлечения от SFC2014, отчетите на МЗм/ДФ „</w:t>
      </w:r>
      <w:proofErr w:type="gramStart"/>
      <w:r w:rsidRPr="008226ED">
        <w:rPr>
          <w:rFonts w:ascii="Times New Roman" w:hAnsi="Times New Roman" w:cs="Times New Roman"/>
          <w:sz w:val="24"/>
          <w:szCs w:val="24"/>
        </w:rPr>
        <w:t>Земеделие“ и</w:t>
      </w:r>
      <w:proofErr w:type="gramEnd"/>
      <w:r w:rsidRPr="008226ED">
        <w:rPr>
          <w:rFonts w:ascii="Times New Roman" w:hAnsi="Times New Roman" w:cs="Times New Roman"/>
          <w:sz w:val="24"/>
          <w:szCs w:val="24"/>
        </w:rPr>
        <w:t xml:space="preserve"> справочни серии от Eurostat.</w:t>
      </w:r>
      <w:r w:rsidRPr="008226ED">
        <w:rPr>
          <w:rFonts w:ascii="Times New Roman" w:hAnsi="Times New Roman" w:cs="Times New Roman"/>
          <w:sz w:val="24"/>
          <w:szCs w:val="24"/>
          <w:lang w:val="bg-BG"/>
        </w:rPr>
        <w:t xml:space="preserve"> </w:t>
      </w:r>
      <w:r w:rsidRPr="008226ED">
        <w:rPr>
          <w:rFonts w:ascii="Times New Roman" w:hAnsi="Times New Roman" w:cs="Times New Roman"/>
          <w:sz w:val="24"/>
          <w:szCs w:val="24"/>
        </w:rPr>
        <w:t xml:space="preserve">След това се подбира кратък набор от индикатори и се изчисляват показатели </w:t>
      </w:r>
      <w:r w:rsidRPr="008226ED">
        <w:rPr>
          <w:rFonts w:ascii="Times New Roman" w:hAnsi="Times New Roman" w:cs="Times New Roman"/>
          <w:sz w:val="24"/>
          <w:szCs w:val="24"/>
          <w:lang w:val="bg-BG"/>
        </w:rPr>
        <w:t>като</w:t>
      </w:r>
      <w:r w:rsidRPr="008226ED">
        <w:rPr>
          <w:rFonts w:ascii="Times New Roman" w:hAnsi="Times New Roman" w:cs="Times New Roman"/>
          <w:sz w:val="24"/>
          <w:szCs w:val="24"/>
        </w:rPr>
        <w:t xml:space="preserve"> степен на договориране и усвояване, среден размер на подкрепата, разпределения по мерки и региони. Анализът е описателен и проследява динамиката във времето, идентифицира участъци с изоставане или добри резултати и служи за формулиране на основни изводи и няколко конкретни препоръки. </w:t>
      </w:r>
    </w:p>
    <w:p w14:paraId="3B976813" w14:textId="77777777" w:rsidR="0091656E" w:rsidRPr="008226ED" w:rsidRDefault="0091656E" w:rsidP="0091656E">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Ограниченията на данните и на използваните прости метрики се посочват експлицитно, за да се гарантира коректна интерпретация на резултатите</w:t>
      </w:r>
      <w:r w:rsidRPr="008226ED">
        <w:rPr>
          <w:rFonts w:ascii="Times New Roman" w:hAnsi="Times New Roman" w:cs="Times New Roman"/>
          <w:sz w:val="24"/>
          <w:szCs w:val="24"/>
          <w:lang w:val="bg-BG"/>
        </w:rPr>
        <w:t>.</w:t>
      </w:r>
    </w:p>
    <w:p w14:paraId="62F849B3" w14:textId="77777777" w:rsidR="0091656E" w:rsidRPr="008226ED" w:rsidRDefault="0091656E" w:rsidP="0091656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Обхватът на изследването е националната реализация на Общата селскостопанска политика в България чрез Програмата за развитие на селските райони през периода 2014–2020 г., като времевият обхват включва и допустимите плащания след 2020 г. по правилото n+3. Аналитичната единица са мерки и подмерки от втория стълб (ЕЗФРСР), а когато данните го позволяват – операции/проекти и агрегиране по региони от ниво NUTS 2. Първият стълб на ОСП се използва само за контекст и сравнение, без да се извършва детайлен анализ на директните плащания. Данните се извличат от публични годишни доклади, агрегати по общата рамка за мониторинг и оценка и официални статистики, като фокусът е върху договориране, плащания и основни продуктовo-резултатни индикатори.</w:t>
      </w:r>
    </w:p>
    <w:p w14:paraId="6A303C0E" w14:textId="77777777" w:rsidR="0091656E" w:rsidRPr="008226ED" w:rsidRDefault="0091656E" w:rsidP="0091656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Ограниченията произтичат от естеството и наличността на административните данни: възможни липси и несъответствия между версии на таблици; промени в дефиниции и методики през периода; времеви лаг между разход и ефект; ограничена детайлност за някои мерки и непълна регионална разбивка. Изследването използва предимно описателни показатели и не прави строги причинно-следствени изводи; „</w:t>
      </w:r>
      <w:proofErr w:type="gramStart"/>
      <w:r w:rsidRPr="008226ED">
        <w:rPr>
          <w:rFonts w:ascii="Times New Roman" w:hAnsi="Times New Roman" w:cs="Times New Roman"/>
          <w:sz w:val="24"/>
          <w:szCs w:val="24"/>
        </w:rPr>
        <w:t>въздействие“ се</w:t>
      </w:r>
      <w:proofErr w:type="gramEnd"/>
      <w:r w:rsidRPr="008226ED">
        <w:rPr>
          <w:rFonts w:ascii="Times New Roman" w:hAnsi="Times New Roman" w:cs="Times New Roman"/>
          <w:sz w:val="24"/>
          <w:szCs w:val="24"/>
        </w:rPr>
        <w:t xml:space="preserve"> разглежда като индикативен принос, а не като ефект, идентифициран чрез контрафактически методи. Не се анализират индивидуални бенефициенти, чувствителни данни и специфични технологични практики; финансовите стойности са по официално отчетени номинали, което ограничава сравнимостта във времето поради ценови изменения. Екологичните резултати се оценяват чрез наличните прокси-индикатори, което не позволява пълна атрибуция към промени в състоянието на околната среда.</w:t>
      </w:r>
    </w:p>
    <w:p w14:paraId="72D4FE61" w14:textId="75C5AD54" w:rsidR="0091656E" w:rsidRPr="008226ED" w:rsidRDefault="0091656E" w:rsidP="0091656E">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br w:type="page"/>
      </w:r>
    </w:p>
    <w:p w14:paraId="3AC5C620" w14:textId="77777777" w:rsidR="0091656E" w:rsidRPr="008226ED" w:rsidRDefault="0091656E" w:rsidP="0091656E">
      <w:pPr>
        <w:spacing w:line="360" w:lineRule="auto"/>
        <w:ind w:firstLine="720"/>
        <w:jc w:val="both"/>
        <w:rPr>
          <w:rFonts w:ascii="Times New Roman" w:hAnsi="Times New Roman" w:cs="Times New Roman"/>
          <w:sz w:val="24"/>
          <w:szCs w:val="24"/>
          <w:lang w:val="bg-BG"/>
        </w:rPr>
      </w:pPr>
    </w:p>
    <w:p w14:paraId="39B577D2" w14:textId="79B43F0F"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Първа глава. Теоретични основи и стратегически рамки на селскостопанската политика</w:t>
      </w:r>
    </w:p>
    <w:p w14:paraId="01C274A1" w14:textId="77777777"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1.1. Същност и цели на Общата селскостопанска политика на ЕС</w:t>
      </w:r>
    </w:p>
    <w:p w14:paraId="3BB640EB" w14:textId="77777777" w:rsidR="00D16F37" w:rsidRPr="008226ED" w:rsidRDefault="00D16F37" w:rsidP="00D16F37">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Общата селскостопанска политика на ЕС представлява дългосрочна рамка от правила, финансови инструменти и механизми за управление, чрез които се подпомагат земеделските производители, осигурява се стабилно предлагане на храни, стимулират се устойчиви практики и се поддържат жизнеспособни селски райони. Като една от най-ранните общностни политики на Европейския съюз, Общата селскостопанска политика възниква в началото на 60-те години като системен отговор на следвоенните дефицити и нестабилността на пазарите на продоволствени стоки, когато европейските общества имат спешна нужда от предвидима, безопасна и качествена храна и от стабилизиране на доходите в селското стопанство. Първоначалната ѝ архитектура комбинира гарантирани изкупни цени, интервенционни запаси и защита на вътрешния пазар с цел да стимулира производителността, да намали зависимостта от внос и да осигури „</w:t>
      </w:r>
      <w:proofErr w:type="gramStart"/>
      <w:r w:rsidRPr="008226ED">
        <w:rPr>
          <w:rFonts w:ascii="Times New Roman" w:hAnsi="Times New Roman" w:cs="Times New Roman"/>
          <w:sz w:val="24"/>
          <w:szCs w:val="24"/>
        </w:rPr>
        <w:t>разумни“ цени</w:t>
      </w:r>
      <w:proofErr w:type="gramEnd"/>
      <w:r w:rsidRPr="008226ED">
        <w:rPr>
          <w:rFonts w:ascii="Times New Roman" w:hAnsi="Times New Roman" w:cs="Times New Roman"/>
          <w:sz w:val="24"/>
          <w:szCs w:val="24"/>
        </w:rPr>
        <w:t xml:space="preserve"> за потребителите, като едновременно гарантира „справедлив стандарт на </w:t>
      </w:r>
      <w:proofErr w:type="gramStart"/>
      <w:r w:rsidRPr="008226ED">
        <w:rPr>
          <w:rFonts w:ascii="Times New Roman" w:hAnsi="Times New Roman" w:cs="Times New Roman"/>
          <w:sz w:val="24"/>
          <w:szCs w:val="24"/>
        </w:rPr>
        <w:t>живот“ за</w:t>
      </w:r>
      <w:proofErr w:type="gramEnd"/>
      <w:r w:rsidRPr="008226ED">
        <w:rPr>
          <w:rFonts w:ascii="Times New Roman" w:hAnsi="Times New Roman" w:cs="Times New Roman"/>
          <w:sz w:val="24"/>
          <w:szCs w:val="24"/>
        </w:rPr>
        <w:t xml:space="preserve"> земеделските производители. </w:t>
      </w:r>
    </w:p>
    <w:p w14:paraId="43894709" w14:textId="581F16B0" w:rsidR="00D16F37" w:rsidRPr="008226ED" w:rsidRDefault="00D16F37"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С укрепването на продоволствената сигурност и натрупването на излишъци през 70-те и 80-те години фокусът постепенно се измества от стимули за обем към управление на предлагането и дисциплина на разходите чрез квоти, премии за оставяне на земя под угар и ограничаване на интервенциите. От 90-те години насам политиката преминава към „</w:t>
      </w:r>
      <w:proofErr w:type="gramStart"/>
      <w:r w:rsidRPr="008226ED">
        <w:rPr>
          <w:rFonts w:ascii="Times New Roman" w:hAnsi="Times New Roman" w:cs="Times New Roman"/>
          <w:sz w:val="24"/>
          <w:szCs w:val="24"/>
        </w:rPr>
        <w:t>отделени“ от</w:t>
      </w:r>
      <w:proofErr w:type="gramEnd"/>
      <w:r w:rsidRPr="008226ED">
        <w:rPr>
          <w:rFonts w:ascii="Times New Roman" w:hAnsi="Times New Roman" w:cs="Times New Roman"/>
          <w:sz w:val="24"/>
          <w:szCs w:val="24"/>
        </w:rPr>
        <w:t xml:space="preserve"> производството плащания, обвързани със спазване на стандарти за околна среда, безопасност на храните и хуманно отношение към животните, а в най-новия период се допълва от еко-схеми и резултатно управление, които насърчават устойчиви практики без да компрометират продоволствената сигурност. Така еволюирала, ОСП запазва първоначалната си двойна логика — да гарантира надеждно снабдяване с безопасни и качествени храни и да предоставя предвидима и справедлива подкрепа за земеделските стопани — но я реализира чрез инструменти, които отчитат съвременните изисквания за конкурентоспособност, климатична и екологична устойчивост и жизненост на селските общности (European Commission, n.d.-a).</w:t>
      </w:r>
    </w:p>
    <w:p w14:paraId="67B6347A" w14:textId="77777777" w:rsidR="00AB6913" w:rsidRPr="008226ED" w:rsidRDefault="00D16F37" w:rsidP="00D16F37">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lastRenderedPageBreak/>
        <w:t xml:space="preserve">Правното основание за прилагането на Общата селскостопанска политика е заложено в Договора за функционирането на Европейския съюз, членове 38–44, които определят целите и инструментите на политиката в рамките на вътрешния пазар и поставят изискването за общностен подход към земеделието и продоволствената сигурност (European Parliament, 2025a; European Parliament, 2025b). </w:t>
      </w:r>
    </w:p>
    <w:p w14:paraId="2637769B" w14:textId="77777777" w:rsidR="0026662D" w:rsidRPr="008226ED" w:rsidRDefault="0026662D" w:rsidP="0026662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 класическия си дизайн Общата селскостопанска политика функционира като хармонизирана вътрешна търговска рамка с обща външна защита: свободното движение на селскостопански стоки се гарантира вътре в Общността чрез унифицирани правила, докато конкуренцията от трети страни се филтрира през обща тарифна и нетарифна ограда. Тази архитектура стъпва върху три допълващи се принципа на пазарно регулиране: механизми за поддържане на цените посредством гарантиран пласмент, обща външна защита, организирана най-вече чрез мита и променливи гранични налози, и система от преки помощи, насочени към поддържане на доходите и коригиране на специфични пазарни дефекти (Блажева, 2012).</w:t>
      </w:r>
    </w:p>
    <w:p w14:paraId="38CDEE41" w14:textId="77777777" w:rsidR="0026662D" w:rsidRPr="008226ED" w:rsidRDefault="0026662D" w:rsidP="0026662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Интервенцията върху цените и пазарите се материализира чрез инструментариум, чиято цел е да поддържа вътрешни ценови равнища над световните, за да се осигури предвидим доход и предсказуеми инвестиционни хоризонти за производителите. Централно място заема интервенционната покупка, при която публичният орган изкупува определени количества при или над интервенционна цена, изтегляйки излишъци от пазара и по този начин „</w:t>
      </w:r>
      <w:proofErr w:type="gramStart"/>
      <w:r w:rsidRPr="008226ED">
        <w:rPr>
          <w:rFonts w:ascii="Times New Roman" w:hAnsi="Times New Roman" w:cs="Times New Roman"/>
          <w:sz w:val="24"/>
          <w:szCs w:val="24"/>
        </w:rPr>
        <w:t>подпирайки“ цената</w:t>
      </w:r>
      <w:proofErr w:type="gramEnd"/>
      <w:r w:rsidRPr="008226ED">
        <w:rPr>
          <w:rFonts w:ascii="Times New Roman" w:hAnsi="Times New Roman" w:cs="Times New Roman"/>
          <w:sz w:val="24"/>
          <w:szCs w:val="24"/>
        </w:rPr>
        <w:t>. Краткосрочно това повишава приходите пропорционално на реализираните количества и относително благоприятства по-големите производители; дългосрочно минималната гарантирана цена изпраща сигнал за разширяване на производството, което може да усили цикличната склонност към излишъци, ако другите ограничения не сработят (Блажева, 2012).</w:t>
      </w:r>
    </w:p>
    <w:p w14:paraId="4F39F433" w14:textId="77777777" w:rsidR="0026662D" w:rsidRPr="008226ED" w:rsidRDefault="0026662D" w:rsidP="0026662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Ефектите върху потребителите са двупосочни и отразяват ценовата нееластичност на търсенето при много селскостопански продукти. От една страна, стимулираното производство допринася за сигурността на снабдяването; от друга страна, изтеглянето на дори малки количества от пазара при нееластично търсене води до непропорционално нарастване на цените на дребно. Така интервенцията създава класическия компромис между доходна стабилност в първичното производство и потребителски разходи, който в </w:t>
      </w:r>
      <w:r w:rsidRPr="008226ED">
        <w:rPr>
          <w:rFonts w:ascii="Times New Roman" w:hAnsi="Times New Roman" w:cs="Times New Roman"/>
          <w:sz w:val="24"/>
          <w:szCs w:val="24"/>
        </w:rPr>
        <w:lastRenderedPageBreak/>
        <w:t>крайна сметка се управлява чрез фискалната тежест на поддържащите операции и чрез финото калибриране на пазарните покупки и освобождаването на запаси (Блажева, 2012).</w:t>
      </w:r>
    </w:p>
    <w:p w14:paraId="7D5A3864" w14:textId="77777777" w:rsidR="0026662D" w:rsidRPr="008226ED" w:rsidRDefault="0026662D" w:rsidP="0026662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Външната защитна линия се реализира чрез стойностни мита и променливи прелевмани, които компенсират разликата между по-високите вътрешни и по-ниските световни цени. Тази „</w:t>
      </w:r>
      <w:proofErr w:type="gramStart"/>
      <w:r w:rsidRPr="008226ED">
        <w:rPr>
          <w:rFonts w:ascii="Times New Roman" w:hAnsi="Times New Roman" w:cs="Times New Roman"/>
          <w:sz w:val="24"/>
          <w:szCs w:val="24"/>
        </w:rPr>
        <w:t>пунктуа“ на</w:t>
      </w:r>
      <w:proofErr w:type="gramEnd"/>
      <w:r w:rsidRPr="008226ED">
        <w:rPr>
          <w:rFonts w:ascii="Times New Roman" w:hAnsi="Times New Roman" w:cs="Times New Roman"/>
          <w:sz w:val="24"/>
          <w:szCs w:val="24"/>
        </w:rPr>
        <w:t xml:space="preserve"> границата не е само класическа тарифна бариера, а динамичен коректив, който автоматично настройва защитата към движението на международните котировки. В комбинация с вътрешната интервенция тя предотвратява вноса на по-евтини стоки, който би подкопал ценовата подкрепа, и по този начин поддържа целостта на вътрешния пазарен режим (Блажева, 2012).</w:t>
      </w:r>
    </w:p>
    <w:p w14:paraId="09325BCD" w14:textId="77777777" w:rsidR="0026662D" w:rsidRPr="008226ED" w:rsidRDefault="0026662D" w:rsidP="0026662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Експортните субсидии исторически допълват модела, когато натрупаните вътрешни излишъци се насочват към световните пазари. Чрез възстановявания при износ цената на европейския продукт се изравнява с международната конкурентна цена, което позволява разтоварване на вътрешните запаси без срив на поддържаната вътрешна цена. Макар инструментът да е ефективен за краткосрочно управление на излишъци, той пренася фискалната тежест към бюджета и може да поражда търговски напрежения, което в по-късни реформи мотивира ограничаване и замяна с по-пазарно съвместими механизми (Блажева, 2012).</w:t>
      </w:r>
    </w:p>
    <w:p w14:paraId="6BF88A88" w14:textId="77777777" w:rsidR="0026662D" w:rsidRPr="008226ED" w:rsidRDefault="0026662D" w:rsidP="0026662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Като алтернатива или допълнение към ценовата подкрепа се използват компенсационни плащания, особено при по-ограничени по мащаб производства като тютюн или маслодайни семена. Този метод отделя доходната подкрепа от непосредствените пазарни изкупувания: потребителите плащат по-ниски пазарни цени, докато производителите получават трансфери, които компенсират разликата. Резултатът е по-малко изкривяване в потреблението, но продължаващ стимул към увеличение на предлагането, поради което се налагат индивидуални тавани и строги правила за допустимост, за да се ограничат излишъците и бюджетните рискове (Блажева, 2012).</w:t>
      </w:r>
    </w:p>
    <w:p w14:paraId="38E7730D" w14:textId="77777777" w:rsidR="0026662D" w:rsidRPr="008226ED" w:rsidRDefault="0026662D" w:rsidP="0026662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Ограничаването на предлагането представлява трети пласт в системата: чрез квоти, максимално гарантирани количества и други количествени ограничения се предотвратява свръхпроизводство и се стабилизират цените без постоянни интервенционни покупки. В краткосрочен план високите цени стимулират производителите да разширяват производството, което налага активен административен контрол върху допустимите обеми. При лошо калибриране могат да се натрупат нежелани запаси или да възникне </w:t>
      </w:r>
      <w:r w:rsidRPr="008226ED">
        <w:rPr>
          <w:rFonts w:ascii="Times New Roman" w:hAnsi="Times New Roman" w:cs="Times New Roman"/>
          <w:sz w:val="24"/>
          <w:szCs w:val="24"/>
        </w:rPr>
        <w:lastRenderedPageBreak/>
        <w:t>необходимост от физическо унищожаване на количества извън квотите, което показва колко чувствителен е балансът между пазарна дисциплина и производствена мотивация (Блажева, 2012).</w:t>
      </w:r>
    </w:p>
    <w:p w14:paraId="22358614" w14:textId="77777777" w:rsidR="0026662D" w:rsidRPr="008226ED" w:rsidRDefault="0026662D" w:rsidP="0026662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 своята цялост този инструментариум – интервенционни покупки и запаси, външна тарифна защита и променливи налози, експортни субсидии, компенсационни плащания и количествени ограничения – изгражда координиран режим, чиято цел е едновременно стабилност на доходите, сигурност на снабдяването и предвидимост на инвестициите в селското стопанство. Еволюционният преход към по-голям дял на преките, отделени от производството плащания и редуцирането на най-изкривяващите търговията мерки в по-новите реформи отразяват опита да се запазят базовите цели, като същевременно се понижават фискалната цена и пазарните деформации, идентифицирани в историческия модел (Блажева, 2012).</w:t>
      </w:r>
    </w:p>
    <w:p w14:paraId="04770ADA" w14:textId="4CFB81FA" w:rsidR="00D16F37" w:rsidRPr="008226ED" w:rsidRDefault="00D16F37" w:rsidP="00D16F37">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В исторически план т.нар. класически период на ОСП обхваща приблизително 1962–1972 г., когато доминират високи интервенционни и целеви цени, защитени на външната граница чрез променливи вносни налози, а излишъците се канализират с експортни възстановявания; този модел едновременно повишава потребителските цени, но бързо отстранява следвоенните дефицити и стабилизира снабдяването (Council of the European Union, n.d.; Congressional Research Service, 2021; U.S. Department of Agriculture, Economic Research Service, 2025). Натрупването на излишъци и нарастващото бюджетно напрежение през 70-те и началото на 80-те години водят до въвеждане на т.нар. „</w:t>
      </w:r>
      <w:proofErr w:type="gramStart"/>
      <w:r w:rsidRPr="008226ED">
        <w:rPr>
          <w:rFonts w:ascii="Times New Roman" w:hAnsi="Times New Roman" w:cs="Times New Roman"/>
          <w:sz w:val="24"/>
          <w:szCs w:val="24"/>
        </w:rPr>
        <w:t>стабилизатори“ в</w:t>
      </w:r>
      <w:proofErr w:type="gramEnd"/>
      <w:r w:rsidRPr="008226ED">
        <w:rPr>
          <w:rFonts w:ascii="Times New Roman" w:hAnsi="Times New Roman" w:cs="Times New Roman"/>
          <w:sz w:val="24"/>
          <w:szCs w:val="24"/>
        </w:rPr>
        <w:t xml:space="preserve"> края на 80-те години, включително максимални гарантирани количества, съфинансиращи „ко-</w:t>
      </w:r>
      <w:proofErr w:type="gramStart"/>
      <w:r w:rsidRPr="008226ED">
        <w:rPr>
          <w:rFonts w:ascii="Times New Roman" w:hAnsi="Times New Roman" w:cs="Times New Roman"/>
          <w:sz w:val="24"/>
          <w:szCs w:val="24"/>
        </w:rPr>
        <w:t>отговорни“ налози</w:t>
      </w:r>
      <w:proofErr w:type="gramEnd"/>
      <w:r w:rsidRPr="008226ED">
        <w:rPr>
          <w:rFonts w:ascii="Times New Roman" w:hAnsi="Times New Roman" w:cs="Times New Roman"/>
          <w:sz w:val="24"/>
          <w:szCs w:val="24"/>
        </w:rPr>
        <w:t xml:space="preserve"> и строга бюджетна дисциплина; целта е да се ограничат автоматично ценовите подкрепи и растежът на разходите, без да се отменя основната логика на ОСП, а да се стабилизират производството и бюджетът под предварително определени прагове (International Monetary Fund, 1988/1990; World Bank, 1992; European Parliament, 2022).</w:t>
      </w:r>
    </w:p>
    <w:p w14:paraId="1F983612" w14:textId="77777777" w:rsidR="00AB6913" w:rsidRPr="008226ED" w:rsidRDefault="00AB6913" w:rsidP="00AB69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Реформата „</w:t>
      </w:r>
      <w:proofErr w:type="gramStart"/>
      <w:r w:rsidRPr="008226ED">
        <w:rPr>
          <w:rFonts w:ascii="Times New Roman" w:hAnsi="Times New Roman" w:cs="Times New Roman"/>
          <w:sz w:val="24"/>
          <w:szCs w:val="24"/>
        </w:rPr>
        <w:t>Макшъри“ от</w:t>
      </w:r>
      <w:proofErr w:type="gramEnd"/>
      <w:r w:rsidRPr="008226ED">
        <w:rPr>
          <w:rFonts w:ascii="Times New Roman" w:hAnsi="Times New Roman" w:cs="Times New Roman"/>
          <w:sz w:val="24"/>
          <w:szCs w:val="24"/>
        </w:rPr>
        <w:t xml:space="preserve"> 1992 г. целенасочено пренастройва механизмите на Общата селскостопанска политика към икономическа и търговска среда, която съществено се различава от тази на 60-те години: за първи път се признава, че поддържането на високи гарантирани цени не може едновременно да осигурява устойчиви доходи на фермерите и да балансира пазарите без натрупване на излишъци и бюджетен натиск. Реформата замества доминиращата ценова подкрепа с понижение на интервенционните цени и въвеждане на </w:t>
      </w:r>
      <w:r w:rsidRPr="008226ED">
        <w:rPr>
          <w:rFonts w:ascii="Times New Roman" w:hAnsi="Times New Roman" w:cs="Times New Roman"/>
          <w:sz w:val="24"/>
          <w:szCs w:val="24"/>
        </w:rPr>
        <w:lastRenderedPageBreak/>
        <w:t>компенсаторни, пряко насочени към доходите плащания, съпътствани от мерки за управление на предлагането; по този начин фокусът се измества от стимулиране на обем към адаптиране на производствените решения към пазарните сигнали (Council of the European Union, n.d.; European Parliament, 2022; U.S. Department of Agriculture, Economic Research Service, 2025; Schnepf, 2021). Тази трансформация е тясно свързана и с международната търговия: преминаването от дефицити към структурни излишъци в редица отрасли усилва натиска за ограничаване на изкривяващите субсидии и експортните възстановявания, като намаляването на подкрепата за цени отваря пространство за по-свободна и „</w:t>
      </w:r>
      <w:proofErr w:type="gramStart"/>
      <w:r w:rsidRPr="008226ED">
        <w:rPr>
          <w:rFonts w:ascii="Times New Roman" w:hAnsi="Times New Roman" w:cs="Times New Roman"/>
          <w:sz w:val="24"/>
          <w:szCs w:val="24"/>
        </w:rPr>
        <w:t>лоялна“ конкуренция</w:t>
      </w:r>
      <w:proofErr w:type="gramEnd"/>
      <w:r w:rsidRPr="008226ED">
        <w:rPr>
          <w:rFonts w:ascii="Times New Roman" w:hAnsi="Times New Roman" w:cs="Times New Roman"/>
          <w:sz w:val="24"/>
          <w:szCs w:val="24"/>
        </w:rPr>
        <w:t xml:space="preserve"> в контекста на глобалните преговори за либерализация на земеделската търговия (International Monetary Fund, 1988/1990; World Bank, 1992; Congressional Research Service, 2021).</w:t>
      </w:r>
    </w:p>
    <w:p w14:paraId="2D5F036B" w14:textId="77777777" w:rsidR="00AB6913" w:rsidRPr="008226ED" w:rsidRDefault="00AB6913" w:rsidP="00AB69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Надграждайки логиката на 1992 г., „Agenda </w:t>
      </w:r>
      <w:proofErr w:type="gramStart"/>
      <w:r w:rsidRPr="008226ED">
        <w:rPr>
          <w:rFonts w:ascii="Times New Roman" w:hAnsi="Times New Roman" w:cs="Times New Roman"/>
          <w:sz w:val="24"/>
          <w:szCs w:val="24"/>
        </w:rPr>
        <w:t>2000“ и</w:t>
      </w:r>
      <w:proofErr w:type="gramEnd"/>
      <w:r w:rsidRPr="008226ED">
        <w:rPr>
          <w:rFonts w:ascii="Times New Roman" w:hAnsi="Times New Roman" w:cs="Times New Roman"/>
          <w:sz w:val="24"/>
          <w:szCs w:val="24"/>
        </w:rPr>
        <w:t xml:space="preserve"> последвалият „План </w:t>
      </w:r>
      <w:proofErr w:type="gramStart"/>
      <w:r w:rsidRPr="008226ED">
        <w:rPr>
          <w:rFonts w:ascii="Times New Roman" w:hAnsi="Times New Roman" w:cs="Times New Roman"/>
          <w:sz w:val="24"/>
          <w:szCs w:val="24"/>
        </w:rPr>
        <w:t>Фишлер“ оформят</w:t>
      </w:r>
      <w:proofErr w:type="gramEnd"/>
      <w:r w:rsidRPr="008226ED">
        <w:rPr>
          <w:rFonts w:ascii="Times New Roman" w:hAnsi="Times New Roman" w:cs="Times New Roman"/>
          <w:sz w:val="24"/>
          <w:szCs w:val="24"/>
        </w:rPr>
        <w:t xml:space="preserve"> следващ етап на дълбока модернизация: утвърждава се многофункционален, устойчив и конкурентен модел на европейско земеделие, в който развитието на селските райони се институционализира като самостоятелен стълб, а бюджетната дисциплина и ефективността на разходите стават водещи принципи (European Parliament, 2025c; European Parliament, 2025a; European Parliament, 2022). Ключовият пробив от 2003 г. е отделянето на директните плащания от производството (decoupling) и обвързването им със спазване на стандарти за околна среда, безопасност на храните и хуманно отношение към животните чрез условност и „крос-</w:t>
      </w:r>
      <w:proofErr w:type="gramStart"/>
      <w:r w:rsidRPr="008226ED">
        <w:rPr>
          <w:rFonts w:ascii="Times New Roman" w:hAnsi="Times New Roman" w:cs="Times New Roman"/>
          <w:sz w:val="24"/>
          <w:szCs w:val="24"/>
        </w:rPr>
        <w:t>комплайънс“</w:t>
      </w:r>
      <w:proofErr w:type="gramEnd"/>
      <w:r w:rsidRPr="008226ED">
        <w:rPr>
          <w:rFonts w:ascii="Times New Roman" w:hAnsi="Times New Roman" w:cs="Times New Roman"/>
          <w:sz w:val="24"/>
          <w:szCs w:val="24"/>
        </w:rPr>
        <w:t>, което допълнително отслабва стимулите за свръхпроизводство и приближава подпомагането до логиката на обществените блага (European Parliament, 2025b; European Parliament, 2022; Schnepf, 2021).</w:t>
      </w:r>
    </w:p>
    <w:p w14:paraId="56271404" w14:textId="77777777" w:rsidR="00AB6913" w:rsidRPr="008226ED" w:rsidRDefault="00AB6913" w:rsidP="00AB691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„Оценката на здравословното състояние“ на ОСП от 2009 г. доразвива логиката на реформите от 1992 и 2003 г., като задълбочава отделянето на подпомагането от производството, намалява оставащите обвързани плащания и отменя остарели инструменти като угарните премии и специфични премии по култури; така субсидиите още по-ясно се превръщат в доходна подкрепа, обвързана със спазване на стандарти, вместо в ценови стимул за обем (Council of the European Union, n.d.; Congressional Research Service, 2021; U.S. Department of Agriculture, Economic Research Service, 2025). Успоредно с това се увеличават задължителните прехвърляния от първи към втори стълб чрез по-висока модулация, за да се финансират приоритети на развитието на селските райони и „новите </w:t>
      </w:r>
      <w:proofErr w:type="gramStart"/>
      <w:r w:rsidRPr="008226ED">
        <w:rPr>
          <w:rFonts w:ascii="Times New Roman" w:hAnsi="Times New Roman" w:cs="Times New Roman"/>
          <w:sz w:val="24"/>
          <w:szCs w:val="24"/>
        </w:rPr>
        <w:lastRenderedPageBreak/>
        <w:t>предизвикателства“ като</w:t>
      </w:r>
      <w:proofErr w:type="gramEnd"/>
      <w:r w:rsidRPr="008226ED">
        <w:rPr>
          <w:rFonts w:ascii="Times New Roman" w:hAnsi="Times New Roman" w:cs="Times New Roman"/>
          <w:sz w:val="24"/>
          <w:szCs w:val="24"/>
        </w:rPr>
        <w:t xml:space="preserve"> климатични действия, управление на водите, биоразнообразие и възобновяема енергия, което институционализира по-силната екологична и териториална насоченост на политиката (European Parliament, 2025c; European Parliament, 2025a). Паралелно се облекчават правилата за публична интервенция и контрола на предлагането чрез ограничаване и таргетиране на интервенционните изкупувания, по-гъвкави механизми за управление на пазара и „меко приземяване“ на млечните квоти, така че да се намаляват изкривяванията и бюджетният натиск при запазване на предпазните инструменти при кризи (European Parliament, 2025b; European Parliament, 2025c; Council of the European Union, n.d.; U.S. Department of Agriculture, Economic Research Service, 2025).</w:t>
      </w:r>
    </w:p>
    <w:p w14:paraId="3D59851A" w14:textId="77777777" w:rsidR="00AB6913" w:rsidRPr="008226ED" w:rsidRDefault="00AB6913" w:rsidP="00AB69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Реформата на Общата селскостопанска политика от 2013 г. формулира три взаимодопълващи се направления, които в настоящия ѝ дизайн се проследяват като икономически, екологични и териториални цели: тя гарантира продоволствена сигурност чрез стабилно селскостопанско производство, повишава конкурентоспособността и работи за по-справедливо разпределяне на стойността по хранителната верига, включително чрез пренастройване на директните плащания и пазарните инструменти (European Commission, n.d.-a; European Parliament, 2025b). Едновременно с това реформата интегрира по-силни изисквания за устойчиво използване на природните ресурси и за действия по климата, като свързва подпомагането с екологични ангажименти и управление на риска от деградация на почвите, водите и биоразнообразието (European Parliament, 2025b; Schnepf, 2021). Третото ядро е териториалното развитие, при което политиката насърчава икономическото и социалното оживяване на селските райони чрез програми за развитие на селските райони, подкрепа за млади земеделски производители и райони с природни ограничения, така че ползите от земеделието да се разпределят балансирано в цялото пространство на ЕС (European Parliament, 2025c; European Commission, n.d.-a).</w:t>
      </w:r>
    </w:p>
    <w:p w14:paraId="65E7F3DB" w14:textId="77777777" w:rsidR="00D16F37" w:rsidRPr="008226ED" w:rsidRDefault="00D16F37"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Действащата архитектура за периода 2023–2027 г. е ориентирана към резултатите и представянето и влезе в сила на 1 януари 2023 г., след реформа, договорена между Парламента, Съвета и Комисията. Така ОСП съчетава икономическата устойчивост на стопанствата с екологичните амбиции на Европейския зелен пакт и социалната кохезия в селските територии (European Commission, n.d.-a; European Commission, n.d.-d). Съдържателно ОСП 2023–2027 е структурирана около десет специфични цели, които обхващат конкурентоспособност и доходи, опазване на почвите, водите, климата и </w:t>
      </w:r>
      <w:r w:rsidRPr="008226ED">
        <w:rPr>
          <w:rFonts w:ascii="Times New Roman" w:hAnsi="Times New Roman" w:cs="Times New Roman"/>
          <w:sz w:val="24"/>
          <w:szCs w:val="24"/>
        </w:rPr>
        <w:lastRenderedPageBreak/>
        <w:t>биоразнообразието, знание и иновации, както и подмладяване на сектора чрез подкрепа за млади фермери. За да постигнат тези цели, държавите членки изработват Национални стратегически планове с интервенции и индикатори, адаптирани към националните нужди, в рамките на общите правила на ЕС. Всички 28 плана бяха одобрени и са ключов инструмент за преход към по-устойчив модел на земеделие (European Commission, n.d.-b; European Commission, 2025). Инструментариумът традиционно е организиран в два стълба. Първият стълб включва директни плащания и мерки за общата организация на пазарите, а вторият стълб финансира развитие на селските райони чрез многогодишно програмиране. В новия период централно място заемат еко-схемите в Първи стълб: държавите членки заделят приблизително 25% от бюджета за директни плащания за доброволни за фермерите практики с измерим принос към климата, природата и хуманното отношение към животните. Паралелно е засилена условността: достъпът до основните плащания е обвързан със спазване на базови стандарти за околна среда и добри земеделски практики (European Parliament, 2025a; European Parliament, 2025b; European Parliament, 2025c; European Commission, n.d.-c; European Commission, n.d.-d; EU CAP Network, 2024). Финансово ОСП остава сред най-значимите направления в бюджета на ЕС, макар относителният ѝ дял да намалява във времето. През 2021–2027 г. тя е вторият по размер приоритет след политиката на сближаване. Правната рамка е определена от Регламент (ЕС) 2021/2115 за стратегическите планове, който задава типовете интервенции, системата за наблюдение и отчетност и разпределението на отговорностите между Комисията и държавите членки (European Parliament, 2025a; European Parliament &amp; Council of the European Union, 2024). В управленски план действа модел на изпълнение, основан на резултатите, подкрепен от показатели в рамките на Performance Monitoring and Evaluation Framework, с годишно отчитане и текущо проследяване на напредъка. В последните години текат дебати за опростяване на правилата и административната тежест, както и за фина настройка на зелената архитектура, така че да се съчетаят предвидимост на доходите и екологични резултати (European Commission, n.d.-e; IEEP, 2025).</w:t>
      </w:r>
    </w:p>
    <w:p w14:paraId="1C0106F4" w14:textId="77777777"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1.2. Механизми и инструменти на ОСП в програмния период 2014–2020</w:t>
      </w:r>
    </w:p>
    <w:p w14:paraId="49873EDF" w14:textId="6D56E343" w:rsidR="00245739" w:rsidRPr="008226ED" w:rsidRDefault="00245739" w:rsidP="00245739">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Механизмите и инструментите на ОСП през програмния период 2014–2020 се организират в двустълбова архитектура и обхващат подпомагането на доходите чрез преки плащания, общата организация на пазарите и политиката за развитие на селските райони, </w:t>
      </w:r>
      <w:r w:rsidRPr="008226ED">
        <w:rPr>
          <w:rFonts w:ascii="Times New Roman" w:hAnsi="Times New Roman" w:cs="Times New Roman"/>
          <w:sz w:val="24"/>
          <w:szCs w:val="24"/>
        </w:rPr>
        <w:lastRenderedPageBreak/>
        <w:t xml:space="preserve">като рамката е зададена от четирите регламента за преките плащания, за общата организация на пазарите, за развитието на селските райони и за финансирането, управлението и мониторинга (European Commission, n.d.-a; European Union, 2013a; European Union, 2013b; European Union, 2013c; European Union, 2013d). </w:t>
      </w:r>
    </w:p>
    <w:p w14:paraId="55AC6176"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Първият стълб на ОСП през 2014–2020 се структурира около схемата за основно плащане като базова рамка за подкрепа на доходите, към която държавите членки добавят национално конфигурирани компоненти. Схемата за основно плащане осигурява предвидима, годишна подкрепа на хектар допустима площ, като разпределението на правата и вътрешната конвергенция се използват за по-равномерно приближаване на стойностите на правата в рамките на държавата. За да се адресират разликите по размер и структура на стопанствата, към основната схема се наслагват допълнителни „</w:t>
      </w:r>
      <w:proofErr w:type="gramStart"/>
      <w:r w:rsidRPr="008226ED">
        <w:rPr>
          <w:rFonts w:ascii="Times New Roman" w:hAnsi="Times New Roman" w:cs="Times New Roman"/>
          <w:sz w:val="24"/>
          <w:szCs w:val="24"/>
        </w:rPr>
        <w:t>слоеве“</w:t>
      </w:r>
      <w:proofErr w:type="gramEnd"/>
      <w:r w:rsidRPr="008226ED">
        <w:rPr>
          <w:rFonts w:ascii="Times New Roman" w:hAnsi="Times New Roman" w:cs="Times New Roman"/>
          <w:sz w:val="24"/>
          <w:szCs w:val="24"/>
        </w:rPr>
        <w:t>, които насочват ресурси към приоритетни групи и цели, като същевременно поддържат простота на администриране и предвидимост на плащанията (European Union, 2013a; Schnepf, 2021; U.S. Department of Agriculture, Economic Research Service, 2025).</w:t>
      </w:r>
    </w:p>
    <w:p w14:paraId="5123C9FA"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Задължителният озеленяващ компонент представлява приблизително една трета от националния пакет за директни плащания и изисква от стопанствата да прилагат конкретни практики в полза на климата и околната среда. Сред тях са диверсификация на културите, поддържане на постоянно затревени площи и заделяне на екологично насочени площи, чиито цел е да се намалят рисковете от деградация на почвите, да се създадат местообитания за опрашители и да се ограничи натискът върху чувствителни екосистеми. Практиките са проектирани като условия за получаване на озеленяващото плащане, поради което те интегрират екологични критерии директно в доходната подкрепа, а не като отделна програма (European Union, 2013a; Schnepf, 2021; U.S. Department of Agriculture, Economic Research Service, 2025).</w:t>
      </w:r>
    </w:p>
    <w:p w14:paraId="65085B0D"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Допълнителното плащане за млади земеделски производители цели подмладяване на сектора чрез временна, надбавка върху основната подкрепа за новоустановени фермери в първите години от дейността им. Преразпределителното плащане концентрира по-висок интензитет на подкрепа върху първите хектари на всяко стопанство, за да се намали концентрацията на субсидии и да се подпомогнат по-малки и средни структури, които са по-чувствителни към ценови и климатични шокове. Опростената схема за малки стопанства предоставя фиксирана, административно лека подкрепа за бенефициенти под определен </w:t>
      </w:r>
      <w:r w:rsidRPr="008226ED">
        <w:rPr>
          <w:rFonts w:ascii="Times New Roman" w:hAnsi="Times New Roman" w:cs="Times New Roman"/>
          <w:sz w:val="24"/>
          <w:szCs w:val="24"/>
        </w:rPr>
        <w:lastRenderedPageBreak/>
        <w:t>праг, ограничавайки отчетната тежест и контрола, и така намалява разходите по прилагане за най-дребните участници (European Union, 2013a; Schnepf, 2021; U.S. Department of Agriculture, Economic Research Service, 2025).</w:t>
      </w:r>
    </w:p>
    <w:p w14:paraId="0C99FCC2"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Доброволно обвързаната подкрепа се използва таргетирано към чувствителни сектори и производства, при ясно определени национални лимити и критерии за допустимост. Тя смекчава риска от изоставяне на производство в стратегически или социално значими отрасли и адресира структурни дисбаланси, без да възстановява общата логика на субсидиране на обема. За да се запази екологичната и регулаторна съвместимост, всички тези плащания са поставени под режима на кръстосано съответствие: бенефициентите трябва да спазват законодателните изисквания за управление и стандартите за добро земеделско и екологично състояние на земята, като неспазването води до намаления и санкции, съизмерими с тежестта и системността на нарушенията (European Union, 2013a; European Union, 2013d; European Court of Auditors, 2016).</w:t>
      </w:r>
    </w:p>
    <w:p w14:paraId="0A825BB2"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Към първия стълб принадлежат и пазарните мерки на Общата организация на пазарите, които действат като стабилизатори при ценови и количествени сътресения. Публичната интервенция позволява временно изкупуване на определени продукти при настъпване на неблагоприятни ценови условия, като по този начин се ограничава спираловидният спад на цените и се печели време за пазарно ребалансиране. Помощта за частно складиране възнаграждава временното изтегляне на продукция от пазара от частни оператори, когато ценовият цикъл показва краткосрочна слабост, но перспективите за възстановяване са запазени. Режимът предвижда и извънредни мерки при сериозни нарушения на пазара, включително санитарни кризи, търговски ембарга и масови загуби на потребителско доверие, за да се възстанови нормалната търговия с минимални дългосрочни деформации (European Commission, n.d.-a; European Union, 2013b).</w:t>
      </w:r>
    </w:p>
    <w:p w14:paraId="46047E80"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Секторните програми допълват интервенцията чрез дългосрочно повишаване на организацията и конкурентоспособността. В плодовете и зеленчуците основен фокус имат организациите на производители, които изпълняват оперативни програми за качество, маркетинг, инвестиции и предотвратяване на кризи. В лозаро-винарския сектор националните програми включват преструктуриране на лозя, инвестиции в преработка и промоция на пазарите на трети страни. Пчеларството получава целева подкрепа за здраве и продуктивност на пчелните семейства и подобряване на маркетинга. Училищните схеми за </w:t>
      </w:r>
      <w:r w:rsidRPr="008226ED">
        <w:rPr>
          <w:rFonts w:ascii="Times New Roman" w:hAnsi="Times New Roman" w:cs="Times New Roman"/>
          <w:sz w:val="24"/>
          <w:szCs w:val="24"/>
        </w:rPr>
        <w:lastRenderedPageBreak/>
        <w:t>плодове, зеленчуци и мляко се консолидират след 2017 г., като комбинират хранителни доставки със съпътстващи образователни мерки за устойчиви хранителни навици сред децата (European Commission, n.d.-a; European Union, 2013b).</w:t>
      </w:r>
    </w:p>
    <w:p w14:paraId="3575CF3D"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За бързо реагиране при пазарни сътресения се поддържа резерв за кризи в земеделието, финансиран в рамките на общия бюджет на стълба и координиран с инструментите за интервенция и частно складиране. Резервът осигурява временна, насочена подкрепа в извънредни обстоятелства и може да бъде задействан при значими нарушения на пазарното функциониране, като по този начин допълва класическите мерки и ограничава риска от заразни ценови шокове в целия агрохранителен комплекс (European Union, 2013d; European Parliament, 2025a).</w:t>
      </w:r>
    </w:p>
    <w:p w14:paraId="5237441E"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Вторият стълб се изгражда като програмна политика с многогодишно планиране и съфинансиране чрез Европейския земеделски фонд за развитие на селските райони. Държавите членки разработват национални и регионални програми, които превеждат приоритетите на Съюза в конкретни интервенции, определят критерии за подбор на проектите, размери на помощта, интензитет на публичното съфинансиране и индикатори за наблюдение и оценка. Архитектурата допуска тематични подпрограми за специфични нужди, като млади фермери, малки стопанства или планински райони, а допустимите разходи и максималните нива на подкрепа се рамкират нормативно, за да се гарантират прозрачност и ефективност (European Union, 2013c).</w:t>
      </w:r>
    </w:p>
    <w:p w14:paraId="2D3D07DE"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Фундамент на „</w:t>
      </w:r>
      <w:proofErr w:type="gramStart"/>
      <w:r w:rsidRPr="008226ED">
        <w:rPr>
          <w:rFonts w:ascii="Times New Roman" w:hAnsi="Times New Roman" w:cs="Times New Roman"/>
          <w:sz w:val="24"/>
          <w:szCs w:val="24"/>
        </w:rPr>
        <w:t>интелигентния“ растеж</w:t>
      </w:r>
      <w:proofErr w:type="gramEnd"/>
      <w:r w:rsidRPr="008226ED">
        <w:rPr>
          <w:rFonts w:ascii="Times New Roman" w:hAnsi="Times New Roman" w:cs="Times New Roman"/>
          <w:sz w:val="24"/>
          <w:szCs w:val="24"/>
        </w:rPr>
        <w:t xml:space="preserve"> са мерките за знания, консултантски услуги и иновации. Подкрепят се обучения, демонстрационни дейности и обмен на опит, изграждане и акредитация на консултантски служби, както и създаване на оперативни групи по Европейското партньорство за иновации, които свързват фермери, учени и бизнес в приложни проекти за продуктивност и устойчивост. Този пакет цели да намали разликата между научното знание и практиката и да подпомогне внедряването на технологии за прецизно земеделие, устойчиво управление на почвите и водите и по-ефективни производствени модели (European Union, 2013c; European Parliament, 2022).</w:t>
      </w:r>
    </w:p>
    <w:p w14:paraId="1963A8BE"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Инвестиционните инструменти адресират материалната база и конкурентоспособността по веригата стойност. Подпомагат се модернизация на стопанствата и преработката, включително покупка на техника и оборудване, изграждане и обновяване на сгради, системи за съхранение и охлаждане, енергийна ефективност и </w:t>
      </w:r>
      <w:r w:rsidRPr="008226ED">
        <w:rPr>
          <w:rFonts w:ascii="Times New Roman" w:hAnsi="Times New Roman" w:cs="Times New Roman"/>
          <w:sz w:val="24"/>
          <w:szCs w:val="24"/>
        </w:rPr>
        <w:lastRenderedPageBreak/>
        <w:t>възобновяема енергия, както и инвестиции в безопасност на храните и проследимост. Паралелно се финансират базови услуги и инфраструктура в селските територии като пътища на местно ниво, водоснабдяване, широколентов достъп и социални услуги, за да се подобри средата за живот и бизнес в извънградските райони. Специални линии подпомагат стартирането на млади фермери и развитието на малки предприятия и диверсификацията към неземеделски дейности, което намалява зависимостта от единствен източник на доход (European Union, 2013c; European Parliament, 2022).</w:t>
      </w:r>
    </w:p>
    <w:p w14:paraId="1F4D3361"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Екологичната ядка на стълба включва агроекологично-климатичните плащания и подкрепата за биологично земеделие. Те възнаграждават доброволни многогодишни ангажименти над законовия минимум, като устойчиви сеитбообороти, намалена обработка на почвата, създаване на буферни ивици, екстензивно пасищно животновъдство, опазване на местни породи и сортове и преход към и поддържане на биологично производство. Размерът на плащанията се определя на база пропуснати доходи и допълнителни разходи, включително транзакционни разходи, за да се осигури пропорционалност и ефективно насочване към обществени блага като биоразнообразие, качество на водите и климатична устойчивост (European Union, 2013c; European Parliament, 2022).</w:t>
      </w:r>
    </w:p>
    <w:p w14:paraId="6FB8C61C"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Териториалното измерение се проявява чрез компенсаторни плащания за райони с природни ограничения, които поддържат земеползването в планински и други неблагоприятни зони, предотвратяват изоставянето на обработваеми земи и ерозионни процеси и запазват културни ландшафти. Допълнително се предоставят плащания по Натура 2000 и Рамковата директива за водите, които компенсират допустимите разходи и пропуснати ползи, произтичащи от изискванията за опазване на местообитанията и ресурсите, така че фермерите да бъдат партньори в прилагането на природозащитните режими (European Union, 2013c).</w:t>
      </w:r>
    </w:p>
    <w:p w14:paraId="1E951104"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Подходът LEADER/ВОМР въвежда местно водено развитие чрез многостранни местни инициативни групи, които изработват и изпълняват стратегии за териториално интегрирани инвестиции и социални иновации. Инструментът мобилизира местен капацитет, насърчава социалното предприемачество и обвързва публични, частни и граждански актьори в проекти за икономическо оживяване, културно наследство и услуги от общ интерес, като създава мрежови ефекти и устойчивост отвъд отделните субсидирани действия (European Union, 2013c; European Parliament, 2022).</w:t>
      </w:r>
    </w:p>
    <w:p w14:paraId="57BA8F35"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Пакетът за управление на риска предлага три комплементарни инструмента, чрез които публичният сектор съвместно с фермерите споделя въздействието на климатични, биологични и пазарни шокове. Подкрепя се частичното финансиране на застрахователни премии срещу климатични неблагоприятни събития, болести и вредители; създаването и капитализирането на взаимоспомагателни фондове, които покриват загуби при настъпване на събития; и Инструментът за стабилизиране на доходите, който обезщетява фермерите при значителен спад на референтния доход, когато пазарните механизми и обичайната диверсификация не са достатъчни. Целта е да се изглади доходната волатилност, да се ускори възстановяването след шок и да се ограничи необходимостта от ad hoc интервенции (European Union, 2013c; Severini, 2021).</w:t>
      </w:r>
    </w:p>
    <w:p w14:paraId="2B14CC68"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Надграждащо, през целия втори стълб могат да се прилагат финансови инструменти като заеми и гаранции, които мултиплицират публичните средства и улесняват достъпа до капитал за жизнеспособни проекти, а системата за наблюдение и оценка проследява изпълнението чрез общ набор от индикатори и регулярни доклади, което позволява адаптивно управление и пренасочване на ресурси към по-ефективни интервенции (European Union, 2013c; European Parliament, 2022).</w:t>
      </w:r>
    </w:p>
    <w:p w14:paraId="6D34DF26" w14:textId="77777777" w:rsidR="00245739" w:rsidRPr="008226ED" w:rsidRDefault="00245739" w:rsidP="00245739">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Хоризонталната рамка за финансиране, управление и контрол концентрира общите правила за това как ОСП 2014–2020 се планира, изпълнява, удостоверява и одитира, така че средствата да достигат до бенефициентите законосъобразно и резултатно. В основата ѝ стои изискването всяка държава членка да акредитира една или повече разплащателни агенции, които поемат отговорност за администрирането на плащанията, воденето на счетоводство и прилагането на контролите. Акредитацията стъпва на критерии за вътрешен контрол, организационна независимост, информационни системи и капацитет за проверки. Успоредно с това държавите определят сертифициращи органи, които ежегодно удостоверяват надеждността на сметките и функционирането на системите. На равнище ЕС Европейската комисия извършва годишно приключване на сметките и „</w:t>
      </w:r>
      <w:proofErr w:type="gramStart"/>
      <w:r w:rsidRPr="008226ED">
        <w:rPr>
          <w:rFonts w:ascii="Times New Roman" w:hAnsi="Times New Roman" w:cs="Times New Roman"/>
          <w:sz w:val="24"/>
          <w:szCs w:val="24"/>
        </w:rPr>
        <w:t>конформити“ корекции</w:t>
      </w:r>
      <w:proofErr w:type="gramEnd"/>
      <w:r w:rsidRPr="008226ED">
        <w:rPr>
          <w:rFonts w:ascii="Times New Roman" w:hAnsi="Times New Roman" w:cs="Times New Roman"/>
          <w:sz w:val="24"/>
          <w:szCs w:val="24"/>
        </w:rPr>
        <w:t>, когато се установят системни слабости или неправомерни разходи. Тази комбинация от предварителни проверки, сертифициране и последващи финансови корекции е ядрото на модела на споделено управление между Комисията и държавите членки (European Union, 2013d; European Court of Auditors, 2016).</w:t>
      </w:r>
    </w:p>
    <w:p w14:paraId="2061B130"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Хоризонталният регламент установява и счетоводните разпоредби, вкл. формата на годишните сметки, сроковете за подаване, изискванията за проследимост на плащанията и докладването на нередности. При сериозни слабости Комисията може да прекъсва или спира междинни плащания до коригирането на причините, а при неизпълнение да налага финансови корекции. За да се гарантира, че търсенето на средства не надвишава таваните на бюджета, се прилага механизъм за финансова дисциплина, който автоматично намалява определени директни плащания, когато прогнозите за разходите заплашват да превишат наличния ресурс. Чрез тази финансова дисциплина ежегодно се формира и резерв за кризи в селското стопанство, който може да бъде задействан при сериозни пазарни сривове и, ако не бъде използван, се възстановява на фермерите през следващата финансова година (European Union, 2013d; European Parliament, 2025a).</w:t>
      </w:r>
    </w:p>
    <w:p w14:paraId="5ED745FE"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Системите за наблюдение и оценка осигуряват данните и правилата за проследяване на напредъка. В първи стълб централна е Интегрираната система за администриране и контрол (IACS), която включва регистър на бенефициентите, цифров кадастър на земеделските площи (LPIS), система за идентификация на животните и инструменти за дистанционен и теренен контрол. На база риск и представителност се извършват административни проверки и проверки на място, като резултатите се отразяват в санкции при неспазване. Във втори стълб Програмите за развитие на селските райони се управляват по обща рамка за мониторинг и оценка с набор от общи показатели за входове, продукти, резултати и въздействия, годишни доклади за изпълнение, междинни оценки и окончателни оценки. Така се осигурява съпоставимост между държавите и възможност за корективи в отговор на закъснения, ниска усвояемост или слаби резултати (European Union, 2013d; European Court of Auditors, 2016).</w:t>
      </w:r>
    </w:p>
    <w:p w14:paraId="03A50D06"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Системата на кръстосано съответствие е интегрална част от хоризонталната рамка и съчетава правните изисквания за управление с стандартите за добро земеделско и екологично състояние на земята. Достъпът до подкрепа по първи стълб изисква спазване на тези правила; нарушенията водят до пропорционални намаления, ескалиращи при повторяемост или намерение. Това придава регулаторна „</w:t>
      </w:r>
      <w:proofErr w:type="gramStart"/>
      <w:r w:rsidRPr="008226ED">
        <w:rPr>
          <w:rFonts w:ascii="Times New Roman" w:hAnsi="Times New Roman" w:cs="Times New Roman"/>
          <w:sz w:val="24"/>
          <w:szCs w:val="24"/>
        </w:rPr>
        <w:t>тежест“ на</w:t>
      </w:r>
      <w:proofErr w:type="gramEnd"/>
      <w:r w:rsidRPr="008226ED">
        <w:rPr>
          <w:rFonts w:ascii="Times New Roman" w:hAnsi="Times New Roman" w:cs="Times New Roman"/>
          <w:sz w:val="24"/>
          <w:szCs w:val="24"/>
        </w:rPr>
        <w:t xml:space="preserve"> директните плащания и осигурява базово ниво на обществена възвръщаемост чрез опазване на околната среда, здраве на растения и животни и безопасност на храните (European Union, 2013d; European Court of Auditors, 2016).</w:t>
      </w:r>
    </w:p>
    <w:p w14:paraId="6DF15A4C" w14:textId="77777777" w:rsidR="00245739" w:rsidRPr="008226ED" w:rsidRDefault="00245739" w:rsidP="0024573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Финансовите инструменти допълват грантовете, като предоставят заеми, гаранции и понякога капиталови участия за жизнеспособни проекти в земеделието и селските райони. Те се структурират на национално или регионално равнище и могат да бъдат управлявани от публични или частни посредници. Предимствата са лостов ефект, възвръщаемост на средствата и по-добра пригодност за приходогенериращи инвестиции, докато грантовете се насочват към обществени блага и мерки без достатъчна частна възвръщаемост. Комисията издава насоки за проектиране, държавна помощ, комбиниране с грантове и мониторинг на изпълнението, за да се гарантира съвместимост и отчетност на използването на тези инструменти (European Commission, 2014; European Union, 2013d).</w:t>
      </w:r>
    </w:p>
    <w:p w14:paraId="5F21FB83" w14:textId="77777777" w:rsidR="00245739" w:rsidRPr="008226ED" w:rsidRDefault="00245739" w:rsidP="00245739">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В съвкупност хоризонталната рамка „</w:t>
      </w:r>
      <w:proofErr w:type="gramStart"/>
      <w:r w:rsidRPr="008226ED">
        <w:rPr>
          <w:rFonts w:ascii="Times New Roman" w:hAnsi="Times New Roman" w:cs="Times New Roman"/>
          <w:sz w:val="24"/>
          <w:szCs w:val="24"/>
        </w:rPr>
        <w:t>свързва“ политическите</w:t>
      </w:r>
      <w:proofErr w:type="gramEnd"/>
      <w:r w:rsidRPr="008226ED">
        <w:rPr>
          <w:rFonts w:ascii="Times New Roman" w:hAnsi="Times New Roman" w:cs="Times New Roman"/>
          <w:sz w:val="24"/>
          <w:szCs w:val="24"/>
        </w:rPr>
        <w:t xml:space="preserve"> инструменти на двата стълба с правила за финансиране, управление, контрол и оценка, така че подкрепата да е предвидима, подлежаща на проверка и ориентирана към резултати. Това позволява на ОСП 2014–2020 да комбинира стабилна подкрепа за доходите, стабилизационни пазарни механизми и целеви инвестиции и плащания за обществени блага и териториално развитие в режим на споделено управление и строг мониторинг на изпълнението (European Commission, n.d.-a; U.S. Department of Agriculture, Economic Research Service, 2025).</w:t>
      </w:r>
    </w:p>
    <w:p w14:paraId="12CDDB1F"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Промените в регулациите за периода 2014–2020 г. и начинът, по който Европейската комисия ги тълкува, пренастройват из основи средата за финансови инструменти спрямо цикъла 2007–2013 г., като изместват фокуса от „грантово </w:t>
      </w:r>
      <w:proofErr w:type="gramStart"/>
      <w:r w:rsidRPr="008226ED">
        <w:rPr>
          <w:rFonts w:ascii="Times New Roman" w:hAnsi="Times New Roman" w:cs="Times New Roman"/>
          <w:sz w:val="24"/>
          <w:szCs w:val="24"/>
        </w:rPr>
        <w:t>мислене“ към</w:t>
      </w:r>
      <w:proofErr w:type="gramEnd"/>
      <w:r w:rsidRPr="008226ED">
        <w:rPr>
          <w:rFonts w:ascii="Times New Roman" w:hAnsi="Times New Roman" w:cs="Times New Roman"/>
          <w:sz w:val="24"/>
          <w:szCs w:val="24"/>
        </w:rPr>
        <w:t xml:space="preserve"> по-широка и систематична употреба на револвиращи инструменти. Новата обща регулаторна рамка (CPR) задава по-строги и детайлни правила, съпроводени от множество насоки и тълкувания, което в ред случаи води до преминаване от недостатъчна регулация към свръхрегулация; макар текстовете да целят яснота, те не винаги са еднозначни на практика и пораждат нужда от корекции, което засилва чувствителността на управляващите органи към одитен риск и склонност към прекомерна предпазливост при прилагането (European Parliament, 2016).</w:t>
      </w:r>
    </w:p>
    <w:p w14:paraId="7E5BF033"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Ключов нов елемент е задължителната екс-антe оценка и количествено обосноваване на всеки инструмент преди старта му. За разлика от периода 2007–2013 г., когато често се разчиташе на експертни преценки и по-гъвкави национални практики, през 2014–2020 г. доказването на пазарния недостиг, определянето на очаквани обеми, лостов ефект и схема на възнаграждения стават формално задължителни и методологически тежки дейности. </w:t>
      </w:r>
      <w:r w:rsidRPr="008226ED">
        <w:rPr>
          <w:rFonts w:ascii="Times New Roman" w:hAnsi="Times New Roman" w:cs="Times New Roman"/>
          <w:sz w:val="24"/>
          <w:szCs w:val="24"/>
        </w:rPr>
        <w:lastRenderedPageBreak/>
        <w:t>Това увеличава времето за подготовка, изисква по-зрял институционален дизайн и стабилен административен капацитет, а там, където той липсва, се стига до забавяния или до избор на „по-</w:t>
      </w:r>
      <w:proofErr w:type="gramStart"/>
      <w:r w:rsidRPr="008226ED">
        <w:rPr>
          <w:rFonts w:ascii="Times New Roman" w:hAnsi="Times New Roman" w:cs="Times New Roman"/>
          <w:sz w:val="24"/>
          <w:szCs w:val="24"/>
        </w:rPr>
        <w:t>лесни“ стандартни</w:t>
      </w:r>
      <w:proofErr w:type="gramEnd"/>
      <w:r w:rsidRPr="008226ED">
        <w:rPr>
          <w:rFonts w:ascii="Times New Roman" w:hAnsi="Times New Roman" w:cs="Times New Roman"/>
          <w:sz w:val="24"/>
          <w:szCs w:val="24"/>
        </w:rPr>
        <w:t xml:space="preserve"> решения, които не винаги съвпадат с пазарните нужди (European Parliament, 2016).</w:t>
      </w:r>
    </w:p>
    <w:p w14:paraId="281AE0B8"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Регулаторната философия насърчава консолидиране и професионализация: Инвестиционният план за Европа подтиква към по-широка употреба на финансови инструменти за сметка на класическите грантове и към обединяване на ресурси в национални или надрегионални схеми, които могат да реализират икономии от мащаба, по-добро управление на риска и по-силен ефект на мобилизиране на частни средства. На практика това означава преминаване от множество малки, фрагментирани, регионални решения към по-едри платформи и фондове с централизирано или координирано управление, чиито правила трябва да бъдат съгласувани с държавните помощи, обществени поръчки и специфичните изисквания на отделните оперативни програми (European Parliament, 2016).</w:t>
      </w:r>
    </w:p>
    <w:p w14:paraId="2A2BC6FD" w14:textId="10EA3241" w:rsidR="002C4308" w:rsidRPr="008226ED" w:rsidRDefault="002C4308" w:rsidP="002C4308">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Съществена новост е и двупистовият режим за изпълнение: на централно равнище чрез ЕИБ/ЕИФ и на национално/регионално равнище чрез управляващите органи. Разликите в правния режим и практиките създават асиметрия: инструментите, реализирани от ЕИБ/ЕИФ, по правило не прилагат директивите за обществени поръчки при избора на посредници, докато националните инструменти са задължени да минат през формални процедури</w:t>
      </w:r>
      <w:r w:rsidRPr="008226ED">
        <w:rPr>
          <w:rFonts w:ascii="Times New Roman" w:hAnsi="Times New Roman" w:cs="Times New Roman"/>
          <w:sz w:val="24"/>
          <w:szCs w:val="24"/>
          <w:lang w:val="bg-BG"/>
        </w:rPr>
        <w:t xml:space="preserve"> </w:t>
      </w:r>
      <w:r w:rsidRPr="008226ED">
        <w:rPr>
          <w:rFonts w:ascii="Times New Roman" w:hAnsi="Times New Roman" w:cs="Times New Roman"/>
          <w:sz w:val="24"/>
          <w:szCs w:val="24"/>
        </w:rPr>
        <w:t>(European Parliament, 2016).</w:t>
      </w:r>
    </w:p>
    <w:p w14:paraId="54711CC3"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Двупистовият режим за изпълнение разделя „</w:t>
      </w:r>
      <w:proofErr w:type="gramStart"/>
      <w:r w:rsidRPr="008226ED">
        <w:rPr>
          <w:rFonts w:ascii="Times New Roman" w:hAnsi="Times New Roman" w:cs="Times New Roman"/>
          <w:sz w:val="24"/>
          <w:szCs w:val="24"/>
        </w:rPr>
        <w:t>пътя“ на</w:t>
      </w:r>
      <w:proofErr w:type="gramEnd"/>
      <w:r w:rsidRPr="008226ED">
        <w:rPr>
          <w:rFonts w:ascii="Times New Roman" w:hAnsi="Times New Roman" w:cs="Times New Roman"/>
          <w:sz w:val="24"/>
          <w:szCs w:val="24"/>
        </w:rPr>
        <w:t xml:space="preserve"> финансовите инструменти между централно ниво, където Европейската инвестиционна банка и Европейският инвестиционен фонд действат като поверени субекти на Съюза, и национално/регионално ниво, където управляващите органи на програмите под споделено управление изграждат и администрират собствени схеми. На централния „</w:t>
      </w:r>
      <w:proofErr w:type="gramStart"/>
      <w:r w:rsidRPr="008226ED">
        <w:rPr>
          <w:rFonts w:ascii="Times New Roman" w:hAnsi="Times New Roman" w:cs="Times New Roman"/>
          <w:sz w:val="24"/>
          <w:szCs w:val="24"/>
        </w:rPr>
        <w:t>път“ ЕИБ</w:t>
      </w:r>
      <w:proofErr w:type="gramEnd"/>
      <w:r w:rsidRPr="008226ED">
        <w:rPr>
          <w:rFonts w:ascii="Times New Roman" w:hAnsi="Times New Roman" w:cs="Times New Roman"/>
          <w:sz w:val="24"/>
          <w:szCs w:val="24"/>
        </w:rPr>
        <w:t xml:space="preserve">/ЕИФ прилагат своите вътрешни процедури за избор на посредници и фонд мениджъри, които са съобразени с принципите на прозрачност и конкуренция, но не попадат пряко под режима на директивите за обществените поръчки. Това съкращава времето за структуриране на фондове, позволява бързи рамкови споразумения и гъвкава адаптация на условията към пазарната конюнктура. От страната на споделеното управление, същата задача се извършва чрез формални процедури по обществените поръчки или по специфични национални режими за избор на </w:t>
      </w:r>
      <w:r w:rsidRPr="008226ED">
        <w:rPr>
          <w:rFonts w:ascii="Times New Roman" w:hAnsi="Times New Roman" w:cs="Times New Roman"/>
          <w:sz w:val="24"/>
          <w:szCs w:val="24"/>
        </w:rPr>
        <w:lastRenderedPageBreak/>
        <w:t>финансови посредници, включително предварителни пазарни консултации, публикуване на покани, срокове за получаване на оферти, оценяване, евентуални обжалвания и сключване на договор. Дори при добро планиране тези стъпки добавят месеци, а при обжалване – още повече, което пряко забавя първите инвестиции към крайните получатели (European Parliament, 2016).</w:t>
      </w:r>
    </w:p>
    <w:p w14:paraId="12694101"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Правната асиметрия има и материални последици върху дизайна на инструментите. ЕИБ/ЕИФ могат да комбинират средства от различни източници и да използват „</w:t>
      </w:r>
      <w:proofErr w:type="gramStart"/>
      <w:r w:rsidRPr="008226ED">
        <w:rPr>
          <w:rFonts w:ascii="Times New Roman" w:hAnsi="Times New Roman" w:cs="Times New Roman"/>
          <w:sz w:val="24"/>
          <w:szCs w:val="24"/>
        </w:rPr>
        <w:t>платформени“ решения</w:t>
      </w:r>
      <w:proofErr w:type="gramEnd"/>
      <w:r w:rsidRPr="008226ED">
        <w:rPr>
          <w:rFonts w:ascii="Times New Roman" w:hAnsi="Times New Roman" w:cs="Times New Roman"/>
          <w:sz w:val="24"/>
          <w:szCs w:val="24"/>
        </w:rPr>
        <w:t xml:space="preserve"> с вече стандартизирани договори и критерии, което води до икономии от мащаба и по-ниски транзакционни разходи на единица вложен ресурс. Националните управляващи органи, обратно, трябва да съгласуват документацията си едновременно с правилата на кохезионната политика, държавните помощи и обществените поръчки, а при всяка редакция на условията на финансовия инструмент да оценят дали не се налага нова процедура за избор или изменение на договора. Това „</w:t>
      </w:r>
      <w:proofErr w:type="gramStart"/>
      <w:r w:rsidRPr="008226ED">
        <w:rPr>
          <w:rFonts w:ascii="Times New Roman" w:hAnsi="Times New Roman" w:cs="Times New Roman"/>
          <w:sz w:val="24"/>
          <w:szCs w:val="24"/>
        </w:rPr>
        <w:t>закотвя“ параметрите</w:t>
      </w:r>
      <w:proofErr w:type="gramEnd"/>
      <w:r w:rsidRPr="008226ED">
        <w:rPr>
          <w:rFonts w:ascii="Times New Roman" w:hAnsi="Times New Roman" w:cs="Times New Roman"/>
          <w:sz w:val="24"/>
          <w:szCs w:val="24"/>
        </w:rPr>
        <w:t xml:space="preserve"> и прави по-трудно оперативното им пренастройване при промяна на пазарните условия, например корекции в целеви сегменти, прагове за риск-шеринг или възнаграждение на посредниците (European Parliament, 2016).</w:t>
      </w:r>
    </w:p>
    <w:p w14:paraId="6AEF86DF"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 оперативен план различният режим се отразява върху изграждането на „</w:t>
      </w:r>
      <w:proofErr w:type="gramStart"/>
      <w:r w:rsidRPr="008226ED">
        <w:rPr>
          <w:rFonts w:ascii="Times New Roman" w:hAnsi="Times New Roman" w:cs="Times New Roman"/>
          <w:sz w:val="24"/>
          <w:szCs w:val="24"/>
        </w:rPr>
        <w:t>pipeline“ от</w:t>
      </w:r>
      <w:proofErr w:type="gramEnd"/>
      <w:r w:rsidRPr="008226ED">
        <w:rPr>
          <w:rFonts w:ascii="Times New Roman" w:hAnsi="Times New Roman" w:cs="Times New Roman"/>
          <w:sz w:val="24"/>
          <w:szCs w:val="24"/>
        </w:rPr>
        <w:t xml:space="preserve"> проекти и скоростта на усвояване. Централно управляваните схеми могат бързо да мобилизират мрежи от банки и фондове с установени процедури за „</w:t>
      </w:r>
      <w:proofErr w:type="gramStart"/>
      <w:r w:rsidRPr="008226ED">
        <w:rPr>
          <w:rFonts w:ascii="Times New Roman" w:hAnsi="Times New Roman" w:cs="Times New Roman"/>
          <w:sz w:val="24"/>
          <w:szCs w:val="24"/>
        </w:rPr>
        <w:t>онбординг“ и</w:t>
      </w:r>
      <w:proofErr w:type="gramEnd"/>
      <w:r w:rsidRPr="008226ED">
        <w:rPr>
          <w:rFonts w:ascii="Times New Roman" w:hAnsi="Times New Roman" w:cs="Times New Roman"/>
          <w:sz w:val="24"/>
          <w:szCs w:val="24"/>
        </w:rPr>
        <w:t xml:space="preserve"> мониторинг, докато националните инструменти често започват от по-ниска база на административен капацитет и трябва да изградят от нулата система за прием, оценка, управление на риска, отчитане и одит. Ако възнагражденията на посредниците са проектирани твърде рестриктивно поради опасения от държавна помощ, интересът на пазара спада и изборът се затруднява; ако са проектирани прекалено щедро, възникват правни рискове и риск от финансови корекции. Този баланс е по-лесен за постигане при ЕИБ/ЕИФ, където има натрупана практика и вътрешни бенчмаркове, а за националните схеми често са нужни няколко итерации и изменения на условията след първите процедури (European Parliament, 2016).</w:t>
      </w:r>
    </w:p>
    <w:p w14:paraId="02160C1B"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Допълнителна особеност е взаимодействието с концепцията за лостов ефект и мобилизирането на частен капитал. При централизирани инструменти правилата за отчитане на привлечените средства и структурирането на риск-шеринг с посредници са </w:t>
      </w:r>
      <w:r w:rsidRPr="008226ED">
        <w:rPr>
          <w:rFonts w:ascii="Times New Roman" w:hAnsi="Times New Roman" w:cs="Times New Roman"/>
          <w:sz w:val="24"/>
          <w:szCs w:val="24"/>
        </w:rPr>
        <w:lastRenderedPageBreak/>
        <w:t>отдавна стандартизирани, което улеснява постигането и доказването на по-високи коефициенти на лост. При националните инструменти тълкуването на правилата често е по-предпазливо, особено когато трябва да се разграничат публични и частни съвложения, да се съобразят гаранционни покрития и да се отчетат различните видове инструменти. Това води до по-консервативни структури, които са по-лесни за одит, но понякога постигат по-нисък мобилизационен ефект и по-скъпо финансиране за крайните получатели (European Parliament, 2016).</w:t>
      </w:r>
    </w:p>
    <w:p w14:paraId="22DB1B49"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На стратегическо ниво асиметрията насърчава държавите членки да търсят „</w:t>
      </w:r>
      <w:proofErr w:type="gramStart"/>
      <w:r w:rsidRPr="008226ED">
        <w:rPr>
          <w:rFonts w:ascii="Times New Roman" w:hAnsi="Times New Roman" w:cs="Times New Roman"/>
          <w:sz w:val="24"/>
          <w:szCs w:val="24"/>
        </w:rPr>
        <w:t>хибридни“ решения</w:t>
      </w:r>
      <w:proofErr w:type="gramEnd"/>
      <w:r w:rsidRPr="008226ED">
        <w:rPr>
          <w:rFonts w:ascii="Times New Roman" w:hAnsi="Times New Roman" w:cs="Times New Roman"/>
          <w:sz w:val="24"/>
          <w:szCs w:val="24"/>
        </w:rPr>
        <w:t xml:space="preserve">: да възлагат ролята на управляващ фонд на ЕИБ/ЕИФ като поверен субект, но да запазят национални приоритети чрез специфични подфондове; или да използват „готови за </w:t>
      </w:r>
      <w:proofErr w:type="gramStart"/>
      <w:r w:rsidRPr="008226ED">
        <w:rPr>
          <w:rFonts w:ascii="Times New Roman" w:hAnsi="Times New Roman" w:cs="Times New Roman"/>
          <w:sz w:val="24"/>
          <w:szCs w:val="24"/>
        </w:rPr>
        <w:t>употреба“ продукти</w:t>
      </w:r>
      <w:proofErr w:type="gramEnd"/>
      <w:r w:rsidRPr="008226ED">
        <w:rPr>
          <w:rFonts w:ascii="Times New Roman" w:hAnsi="Times New Roman" w:cs="Times New Roman"/>
          <w:sz w:val="24"/>
          <w:szCs w:val="24"/>
        </w:rPr>
        <w:t xml:space="preserve"> за по-лесни сегменти и инструменти „по </w:t>
      </w:r>
      <w:proofErr w:type="gramStart"/>
      <w:r w:rsidRPr="008226ED">
        <w:rPr>
          <w:rFonts w:ascii="Times New Roman" w:hAnsi="Times New Roman" w:cs="Times New Roman"/>
          <w:sz w:val="24"/>
          <w:szCs w:val="24"/>
        </w:rPr>
        <w:t>мярка“ за</w:t>
      </w:r>
      <w:proofErr w:type="gramEnd"/>
      <w:r w:rsidRPr="008226ED">
        <w:rPr>
          <w:rFonts w:ascii="Times New Roman" w:hAnsi="Times New Roman" w:cs="Times New Roman"/>
          <w:sz w:val="24"/>
          <w:szCs w:val="24"/>
        </w:rPr>
        <w:t xml:space="preserve"> пазарни ниши. Така се компенсират ограниченията на националните процедури и се съкращава пътят до пазара, но се поставя и задача за по-сложна координация между централно и споделено управление, включително синхронизиране на индикатори, държавнопомощни рамки и отчетност. В противен случай рискът е да се акумулират неизползвани ресурси в края на периода или да се генерират „</w:t>
      </w:r>
      <w:proofErr w:type="gramStart"/>
      <w:r w:rsidRPr="008226ED">
        <w:rPr>
          <w:rFonts w:ascii="Times New Roman" w:hAnsi="Times New Roman" w:cs="Times New Roman"/>
          <w:sz w:val="24"/>
          <w:szCs w:val="24"/>
        </w:rPr>
        <w:t>последноминутни“ сделки</w:t>
      </w:r>
      <w:proofErr w:type="gramEnd"/>
      <w:r w:rsidRPr="008226ED">
        <w:rPr>
          <w:rFonts w:ascii="Times New Roman" w:hAnsi="Times New Roman" w:cs="Times New Roman"/>
          <w:sz w:val="24"/>
          <w:szCs w:val="24"/>
        </w:rPr>
        <w:t xml:space="preserve"> с по-ниско качество на портфейла, само за да се постигнат целите по усвояване (European Parliament, 2016).</w:t>
      </w:r>
    </w:p>
    <w:p w14:paraId="4AB29132"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 крайна сметка, „</w:t>
      </w:r>
      <w:proofErr w:type="gramStart"/>
      <w:r w:rsidRPr="008226ED">
        <w:rPr>
          <w:rFonts w:ascii="Times New Roman" w:hAnsi="Times New Roman" w:cs="Times New Roman"/>
          <w:sz w:val="24"/>
          <w:szCs w:val="24"/>
        </w:rPr>
        <w:t>двупистовостта“ не</w:t>
      </w:r>
      <w:proofErr w:type="gramEnd"/>
      <w:r w:rsidRPr="008226ED">
        <w:rPr>
          <w:rFonts w:ascii="Times New Roman" w:hAnsi="Times New Roman" w:cs="Times New Roman"/>
          <w:sz w:val="24"/>
          <w:szCs w:val="24"/>
        </w:rPr>
        <w:t xml:space="preserve"> е само юридическа разлика, а фактор, който определя скорост, разходи, гъвкавост и апетит за риск в прилагането на финансови инструменти. Предимството на централно управляваните схеми е оперативната лекота и стандартизацията, докато предимството на националните е по-доброто съответствие с местните нужди и възможността за по-целенасочено таргетиране. Пренастройването през 2014–2020 г. прави видими тези компромиси и подсказва, че оптималната конфигурация минава през ясно разпределение на ролите, хармонизиране на ключови дефиниции и методики и постепенно изграждане на административен капацитет, така че времето до първата инвестиция да се скъси без да се жертва правната сигурност и качеството на портфейла (European Parliament, 2016).</w:t>
      </w:r>
    </w:p>
    <w:p w14:paraId="42CE7E47" w14:textId="77777777" w:rsidR="002C4308" w:rsidRPr="008226ED" w:rsidRDefault="002C4308" w:rsidP="002C4308">
      <w:pPr>
        <w:spacing w:line="360" w:lineRule="auto"/>
        <w:ind w:firstLine="720"/>
        <w:jc w:val="both"/>
        <w:rPr>
          <w:rFonts w:ascii="Times New Roman" w:hAnsi="Times New Roman" w:cs="Times New Roman"/>
          <w:sz w:val="24"/>
          <w:szCs w:val="24"/>
          <w:lang w:val="bg-BG"/>
        </w:rPr>
      </w:pPr>
    </w:p>
    <w:p w14:paraId="04A14BDD"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За да се редуцират транзакционните разходи и правната несигурност, Комисията въвежда „готови за </w:t>
      </w:r>
      <w:proofErr w:type="gramStart"/>
      <w:r w:rsidRPr="008226ED">
        <w:rPr>
          <w:rFonts w:ascii="Times New Roman" w:hAnsi="Times New Roman" w:cs="Times New Roman"/>
          <w:sz w:val="24"/>
          <w:szCs w:val="24"/>
        </w:rPr>
        <w:t>употреба“ продукти</w:t>
      </w:r>
      <w:proofErr w:type="gramEnd"/>
      <w:r w:rsidRPr="008226ED">
        <w:rPr>
          <w:rFonts w:ascii="Times New Roman" w:hAnsi="Times New Roman" w:cs="Times New Roman"/>
          <w:sz w:val="24"/>
          <w:szCs w:val="24"/>
        </w:rPr>
        <w:t xml:space="preserve"> с предварително одобрени условия, съвместими с </w:t>
      </w:r>
      <w:r w:rsidRPr="008226ED">
        <w:rPr>
          <w:rFonts w:ascii="Times New Roman" w:hAnsi="Times New Roman" w:cs="Times New Roman"/>
          <w:sz w:val="24"/>
          <w:szCs w:val="24"/>
        </w:rPr>
        <w:lastRenderedPageBreak/>
        <w:t xml:space="preserve">CPR и правилата за държавна помощ. „Готовите за </w:t>
      </w:r>
      <w:proofErr w:type="gramStart"/>
      <w:r w:rsidRPr="008226ED">
        <w:rPr>
          <w:rFonts w:ascii="Times New Roman" w:hAnsi="Times New Roman" w:cs="Times New Roman"/>
          <w:sz w:val="24"/>
          <w:szCs w:val="24"/>
        </w:rPr>
        <w:t>употреба“ финансови</w:t>
      </w:r>
      <w:proofErr w:type="gramEnd"/>
      <w:r w:rsidRPr="008226ED">
        <w:rPr>
          <w:rFonts w:ascii="Times New Roman" w:hAnsi="Times New Roman" w:cs="Times New Roman"/>
          <w:sz w:val="24"/>
          <w:szCs w:val="24"/>
        </w:rPr>
        <w:t xml:space="preserve"> инструменти представляват стандартизирани схеми с предварително одобрени договорни клаузи, методики за изчисляване на държавната помощ и рамки за управление на риска, които могат да се внедрят от управляващите органи без дълго проектиране „от </w:t>
      </w:r>
      <w:proofErr w:type="gramStart"/>
      <w:r w:rsidRPr="008226ED">
        <w:rPr>
          <w:rFonts w:ascii="Times New Roman" w:hAnsi="Times New Roman" w:cs="Times New Roman"/>
          <w:sz w:val="24"/>
          <w:szCs w:val="24"/>
        </w:rPr>
        <w:t>нулата“</w:t>
      </w:r>
      <w:proofErr w:type="gramEnd"/>
      <w:r w:rsidRPr="008226ED">
        <w:rPr>
          <w:rFonts w:ascii="Times New Roman" w:hAnsi="Times New Roman" w:cs="Times New Roman"/>
          <w:sz w:val="24"/>
          <w:szCs w:val="24"/>
        </w:rPr>
        <w:t>. Типични примери са портфейлни гаранции с ограничен таван на загубите, споделени (risk-sharing) заеми през търговски банки и съвместни фондове за дялово участие с предварително дефинирани правила за вход и изход. Стандартизацията намалява транзакционните разходи: отпада нуждата да се разработват нови договори и методики, ускорява се съгласуването с правилата за държавна помощ (например чрез предвидени опции за de minimis или за прилагане на Общия регламент за групово освобождаване), а и одитният риск е по-нисък, защото документацията и алгоритмите за разпределяне на риска са вече „</w:t>
      </w:r>
      <w:proofErr w:type="gramStart"/>
      <w:r w:rsidRPr="008226ED">
        <w:rPr>
          <w:rFonts w:ascii="Times New Roman" w:hAnsi="Times New Roman" w:cs="Times New Roman"/>
          <w:sz w:val="24"/>
          <w:szCs w:val="24"/>
        </w:rPr>
        <w:t>проверени“ в</w:t>
      </w:r>
      <w:proofErr w:type="gramEnd"/>
      <w:r w:rsidRPr="008226ED">
        <w:rPr>
          <w:rFonts w:ascii="Times New Roman" w:hAnsi="Times New Roman" w:cs="Times New Roman"/>
          <w:sz w:val="24"/>
          <w:szCs w:val="24"/>
        </w:rPr>
        <w:t xml:space="preserve"> предходни приложения (European Parliament, 2016).</w:t>
      </w:r>
    </w:p>
    <w:p w14:paraId="3AE81688"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Практическото предимство е най-видимо там, където административният капацитет е ограничен или пазарът има нужда от бързо, масово решение — например национална гаранционна схема за МСП, която да обезпечи банковото кредитиране в цялата страна. В такива случаи стандартният продукт позволява бързо договаряне с мрежи от посредници, еднозначни критерии за допустимост, унифицирани формуляри и отчетност, а разходите на единица мобилизиран частен ресурс спадат. Ограничението е, че тези „</w:t>
      </w:r>
      <w:proofErr w:type="gramStart"/>
      <w:r w:rsidRPr="008226ED">
        <w:rPr>
          <w:rFonts w:ascii="Times New Roman" w:hAnsi="Times New Roman" w:cs="Times New Roman"/>
          <w:sz w:val="24"/>
          <w:szCs w:val="24"/>
        </w:rPr>
        <w:t>универсални“ инструменти</w:t>
      </w:r>
      <w:proofErr w:type="gramEnd"/>
      <w:r w:rsidRPr="008226ED">
        <w:rPr>
          <w:rFonts w:ascii="Times New Roman" w:hAnsi="Times New Roman" w:cs="Times New Roman"/>
          <w:sz w:val="24"/>
          <w:szCs w:val="24"/>
        </w:rPr>
        <w:t xml:space="preserve"> не винаги съвпадат с конкретния пазарен пропуск: например иновационни фирми в ранна фаза може да се нуждаят от по-дълъг гратисен период, по-гъвкави ковенанти или нестандартен първичен риск-шеринг, които стандартната гаранция или стандартният заем не допуска. В такива случаи инструмент „по </w:t>
      </w:r>
      <w:proofErr w:type="gramStart"/>
      <w:r w:rsidRPr="008226ED">
        <w:rPr>
          <w:rFonts w:ascii="Times New Roman" w:hAnsi="Times New Roman" w:cs="Times New Roman"/>
          <w:sz w:val="24"/>
          <w:szCs w:val="24"/>
        </w:rPr>
        <w:t>мярка“ —</w:t>
      </w:r>
      <w:proofErr w:type="gramEnd"/>
      <w:r w:rsidRPr="008226ED">
        <w:rPr>
          <w:rFonts w:ascii="Times New Roman" w:hAnsi="Times New Roman" w:cs="Times New Roman"/>
          <w:sz w:val="24"/>
          <w:szCs w:val="24"/>
        </w:rPr>
        <w:t xml:space="preserve"> с различни прагове на първа загуба, променливи проценти на покритие по риск, специализирани показатели за изпълнение и целеви сектори — е по-адекватен, но изисква повече време за екс-анте обосновка, избор на фонд мениджър, съгласуване на държавнопомощната рамка и, често, провеждане на процедурa по обществена поръчка или еквивалентен конкурентен процес (European Parliament, 2016).</w:t>
      </w:r>
    </w:p>
    <w:p w14:paraId="74B5308D"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Разширените възможности за комбиниране на безвъзмездни средства с финансови инструменти добавят още един слой. На ниво проект „</w:t>
      </w:r>
      <w:proofErr w:type="gramStart"/>
      <w:r w:rsidRPr="008226ED">
        <w:rPr>
          <w:rFonts w:ascii="Times New Roman" w:hAnsi="Times New Roman" w:cs="Times New Roman"/>
          <w:sz w:val="24"/>
          <w:szCs w:val="24"/>
        </w:rPr>
        <w:t>смесването“ може</w:t>
      </w:r>
      <w:proofErr w:type="gramEnd"/>
      <w:r w:rsidRPr="008226ED">
        <w:rPr>
          <w:rFonts w:ascii="Times New Roman" w:hAnsi="Times New Roman" w:cs="Times New Roman"/>
          <w:sz w:val="24"/>
          <w:szCs w:val="24"/>
        </w:rPr>
        <w:t xml:space="preserve"> да изглежда така: грант се използва за нефинансируем публичен компонент или за постигане на допълнителен екологичен стандарт, а заем/гаранция покрива приходогенериращата част; или грант </w:t>
      </w:r>
      <w:r w:rsidRPr="008226ED">
        <w:rPr>
          <w:rFonts w:ascii="Times New Roman" w:hAnsi="Times New Roman" w:cs="Times New Roman"/>
          <w:sz w:val="24"/>
          <w:szCs w:val="24"/>
        </w:rPr>
        <w:lastRenderedPageBreak/>
        <w:t xml:space="preserve">субсидира лихвата/таксите, докато основният риск и главницата се поемат от револвиращ инструмент. На ниво схема комбинацията може да е чрез грантов „първа </w:t>
      </w:r>
      <w:proofErr w:type="gramStart"/>
      <w:r w:rsidRPr="008226ED">
        <w:rPr>
          <w:rFonts w:ascii="Times New Roman" w:hAnsi="Times New Roman" w:cs="Times New Roman"/>
          <w:sz w:val="24"/>
          <w:szCs w:val="24"/>
        </w:rPr>
        <w:t>загуба“ слой</w:t>
      </w:r>
      <w:proofErr w:type="gramEnd"/>
      <w:r w:rsidRPr="008226ED">
        <w:rPr>
          <w:rFonts w:ascii="Times New Roman" w:hAnsi="Times New Roman" w:cs="Times New Roman"/>
          <w:sz w:val="24"/>
          <w:szCs w:val="24"/>
        </w:rPr>
        <w:t xml:space="preserve"> във фонд за дялово участие/дълг, който де-рискира частните съинвеститори и привлича по-големи обеми. Тези конструкции реално ускоряват прехода от чисти субсидии към револвиращи решения и подобряват ефективността на публичния ресурс, но поставят високи изисквания към управлението: трябва ясно да се разделят допустимостта на разходите и индикаторите за двата източника, да се предотврати двойно финансиране, да се управлява кумулацията на държавна помощ и да се поддържа непрекъсната одитна следа за всеки „</w:t>
      </w:r>
      <w:proofErr w:type="gramStart"/>
      <w:r w:rsidRPr="008226ED">
        <w:rPr>
          <w:rFonts w:ascii="Times New Roman" w:hAnsi="Times New Roman" w:cs="Times New Roman"/>
          <w:sz w:val="24"/>
          <w:szCs w:val="24"/>
        </w:rPr>
        <w:t>евро“ по</w:t>
      </w:r>
      <w:proofErr w:type="gramEnd"/>
      <w:r w:rsidRPr="008226ED">
        <w:rPr>
          <w:rFonts w:ascii="Times New Roman" w:hAnsi="Times New Roman" w:cs="Times New Roman"/>
          <w:sz w:val="24"/>
          <w:szCs w:val="24"/>
        </w:rPr>
        <w:t xml:space="preserve"> отделните слоеве (European Parliament, 2016).</w:t>
      </w:r>
    </w:p>
    <w:p w14:paraId="6614868F"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Административно това означава отделни модули в информационните системи за проследяване на грантовата и инструментната компонента, синхронизирани правила за подбор и мониторинг, и съгласувани договори с посредниците, които да уреждат последователността на плащанията, разпределението на риска и начина на отчитане на индикаторите. Когато се използва „готов за </w:t>
      </w:r>
      <w:proofErr w:type="gramStart"/>
      <w:r w:rsidRPr="008226ED">
        <w:rPr>
          <w:rFonts w:ascii="Times New Roman" w:hAnsi="Times New Roman" w:cs="Times New Roman"/>
          <w:sz w:val="24"/>
          <w:szCs w:val="24"/>
        </w:rPr>
        <w:t>употреба“ продукт</w:t>
      </w:r>
      <w:proofErr w:type="gramEnd"/>
      <w:r w:rsidRPr="008226ED">
        <w:rPr>
          <w:rFonts w:ascii="Times New Roman" w:hAnsi="Times New Roman" w:cs="Times New Roman"/>
          <w:sz w:val="24"/>
          <w:szCs w:val="24"/>
        </w:rPr>
        <w:t xml:space="preserve">, управленските процеси и шаблоните за отчетност често вече съдържат тези механизми, докато при „по </w:t>
      </w:r>
      <w:proofErr w:type="gramStart"/>
      <w:r w:rsidRPr="008226ED">
        <w:rPr>
          <w:rFonts w:ascii="Times New Roman" w:hAnsi="Times New Roman" w:cs="Times New Roman"/>
          <w:sz w:val="24"/>
          <w:szCs w:val="24"/>
        </w:rPr>
        <w:t>мярка“ решенията</w:t>
      </w:r>
      <w:proofErr w:type="gramEnd"/>
      <w:r w:rsidRPr="008226ED">
        <w:rPr>
          <w:rFonts w:ascii="Times New Roman" w:hAnsi="Times New Roman" w:cs="Times New Roman"/>
          <w:sz w:val="24"/>
          <w:szCs w:val="24"/>
        </w:rPr>
        <w:t xml:space="preserve"> те трябва да се кодифицират изцяло — от дефиниране на лостовия ефект и методиката за изчисляването му до формулите за възнаграждение на посредника, свързани с качеството и скоростта на изграждане на портфейл. Затова изборът между стандартен и „по </w:t>
      </w:r>
      <w:proofErr w:type="gramStart"/>
      <w:r w:rsidRPr="008226ED">
        <w:rPr>
          <w:rFonts w:ascii="Times New Roman" w:hAnsi="Times New Roman" w:cs="Times New Roman"/>
          <w:sz w:val="24"/>
          <w:szCs w:val="24"/>
        </w:rPr>
        <w:t>мярка“ инструмент</w:t>
      </w:r>
      <w:proofErr w:type="gramEnd"/>
      <w:r w:rsidRPr="008226ED">
        <w:rPr>
          <w:rFonts w:ascii="Times New Roman" w:hAnsi="Times New Roman" w:cs="Times New Roman"/>
          <w:sz w:val="24"/>
          <w:szCs w:val="24"/>
        </w:rPr>
        <w:t xml:space="preserve"> по същество е избор между по-бърз старт и по-ниски транзакционни разходи, от една страна, и по-висока степен на пазарна пригодност и целеви ефект, от друга — като и в двата случая ключово остава ранното и ясно правно-методическо рамкиране, за да не се превърне „</w:t>
      </w:r>
      <w:proofErr w:type="gramStart"/>
      <w:r w:rsidRPr="008226ED">
        <w:rPr>
          <w:rFonts w:ascii="Times New Roman" w:hAnsi="Times New Roman" w:cs="Times New Roman"/>
          <w:sz w:val="24"/>
          <w:szCs w:val="24"/>
        </w:rPr>
        <w:t>смесването“ в</w:t>
      </w:r>
      <w:proofErr w:type="gramEnd"/>
      <w:r w:rsidRPr="008226ED">
        <w:rPr>
          <w:rFonts w:ascii="Times New Roman" w:hAnsi="Times New Roman" w:cs="Times New Roman"/>
          <w:sz w:val="24"/>
          <w:szCs w:val="24"/>
        </w:rPr>
        <w:t xml:space="preserve"> източник на правна несигурност и одитни корекции (European Parliament, 2016).</w:t>
      </w:r>
    </w:p>
    <w:p w14:paraId="22C5DBCD" w14:textId="77777777" w:rsidR="007F60B7" w:rsidRPr="008226ED" w:rsidRDefault="007F60B7" w:rsidP="007F60B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„Лостов </w:t>
      </w:r>
      <w:proofErr w:type="gramStart"/>
      <w:r w:rsidRPr="008226ED">
        <w:rPr>
          <w:rFonts w:ascii="Times New Roman" w:hAnsi="Times New Roman" w:cs="Times New Roman"/>
          <w:sz w:val="24"/>
          <w:szCs w:val="24"/>
        </w:rPr>
        <w:t>ефект“ по</w:t>
      </w:r>
      <w:proofErr w:type="gramEnd"/>
      <w:r w:rsidRPr="008226ED">
        <w:rPr>
          <w:rFonts w:ascii="Times New Roman" w:hAnsi="Times New Roman" w:cs="Times New Roman"/>
          <w:sz w:val="24"/>
          <w:szCs w:val="24"/>
        </w:rPr>
        <w:t xml:space="preserve"> същество измерва колко допълнително финансиране се мобилизира спрямо публичния ресурс на програмата, но в рамката на CPR през 2014–2020 г. остават ключови неясноти: кои точно потоци се броят за „</w:t>
      </w:r>
      <w:proofErr w:type="gramStart"/>
      <w:r w:rsidRPr="008226ED">
        <w:rPr>
          <w:rFonts w:ascii="Times New Roman" w:hAnsi="Times New Roman" w:cs="Times New Roman"/>
          <w:sz w:val="24"/>
          <w:szCs w:val="24"/>
        </w:rPr>
        <w:t>мобилизирани“</w:t>
      </w:r>
      <w:proofErr w:type="gramEnd"/>
      <w:r w:rsidRPr="008226ED">
        <w:rPr>
          <w:rFonts w:ascii="Times New Roman" w:hAnsi="Times New Roman" w:cs="Times New Roman"/>
          <w:sz w:val="24"/>
          <w:szCs w:val="24"/>
        </w:rPr>
        <w:t xml:space="preserve">, на кое ниво се отчитат и в кой момент се измерват. Концептуално може да се гледа като отношение между общия обем финансиране към крайните получатели и приносите от оперативната програма, но CPR не казва изрично дали в числителя влизат само частни пари, или и националното публично съфинансиране; дали се броят допълнителните съинвестиции по сделки; и дали се работи с поети ангажименти, подписани договори или реално усвоени суми. Поради това </w:t>
      </w:r>
      <w:r w:rsidRPr="008226ED">
        <w:rPr>
          <w:rFonts w:ascii="Times New Roman" w:hAnsi="Times New Roman" w:cs="Times New Roman"/>
          <w:sz w:val="24"/>
          <w:szCs w:val="24"/>
        </w:rPr>
        <w:lastRenderedPageBreak/>
        <w:t>две еднакви по същност схеми могат да показват различен „</w:t>
      </w:r>
      <w:proofErr w:type="gramStart"/>
      <w:r w:rsidRPr="008226ED">
        <w:rPr>
          <w:rFonts w:ascii="Times New Roman" w:hAnsi="Times New Roman" w:cs="Times New Roman"/>
          <w:sz w:val="24"/>
          <w:szCs w:val="24"/>
        </w:rPr>
        <w:t>лост“ в</w:t>
      </w:r>
      <w:proofErr w:type="gramEnd"/>
      <w:r w:rsidRPr="008226ED">
        <w:rPr>
          <w:rFonts w:ascii="Times New Roman" w:hAnsi="Times New Roman" w:cs="Times New Roman"/>
          <w:sz w:val="24"/>
          <w:szCs w:val="24"/>
        </w:rPr>
        <w:t xml:space="preserve"> различни държави, което подкопава сравнимостта и усложнява одита (European Parliament, 2016).</w:t>
      </w:r>
    </w:p>
    <w:p w14:paraId="1B8E097D" w14:textId="77777777" w:rsidR="007F60B7" w:rsidRPr="008226ED" w:rsidRDefault="007F60B7" w:rsidP="007F60B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При гаранционен инструмент типична конструкция е портфейлна гаранция с таван на загубите. Ако една програма отдели 50 млн. евро за гаранционен капацитет с 20% кап на загубите, тя може да подкрепи портфейл от заеми до 250 млн. евро. Ако се приеме, че „</w:t>
      </w:r>
      <w:proofErr w:type="gramStart"/>
      <w:r w:rsidRPr="008226ED">
        <w:rPr>
          <w:rFonts w:ascii="Times New Roman" w:hAnsi="Times New Roman" w:cs="Times New Roman"/>
          <w:sz w:val="24"/>
          <w:szCs w:val="24"/>
        </w:rPr>
        <w:t>лостът“ е</w:t>
      </w:r>
      <w:proofErr w:type="gramEnd"/>
      <w:r w:rsidRPr="008226ED">
        <w:rPr>
          <w:rFonts w:ascii="Times New Roman" w:hAnsi="Times New Roman" w:cs="Times New Roman"/>
          <w:sz w:val="24"/>
          <w:szCs w:val="24"/>
        </w:rPr>
        <w:t xml:space="preserve"> просто съотношението между размера на портфейла и публичния ресурс, резултатът е 5:1. Но част от този портфейл често се съфинансира и от национални публични банки, а банките изискват и собствен принос от фирмите. Ако към 250-те милиона добавим и 25% съфинансиране от получателите на проектно ниво, „</w:t>
      </w:r>
      <w:proofErr w:type="gramStart"/>
      <w:r w:rsidRPr="008226ED">
        <w:rPr>
          <w:rFonts w:ascii="Times New Roman" w:hAnsi="Times New Roman" w:cs="Times New Roman"/>
          <w:sz w:val="24"/>
          <w:szCs w:val="24"/>
        </w:rPr>
        <w:t>лостът“ изкуствено</w:t>
      </w:r>
      <w:proofErr w:type="gramEnd"/>
      <w:r w:rsidRPr="008226ED">
        <w:rPr>
          <w:rFonts w:ascii="Times New Roman" w:hAnsi="Times New Roman" w:cs="Times New Roman"/>
          <w:sz w:val="24"/>
          <w:szCs w:val="24"/>
        </w:rPr>
        <w:t xml:space="preserve"> „</w:t>
      </w:r>
      <w:proofErr w:type="gramStart"/>
      <w:r w:rsidRPr="008226ED">
        <w:rPr>
          <w:rFonts w:ascii="Times New Roman" w:hAnsi="Times New Roman" w:cs="Times New Roman"/>
          <w:sz w:val="24"/>
          <w:szCs w:val="24"/>
        </w:rPr>
        <w:t>скача“ до</w:t>
      </w:r>
      <w:proofErr w:type="gramEnd"/>
      <w:r w:rsidRPr="008226ED">
        <w:rPr>
          <w:rFonts w:ascii="Times New Roman" w:hAnsi="Times New Roman" w:cs="Times New Roman"/>
          <w:sz w:val="24"/>
          <w:szCs w:val="24"/>
        </w:rPr>
        <w:t xml:space="preserve"> 6,25:1; ако пък включим и националното публично съфинансиране в знаменателя, показателят пада. Без единно правило дали числителят включва само частни средства и на кое ниво – инструмент или проект – се получават коренно различни стойности, които са трудни за одит и за междудържавни сравнения (European Parliament, 2016).</w:t>
      </w:r>
    </w:p>
    <w:p w14:paraId="330EB4DC" w14:textId="77777777" w:rsidR="007F60B7" w:rsidRPr="008226ED" w:rsidRDefault="007F60B7" w:rsidP="007F60B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При заемни фондове дилемите са сходни, но се добавя ефектът от споделяне на риска с търговски банки. Представете си фонд с 100 млн. евро принос от програмата и 20 млн. евро национално публично съфинансиране, който сключва рамков риск-шеринг с банки в съотношение 50:50. Банковата система добавя още 120 млн. евро и общият обем заеми към МСП достига 240 млн. евро. Ако „</w:t>
      </w:r>
      <w:proofErr w:type="gramStart"/>
      <w:r w:rsidRPr="008226ED">
        <w:rPr>
          <w:rFonts w:ascii="Times New Roman" w:hAnsi="Times New Roman" w:cs="Times New Roman"/>
          <w:sz w:val="24"/>
          <w:szCs w:val="24"/>
        </w:rPr>
        <w:t>лостът“ се</w:t>
      </w:r>
      <w:proofErr w:type="gramEnd"/>
      <w:r w:rsidRPr="008226ED">
        <w:rPr>
          <w:rFonts w:ascii="Times New Roman" w:hAnsi="Times New Roman" w:cs="Times New Roman"/>
          <w:sz w:val="24"/>
          <w:szCs w:val="24"/>
        </w:rPr>
        <w:t xml:space="preserve"> дефинира като общи заеми / принос от програмата, получаваме 2,4:1; ако в знаменателя включим и националния публичен компонент, коефициентът пада на 2:1; ако в числителя добавим и собствени средства на получателите за проектите, отново расте. Неяснотата как да се третират паралелните банкови пари – като „</w:t>
      </w:r>
      <w:proofErr w:type="gramStart"/>
      <w:r w:rsidRPr="008226ED">
        <w:rPr>
          <w:rFonts w:ascii="Times New Roman" w:hAnsi="Times New Roman" w:cs="Times New Roman"/>
          <w:sz w:val="24"/>
          <w:szCs w:val="24"/>
        </w:rPr>
        <w:t>мобилизирани“ от</w:t>
      </w:r>
      <w:proofErr w:type="gramEnd"/>
      <w:r w:rsidRPr="008226ED">
        <w:rPr>
          <w:rFonts w:ascii="Times New Roman" w:hAnsi="Times New Roman" w:cs="Times New Roman"/>
          <w:sz w:val="24"/>
          <w:szCs w:val="24"/>
        </w:rPr>
        <w:t xml:space="preserve"> инструмента или като обичайно кредитиране – води до различни отчетни практики и последващи корекции при одит (European Parliament, 2016).</w:t>
      </w:r>
    </w:p>
    <w:p w14:paraId="563D3B74" w14:textId="77777777" w:rsidR="007F60B7" w:rsidRPr="008226ED" w:rsidRDefault="007F60B7" w:rsidP="007F60B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При дялови и квази-дялови фондове проблемът е разграничаването между размера на фонда и „съинвестициите по </w:t>
      </w:r>
      <w:proofErr w:type="gramStart"/>
      <w:r w:rsidRPr="008226ED">
        <w:rPr>
          <w:rFonts w:ascii="Times New Roman" w:hAnsi="Times New Roman" w:cs="Times New Roman"/>
          <w:sz w:val="24"/>
          <w:szCs w:val="24"/>
        </w:rPr>
        <w:t>сделки“</w:t>
      </w:r>
      <w:proofErr w:type="gramEnd"/>
      <w:r w:rsidRPr="008226ED">
        <w:rPr>
          <w:rFonts w:ascii="Times New Roman" w:hAnsi="Times New Roman" w:cs="Times New Roman"/>
          <w:sz w:val="24"/>
          <w:szCs w:val="24"/>
        </w:rPr>
        <w:t>. Ако оперативната програма е „</w:t>
      </w:r>
      <w:proofErr w:type="gramStart"/>
      <w:r w:rsidRPr="008226ED">
        <w:rPr>
          <w:rFonts w:ascii="Times New Roman" w:hAnsi="Times New Roman" w:cs="Times New Roman"/>
          <w:sz w:val="24"/>
          <w:szCs w:val="24"/>
        </w:rPr>
        <w:t>котва“ с</w:t>
      </w:r>
      <w:proofErr w:type="gramEnd"/>
      <w:r w:rsidRPr="008226ED">
        <w:rPr>
          <w:rFonts w:ascii="Times New Roman" w:hAnsi="Times New Roman" w:cs="Times New Roman"/>
          <w:sz w:val="24"/>
          <w:szCs w:val="24"/>
        </w:rPr>
        <w:t xml:space="preserve"> 40 млн. евро, частни инвеститори добавят 60 млн. евро и фондът е 100 млн. евро, може да се отчете „</w:t>
      </w:r>
      <w:proofErr w:type="gramStart"/>
      <w:r w:rsidRPr="008226ED">
        <w:rPr>
          <w:rFonts w:ascii="Times New Roman" w:hAnsi="Times New Roman" w:cs="Times New Roman"/>
          <w:sz w:val="24"/>
          <w:szCs w:val="24"/>
        </w:rPr>
        <w:t>лост“ 2</w:t>
      </w:r>
      <w:proofErr w:type="gramEnd"/>
      <w:r w:rsidRPr="008226ED">
        <w:rPr>
          <w:rFonts w:ascii="Times New Roman" w:hAnsi="Times New Roman" w:cs="Times New Roman"/>
          <w:sz w:val="24"/>
          <w:szCs w:val="24"/>
        </w:rPr>
        <w:t>,5:1, ако числителят е целият фонд срещу принос от 40 млн. евро. Но често по конкретни сделки влизат допълнителни съинвестиции от бизнес ангели или корпоративни партньори. Дали тези допълнителни 50 млн. евро по сделки се броят за „</w:t>
      </w:r>
      <w:proofErr w:type="gramStart"/>
      <w:r w:rsidRPr="008226ED">
        <w:rPr>
          <w:rFonts w:ascii="Times New Roman" w:hAnsi="Times New Roman" w:cs="Times New Roman"/>
          <w:sz w:val="24"/>
          <w:szCs w:val="24"/>
        </w:rPr>
        <w:t>мобилизирани“ от</w:t>
      </w:r>
      <w:proofErr w:type="gramEnd"/>
      <w:r w:rsidRPr="008226ED">
        <w:rPr>
          <w:rFonts w:ascii="Times New Roman" w:hAnsi="Times New Roman" w:cs="Times New Roman"/>
          <w:sz w:val="24"/>
          <w:szCs w:val="24"/>
        </w:rPr>
        <w:t xml:space="preserve"> инструмента и кога – при подписване, при първо затваряне или при изход – CPR не казва еднозначно. Ако се броят, „</w:t>
      </w:r>
      <w:proofErr w:type="gramStart"/>
      <w:r w:rsidRPr="008226ED">
        <w:rPr>
          <w:rFonts w:ascii="Times New Roman" w:hAnsi="Times New Roman" w:cs="Times New Roman"/>
          <w:sz w:val="24"/>
          <w:szCs w:val="24"/>
        </w:rPr>
        <w:t>лостът“ набъбва</w:t>
      </w:r>
      <w:proofErr w:type="gramEnd"/>
      <w:r w:rsidRPr="008226ED">
        <w:rPr>
          <w:rFonts w:ascii="Times New Roman" w:hAnsi="Times New Roman" w:cs="Times New Roman"/>
          <w:sz w:val="24"/>
          <w:szCs w:val="24"/>
        </w:rPr>
        <w:t xml:space="preserve">, но възниква риск от двойно отчитане и </w:t>
      </w:r>
      <w:r w:rsidRPr="008226ED">
        <w:rPr>
          <w:rFonts w:ascii="Times New Roman" w:hAnsi="Times New Roman" w:cs="Times New Roman"/>
          <w:sz w:val="24"/>
          <w:szCs w:val="24"/>
        </w:rPr>
        <w:lastRenderedPageBreak/>
        <w:t>отчитане на средства, които не са пряко обусловени от публичния принос (European Parliament, 2016).</w:t>
      </w:r>
    </w:p>
    <w:p w14:paraId="061EC1B0" w14:textId="77777777" w:rsidR="007F60B7" w:rsidRPr="008226ED" w:rsidRDefault="007F60B7" w:rsidP="007F60B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Времевото измерение също поражда разминавания. Част от управляващите органи отчитат „</w:t>
      </w:r>
      <w:proofErr w:type="gramStart"/>
      <w:r w:rsidRPr="008226ED">
        <w:rPr>
          <w:rFonts w:ascii="Times New Roman" w:hAnsi="Times New Roman" w:cs="Times New Roman"/>
          <w:sz w:val="24"/>
          <w:szCs w:val="24"/>
        </w:rPr>
        <w:t>лост“ на</w:t>
      </w:r>
      <w:proofErr w:type="gramEnd"/>
      <w:r w:rsidRPr="008226ED">
        <w:rPr>
          <w:rFonts w:ascii="Times New Roman" w:hAnsi="Times New Roman" w:cs="Times New Roman"/>
          <w:sz w:val="24"/>
          <w:szCs w:val="24"/>
        </w:rPr>
        <w:t xml:space="preserve"> база поети ангажименти или подписани лимити по портфейли, което дава високи ранни стойности, но не отразява реалното усвояване. Други държави настояват за измерване върху реално усвоени суми или дори върху изискуеми експозиции след отчитане на ранни погасявания, което логично води до по-ниски, но по-консервативни коефициенти. При одит това различие често се превръща в източник на корекции и спорове за методиката, особено когато възнаграждението на фонд мениджъра е обвързано с лостов ефект (European Parliament, 2016).</w:t>
      </w:r>
    </w:p>
    <w:p w14:paraId="64F929AB" w14:textId="77777777" w:rsidR="007F60B7" w:rsidRPr="008226ED" w:rsidRDefault="007F60B7" w:rsidP="007F60B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Нивата на източници допълнително усложняват сметката. В един и същ инструмент могат да съществуват: принос от ЕС по оперативната програма, национално публично съфинансиране, публични пари на ниво инструмент от промоционални банки, частни пари на ниво инструмент и частни пари на ниво проект. Ако една държава отчита като „</w:t>
      </w:r>
      <w:proofErr w:type="gramStart"/>
      <w:r w:rsidRPr="008226ED">
        <w:rPr>
          <w:rFonts w:ascii="Times New Roman" w:hAnsi="Times New Roman" w:cs="Times New Roman"/>
          <w:sz w:val="24"/>
          <w:szCs w:val="24"/>
        </w:rPr>
        <w:t>мобилизирани“ всички</w:t>
      </w:r>
      <w:proofErr w:type="gramEnd"/>
      <w:r w:rsidRPr="008226ED">
        <w:rPr>
          <w:rFonts w:ascii="Times New Roman" w:hAnsi="Times New Roman" w:cs="Times New Roman"/>
          <w:sz w:val="24"/>
          <w:szCs w:val="24"/>
        </w:rPr>
        <w:t xml:space="preserve"> извън-ЕС източници, а друга – само частните на ниво проект, сравнимостта се губи. Практическото решение, което изследването препоръчва, е да се въведе матрично отчитане по източник и ниво, с ясно разграничение „какво мобилизира </w:t>
      </w:r>
      <w:proofErr w:type="gramStart"/>
      <w:r w:rsidRPr="008226ED">
        <w:rPr>
          <w:rFonts w:ascii="Times New Roman" w:hAnsi="Times New Roman" w:cs="Times New Roman"/>
          <w:sz w:val="24"/>
          <w:szCs w:val="24"/>
        </w:rPr>
        <w:t>какво“</w:t>
      </w:r>
      <w:proofErr w:type="gramEnd"/>
      <w:r w:rsidRPr="008226ED">
        <w:rPr>
          <w:rFonts w:ascii="Times New Roman" w:hAnsi="Times New Roman" w:cs="Times New Roman"/>
          <w:sz w:val="24"/>
          <w:szCs w:val="24"/>
        </w:rPr>
        <w:t>, и да се фиксира моментът на измерване, така че показателят да е еднозначен и проверим (European Parliament, 2016).</w:t>
      </w:r>
    </w:p>
    <w:p w14:paraId="45C06FD2" w14:textId="77777777" w:rsidR="007F60B7" w:rsidRPr="008226ED" w:rsidRDefault="007F60B7" w:rsidP="007F60B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Има и специфични казуси по инструменти. При гаранции въпросът е дали „</w:t>
      </w:r>
      <w:proofErr w:type="gramStart"/>
      <w:r w:rsidRPr="008226ED">
        <w:rPr>
          <w:rFonts w:ascii="Times New Roman" w:hAnsi="Times New Roman" w:cs="Times New Roman"/>
          <w:sz w:val="24"/>
          <w:szCs w:val="24"/>
        </w:rPr>
        <w:t>лостът“ се</w:t>
      </w:r>
      <w:proofErr w:type="gramEnd"/>
      <w:r w:rsidRPr="008226ED">
        <w:rPr>
          <w:rFonts w:ascii="Times New Roman" w:hAnsi="Times New Roman" w:cs="Times New Roman"/>
          <w:sz w:val="24"/>
          <w:szCs w:val="24"/>
        </w:rPr>
        <w:t xml:space="preserve"> мери спрямо брутния портфейл на банката или спрямо гарантираната част; дали се отчитат рефинансирания/револвиране в рамките на портфейла; и как се третират възстановяванията при неизпълнение и последващите рециклирания на ресурса. При заемни продукти е важно дали се включват рефлоу средствата при повторно използване и в какъв период; при дялови – дали „</w:t>
      </w:r>
      <w:proofErr w:type="gramStart"/>
      <w:r w:rsidRPr="008226ED">
        <w:rPr>
          <w:rFonts w:ascii="Times New Roman" w:hAnsi="Times New Roman" w:cs="Times New Roman"/>
          <w:sz w:val="24"/>
          <w:szCs w:val="24"/>
        </w:rPr>
        <w:t>съинвестициите“ се</w:t>
      </w:r>
      <w:proofErr w:type="gramEnd"/>
      <w:r w:rsidRPr="008226ED">
        <w:rPr>
          <w:rFonts w:ascii="Times New Roman" w:hAnsi="Times New Roman" w:cs="Times New Roman"/>
          <w:sz w:val="24"/>
          <w:szCs w:val="24"/>
        </w:rPr>
        <w:t xml:space="preserve"> признават само ако са договорно предвидени от началото, или и ако възникнат опортюнистично. Във всички тези случаи липсата на дефиниция в CPR позволява разнопосочни тълкувания, което води до „одитен </w:t>
      </w:r>
      <w:proofErr w:type="gramStart"/>
      <w:r w:rsidRPr="008226ED">
        <w:rPr>
          <w:rFonts w:ascii="Times New Roman" w:hAnsi="Times New Roman" w:cs="Times New Roman"/>
          <w:sz w:val="24"/>
          <w:szCs w:val="24"/>
        </w:rPr>
        <w:t>риск“ и</w:t>
      </w:r>
      <w:proofErr w:type="gramEnd"/>
      <w:r w:rsidRPr="008226ED">
        <w:rPr>
          <w:rFonts w:ascii="Times New Roman" w:hAnsi="Times New Roman" w:cs="Times New Roman"/>
          <w:sz w:val="24"/>
          <w:szCs w:val="24"/>
        </w:rPr>
        <w:t xml:space="preserve"> непредвидимост за мениджърите и инвеститорите (European Parliament, 2016).</w:t>
      </w:r>
    </w:p>
    <w:p w14:paraId="028E97F2" w14:textId="77777777" w:rsidR="007F60B7" w:rsidRPr="008226ED" w:rsidRDefault="007F60B7" w:rsidP="007F60B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Практически пример показва колко чувствителен е показателят към методиката. Фонд за МСП с 80 млн. евро от програмата и 20 млн. евро национално публично съфинансиране привлича 100 млн. евро от банки чрез риск-шеринг и отпуска 200 млн. евро </w:t>
      </w:r>
      <w:r w:rsidRPr="008226ED">
        <w:rPr>
          <w:rFonts w:ascii="Times New Roman" w:hAnsi="Times New Roman" w:cs="Times New Roman"/>
          <w:sz w:val="24"/>
          <w:szCs w:val="24"/>
        </w:rPr>
        <w:lastRenderedPageBreak/>
        <w:t>заеми. Ако дефинираме лоста като 200 / 80, получаваме 2,5:1. Ако обаче включим националното публично съфинансиране в знаменателя, става 200 / 100 = 2:1. Ако пък броим и 50 млн. евро собствени средства на получателите като „мобилизирани“, получаваме 250 / 80 = 3,125:1. И трите числа описват един и същ инструмент, но водят до несравними политики и потенциални финансови корекции, ако одитът приеме различна интерпретация от тази на управляващия орган (European Parliament, 2016).</w:t>
      </w:r>
    </w:p>
    <w:p w14:paraId="3367CB6C" w14:textId="0841FA73" w:rsidR="007F60B7" w:rsidRPr="008226ED" w:rsidRDefault="007F60B7" w:rsidP="007F60B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Затова </w:t>
      </w:r>
      <w:r w:rsidRPr="008226ED">
        <w:rPr>
          <w:rFonts w:ascii="Times New Roman" w:hAnsi="Times New Roman" w:cs="Times New Roman"/>
          <w:sz w:val="24"/>
          <w:szCs w:val="24"/>
          <w:lang w:val="bg-BG"/>
        </w:rPr>
        <w:t xml:space="preserve">е необходимо </w:t>
      </w:r>
      <w:r w:rsidRPr="008226ED">
        <w:rPr>
          <w:rFonts w:ascii="Times New Roman" w:hAnsi="Times New Roman" w:cs="Times New Roman"/>
          <w:sz w:val="24"/>
          <w:szCs w:val="24"/>
        </w:rPr>
        <w:t xml:space="preserve">прецизиране: ясно разграничаване между мобилизиран частен и национален публичен капитал; отделни дефиниции по тип инструмент; фиксиране на момента на измерване и изискване за последователност между програмни документи, договори с мениджъри и отчетни формуляри. Само така „лостовият </w:t>
      </w:r>
      <w:proofErr w:type="gramStart"/>
      <w:r w:rsidRPr="008226ED">
        <w:rPr>
          <w:rFonts w:ascii="Times New Roman" w:hAnsi="Times New Roman" w:cs="Times New Roman"/>
          <w:sz w:val="24"/>
          <w:szCs w:val="24"/>
        </w:rPr>
        <w:t>ефект“ може</w:t>
      </w:r>
      <w:proofErr w:type="gramEnd"/>
      <w:r w:rsidRPr="008226ED">
        <w:rPr>
          <w:rFonts w:ascii="Times New Roman" w:hAnsi="Times New Roman" w:cs="Times New Roman"/>
          <w:sz w:val="24"/>
          <w:szCs w:val="24"/>
        </w:rPr>
        <w:t xml:space="preserve"> да бъде не просто PR число, а надежден, одитируем индикатор, който да подпомага реалното сравнение на ефективността между държави и схеми и да дава предвидимост на инвеститори и управляващи органи (European Parliament, 2016).</w:t>
      </w:r>
    </w:p>
    <w:p w14:paraId="4E8623AF" w14:textId="77777777" w:rsidR="002C4308" w:rsidRPr="008226ED" w:rsidRDefault="002C4308"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От гледна точка на стимулите регулаторната рамка изисква внимателен дизайн на възнаграждението на посредниците: то трябва да е достатъчно привлекателно, за да осигури активно договаряне и качествен подбор на проекти, но и да остане в границите на правилата за държавна помощ и на допустимите разходи. Тук напрежението между ефективност и съответствие е особено видимо, а грешната калибрация или прекалената предпазливост може да доведе до нисък обем сделки, слаба проникваемост сред МСП и неизпълнение на индикатори, дори при наличие на бюджетни ресурси (European Parliament, 2016).</w:t>
      </w:r>
    </w:p>
    <w:p w14:paraId="51F55EC6" w14:textId="77777777" w:rsidR="00412872" w:rsidRPr="008226ED" w:rsidRDefault="00412872" w:rsidP="0041287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Административният капацитет и институционалната архитектура са решаващи за това финансовите инструменти да достигат бързо и в мащаб до МСП, защото те определят ефективността на цялата верига — от екс-антe оценката и избора на посредници до управлението на риска, мониторинга и одита. В периода 2014–2020 г. регулаторната рамка става по-детайлна и изисква по-висока експертиза в управляващите органи и при фонд мениджърите; там, където този капацитет е ограничен, самата сложност на режима се превръща в бариера за навлизане на нови посредници и забавя изграждането на „</w:t>
      </w:r>
      <w:proofErr w:type="gramStart"/>
      <w:r w:rsidRPr="008226ED">
        <w:rPr>
          <w:rFonts w:ascii="Times New Roman" w:hAnsi="Times New Roman" w:cs="Times New Roman"/>
          <w:sz w:val="24"/>
          <w:szCs w:val="24"/>
        </w:rPr>
        <w:t>pipeline“ от</w:t>
      </w:r>
      <w:proofErr w:type="gramEnd"/>
      <w:r w:rsidRPr="008226ED">
        <w:rPr>
          <w:rFonts w:ascii="Times New Roman" w:hAnsi="Times New Roman" w:cs="Times New Roman"/>
          <w:sz w:val="24"/>
          <w:szCs w:val="24"/>
        </w:rPr>
        <w:t xml:space="preserve"> сделки (European Parliament, 2016).</w:t>
      </w:r>
    </w:p>
    <w:p w14:paraId="4D41A0E7" w14:textId="77777777" w:rsidR="00412872" w:rsidRPr="008226ED" w:rsidRDefault="00412872" w:rsidP="0041287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Конкретните механизми, по които институционалната среда влияе, са няколко. Правилата за избор на финансови посредници налагат формални процедури по обществени поръчки при инструментите под споделено управление, което удължава времето до първите </w:t>
      </w:r>
      <w:r w:rsidRPr="008226ED">
        <w:rPr>
          <w:rFonts w:ascii="Times New Roman" w:hAnsi="Times New Roman" w:cs="Times New Roman"/>
          <w:sz w:val="24"/>
          <w:szCs w:val="24"/>
        </w:rPr>
        <w:lastRenderedPageBreak/>
        <w:t xml:space="preserve">инвестиции и обезкуражава по-малки или нишови играчи да участват. Екс-антe оценките са методологически тежки и изискват анализ на „финансиращата </w:t>
      </w:r>
      <w:proofErr w:type="gramStart"/>
      <w:r w:rsidRPr="008226ED">
        <w:rPr>
          <w:rFonts w:ascii="Times New Roman" w:hAnsi="Times New Roman" w:cs="Times New Roman"/>
          <w:sz w:val="24"/>
          <w:szCs w:val="24"/>
        </w:rPr>
        <w:t>празнина“ по</w:t>
      </w:r>
      <w:proofErr w:type="gramEnd"/>
      <w:r w:rsidRPr="008226ED">
        <w:rPr>
          <w:rFonts w:ascii="Times New Roman" w:hAnsi="Times New Roman" w:cs="Times New Roman"/>
          <w:sz w:val="24"/>
          <w:szCs w:val="24"/>
        </w:rPr>
        <w:t xml:space="preserve"> сегменти, качествени данни и координация с промоционални банки и пазара. Многобройните ръководства и тълкувания на Комисията, в комбинация с правилата за държавни помощи и обществени поръчки, усилват „одитния </w:t>
      </w:r>
      <w:proofErr w:type="gramStart"/>
      <w:r w:rsidRPr="008226ED">
        <w:rPr>
          <w:rFonts w:ascii="Times New Roman" w:hAnsi="Times New Roman" w:cs="Times New Roman"/>
          <w:sz w:val="24"/>
          <w:szCs w:val="24"/>
        </w:rPr>
        <w:t>риск“</w:t>
      </w:r>
      <w:proofErr w:type="gramEnd"/>
      <w:r w:rsidRPr="008226ED">
        <w:rPr>
          <w:rFonts w:ascii="Times New Roman" w:hAnsi="Times New Roman" w:cs="Times New Roman"/>
          <w:sz w:val="24"/>
          <w:szCs w:val="24"/>
        </w:rPr>
        <w:t>, което често води до свръхпредпазлив дизайн на продуктите и по-нисък лостов ефект, особено в по-рискови пазарни ниши. Затова се препоръчва съчетаване на експертизата на групата на ЕИБ с устойчиво изграждане на национален и регионален капацитет, така че инструментите да се управляват професионално и предвидимо и след края на програмния период (European Parliament, 2016).</w:t>
      </w:r>
    </w:p>
    <w:p w14:paraId="69C6A8FD" w14:textId="77777777" w:rsidR="00412872" w:rsidRPr="008226ED" w:rsidRDefault="00412872" w:rsidP="0041287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По държави, изследването идентифицира системни затруднения в достъпа до финансиране и различни мотиви за използване на финансови инструменти. В Унгария, Полша, Словакия и Обединеното кралство водещият проблем е ограниченото предлагане на подходящ кредит и предпазливостта на търговските банки да финансират МСП без споделяне на риска, което налага гаранционни и заемни схеми, „</w:t>
      </w:r>
      <w:proofErr w:type="gramStart"/>
      <w:r w:rsidRPr="008226ED">
        <w:rPr>
          <w:rFonts w:ascii="Times New Roman" w:hAnsi="Times New Roman" w:cs="Times New Roman"/>
          <w:sz w:val="24"/>
          <w:szCs w:val="24"/>
        </w:rPr>
        <w:t>отключващи“ банкови</w:t>
      </w:r>
      <w:proofErr w:type="gramEnd"/>
      <w:r w:rsidRPr="008226ED">
        <w:rPr>
          <w:rFonts w:ascii="Times New Roman" w:hAnsi="Times New Roman" w:cs="Times New Roman"/>
          <w:sz w:val="24"/>
          <w:szCs w:val="24"/>
        </w:rPr>
        <w:t xml:space="preserve"> портфейли (European Parliament, 2016). В Италия е отчетено кредитно рациониране, при което достъпът до средства се ограничава количествено, а не само ценово — тук инструментите трябва да адресират самата наличност на кредит, а не единствено лихвения марж (European Parliament, 2016). В Чехия и Полша високата цена на кредита е отделно обозначена като мотив за интервенция чрез риск-шеринг и по-ниски маржове, финансирани с публичен ресурс (European Parliament, 2016).</w:t>
      </w:r>
    </w:p>
    <w:p w14:paraId="054DE168" w14:textId="77777777" w:rsidR="00412872" w:rsidRPr="008226ED" w:rsidRDefault="00412872" w:rsidP="0041287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В институционален план ред страни търсят решения за консолидиране на експертиза и ускоряване на изпълнението чрез структури тип „фонд от </w:t>
      </w:r>
      <w:proofErr w:type="gramStart"/>
      <w:r w:rsidRPr="008226ED">
        <w:rPr>
          <w:rFonts w:ascii="Times New Roman" w:hAnsi="Times New Roman" w:cs="Times New Roman"/>
          <w:sz w:val="24"/>
          <w:szCs w:val="24"/>
        </w:rPr>
        <w:t>фондове“</w:t>
      </w:r>
      <w:proofErr w:type="gramEnd"/>
      <w:r w:rsidRPr="008226ED">
        <w:rPr>
          <w:rFonts w:ascii="Times New Roman" w:hAnsi="Times New Roman" w:cs="Times New Roman"/>
          <w:sz w:val="24"/>
          <w:szCs w:val="24"/>
        </w:rPr>
        <w:t>, стандартизирани процедури и рамкови споразумения с посредници, за да се намалят транзакционните разходи и да се повиши предвидимостта за пазара. Такива модели са реакция на разпознатата нужда от централен капацитет за дизайн и надзор на инструментите, който да балансира правните изисквания, стимулите на посредниците и целите по лостов ефект и покритие на МСП (European Parliament, 2016).</w:t>
      </w:r>
    </w:p>
    <w:p w14:paraId="17CD110D" w14:textId="77777777" w:rsidR="00412872" w:rsidRPr="008226ED" w:rsidRDefault="00412872" w:rsidP="0041287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Обобщено, когато достъпът до финансиране е системно ограничен, успехът на финансовите инструменти зависи не толкова от размера на бюджета, колкото от това дали институционалната машина може навреме да произведе подходящ продукт с адекватен </w:t>
      </w:r>
      <w:r w:rsidRPr="008226ED">
        <w:rPr>
          <w:rFonts w:ascii="Times New Roman" w:hAnsi="Times New Roman" w:cs="Times New Roman"/>
          <w:sz w:val="24"/>
          <w:szCs w:val="24"/>
        </w:rPr>
        <w:lastRenderedPageBreak/>
        <w:t>риск-шеринг, дали избраните посредници имат стимули и капацитет да го пласират и дали регулаторната несигурност е достатъчно редуцирана, за да не блокира решенията. Там, където тези условия са изпълнени — чрез силна роля на промоционални банки, фондове от фондове, ясни методики и добре подбрани „</w:t>
      </w:r>
      <w:proofErr w:type="gramStart"/>
      <w:r w:rsidRPr="008226ED">
        <w:rPr>
          <w:rFonts w:ascii="Times New Roman" w:hAnsi="Times New Roman" w:cs="Times New Roman"/>
          <w:sz w:val="24"/>
          <w:szCs w:val="24"/>
        </w:rPr>
        <w:t>готови“ или</w:t>
      </w:r>
      <w:proofErr w:type="gramEnd"/>
      <w:r w:rsidRPr="008226ED">
        <w:rPr>
          <w:rFonts w:ascii="Times New Roman" w:hAnsi="Times New Roman" w:cs="Times New Roman"/>
          <w:sz w:val="24"/>
          <w:szCs w:val="24"/>
        </w:rPr>
        <w:t xml:space="preserve"> „по </w:t>
      </w:r>
      <w:proofErr w:type="gramStart"/>
      <w:r w:rsidRPr="008226ED">
        <w:rPr>
          <w:rFonts w:ascii="Times New Roman" w:hAnsi="Times New Roman" w:cs="Times New Roman"/>
          <w:sz w:val="24"/>
          <w:szCs w:val="24"/>
        </w:rPr>
        <w:t>мярка“ решения</w:t>
      </w:r>
      <w:proofErr w:type="gramEnd"/>
      <w:r w:rsidRPr="008226ED">
        <w:rPr>
          <w:rFonts w:ascii="Times New Roman" w:hAnsi="Times New Roman" w:cs="Times New Roman"/>
          <w:sz w:val="24"/>
          <w:szCs w:val="24"/>
        </w:rPr>
        <w:t xml:space="preserve"> — инструментите реално разширяват кредитирането и инвестициите към МСП и повишават възвръщаемостта на публичния ресурс; където липсват, сложността на режима сама става бариера и налага приоритизиране на изграждането на административен капацитет паралелно с разгръщането на продуктите (European Parliament, 2016).</w:t>
      </w:r>
    </w:p>
    <w:p w14:paraId="10158405" w14:textId="1E4E2CB0" w:rsidR="002C4308" w:rsidRPr="008226ED" w:rsidRDefault="007F60B7"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lang w:val="bg-BG"/>
        </w:rPr>
        <w:t>Като цяло,</w:t>
      </w:r>
      <w:r w:rsidR="002C4308" w:rsidRPr="008226ED">
        <w:rPr>
          <w:rFonts w:ascii="Times New Roman" w:hAnsi="Times New Roman" w:cs="Times New Roman"/>
          <w:sz w:val="24"/>
          <w:szCs w:val="24"/>
        </w:rPr>
        <w:t xml:space="preserve"> промените през 2014–2020 г. целят по-ефективно и резултатно използване на средствата чрез револвиращи финансови инструменти, но цената на тази амбиция е по-висока регулаторна и процедурна сложност. Новите изисквания, в комбинация с нееднозначни тълкувания и асиметрии между централно и споделено управление, изискват по-голяма правна яснота, по-добро хармонизиране на секторните режими, прецизиране на ключови концепции като лостов ефект, и целенасочени инвестиции в административен капацитет. Само при тези условия обещаният ефект — по-добър достъп до финансиране, по-качествени и икономически жизнеспособни инвестиции и по-висока възвръщаемост за обществото — може да се реализира в пълна степен спрямо наследената логика на периода 2007–2013 г. (European Parliament, 2016).</w:t>
      </w:r>
    </w:p>
    <w:p w14:paraId="6E747689" w14:textId="77777777"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1.3. Място и роля на Програмата за развитие на селските райони в рамките на ОСП</w:t>
      </w:r>
    </w:p>
    <w:p w14:paraId="57999022"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Програмата за развитие на селските райони на Република България 2014–2020 е националният инструмент за прилагане на втория стълб на ОСП и покрива цялата територия на страната, като всички региони са класифицирани като по-слабо развити; така тя канализира средствата от ЕЗФРСР към инвестиции, знания, околна среда и териториално развитие в рамка на споделено управление с Европейската комисия (Министерство на земеделието и храните, 2014).</w:t>
      </w:r>
    </w:p>
    <w:p w14:paraId="393B499C"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Стратегията на програмата е изведена от SWOT анализ и се структурира около три общи цели, които кореспондират с приоритетите на ОСП: повишаване на конкурентоспособността и балансирано развитие на земеделието и хранително-вкусовата промишленост, опазване на екосистемите и устойчиво използване на природните ресурси с действия по климата, и социално-икономическо развитие на селските райони с повече </w:t>
      </w:r>
      <w:r w:rsidRPr="008226ED">
        <w:rPr>
          <w:rFonts w:ascii="Times New Roman" w:hAnsi="Times New Roman" w:cs="Times New Roman"/>
          <w:sz w:val="24"/>
          <w:szCs w:val="24"/>
        </w:rPr>
        <w:lastRenderedPageBreak/>
        <w:t>заетост, по-ниска бедност и по-добро качество на живот; бюджетното разпределение е съответно около 20% за конкурентоспособност, 45% за околна среда и климат и 33% за териториално развитие, като програмата покрива всички приоритетни области на европейската политика за развитие на селските райони (Министерство на земеделието и храните, 2014).</w:t>
      </w:r>
    </w:p>
    <w:p w14:paraId="3283B6AC"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Финансовата рамка следва логиката на ОСП за резултатност и допълняемост: общият принос от ЕЗФРСР е 2 338 783 966 евро, а общият публичен ресурс достига 2 847 588 928 евро; за част от мерките са предвидени високи нива на съфинансиране (85% за базови инвестиции, 75% за агроекологични инвестиции), докато допълнително национално финансиране извън изискуемото съфинансиране не се предвижда (Министерство на земеделието и храните, 2014).</w:t>
      </w:r>
    </w:p>
    <w:p w14:paraId="0203A587"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В контекста на инструментите на ОСП, ПРСР 2014–2020 разгръща пълния спектър мерки на втория стълб. Ядрото на конкурентоспособността и модернизацията е Мярка 4 „Инвестиции в материални </w:t>
      </w:r>
      <w:proofErr w:type="gramStart"/>
      <w:r w:rsidRPr="008226ED">
        <w:rPr>
          <w:rFonts w:ascii="Times New Roman" w:hAnsi="Times New Roman" w:cs="Times New Roman"/>
          <w:sz w:val="24"/>
          <w:szCs w:val="24"/>
        </w:rPr>
        <w:t>активи“</w:t>
      </w:r>
      <w:proofErr w:type="gramEnd"/>
      <w:r w:rsidRPr="008226ED">
        <w:rPr>
          <w:rFonts w:ascii="Times New Roman" w:hAnsi="Times New Roman" w:cs="Times New Roman"/>
          <w:sz w:val="24"/>
          <w:szCs w:val="24"/>
        </w:rPr>
        <w:t>, насочена към материални и нематериални инвестиции в стопанствата и преработката за технологично обновяване, предпазарна подготовка, съхранение и повишаване на добавената стойност, с приоритет към трудоемки отрасли и млади фермери; мярката е проектирана в допълняемост с постигнатото през 2007–2013 г. и при ясна демаркация спрямо други интервенции (Министерство на земеделието и храните, 2014).</w:t>
      </w:r>
    </w:p>
    <w:p w14:paraId="60F1D2A1"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Териториалното измерение на ОСП се реализира чрез Мярка 7 „Основни услуги и обновяване на селата“, която адресира дефицитите в местната инфраструктура и качеството на услугите, включително чрез интервенции за пътища от местно значение, водоснабдяване, социални и културни услуги, туристическа и рекреационна инфраструктура, както и чрез специфични действия за широколентова свързаност в „бели“ зони по подмярка 7.3; целта е да се намали разликата град–село и да се засили привлекателността на селските територии за население и инвестиции (Министерство на земеделието и храните, 2014).</w:t>
      </w:r>
    </w:p>
    <w:p w14:paraId="382A593C"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Екологичната и климатична архитектура на програмата отразява зелената логика на ОСП. Мярка 10 „Агроекология и </w:t>
      </w:r>
      <w:proofErr w:type="gramStart"/>
      <w:r w:rsidRPr="008226ED">
        <w:rPr>
          <w:rFonts w:ascii="Times New Roman" w:hAnsi="Times New Roman" w:cs="Times New Roman"/>
          <w:sz w:val="24"/>
          <w:szCs w:val="24"/>
        </w:rPr>
        <w:t>климат“ възнаграждава</w:t>
      </w:r>
      <w:proofErr w:type="gramEnd"/>
      <w:r w:rsidRPr="008226ED">
        <w:rPr>
          <w:rFonts w:ascii="Times New Roman" w:hAnsi="Times New Roman" w:cs="Times New Roman"/>
          <w:sz w:val="24"/>
          <w:szCs w:val="24"/>
        </w:rPr>
        <w:t xml:space="preserve"> доброволни многогодишни ангажименти над законовия минимум, включително практики за опазване на почвите, биоразнообразието и водите; Мярка 11 „Биологично </w:t>
      </w:r>
      <w:proofErr w:type="gramStart"/>
      <w:r w:rsidRPr="008226ED">
        <w:rPr>
          <w:rFonts w:ascii="Times New Roman" w:hAnsi="Times New Roman" w:cs="Times New Roman"/>
          <w:sz w:val="24"/>
          <w:szCs w:val="24"/>
        </w:rPr>
        <w:t>земеделие“ подпомага</w:t>
      </w:r>
      <w:proofErr w:type="gramEnd"/>
      <w:r w:rsidRPr="008226ED">
        <w:rPr>
          <w:rFonts w:ascii="Times New Roman" w:hAnsi="Times New Roman" w:cs="Times New Roman"/>
          <w:sz w:val="24"/>
          <w:szCs w:val="24"/>
        </w:rPr>
        <w:t xml:space="preserve"> прехода и поддържането на био производството; Мярка 12 компенсира ограниченията по Натура 2000 </w:t>
      </w:r>
      <w:r w:rsidRPr="008226ED">
        <w:rPr>
          <w:rFonts w:ascii="Times New Roman" w:hAnsi="Times New Roman" w:cs="Times New Roman"/>
          <w:sz w:val="24"/>
          <w:szCs w:val="24"/>
        </w:rPr>
        <w:lastRenderedPageBreak/>
        <w:t xml:space="preserve">и Рамковата директива за водите; Мярка 13 поддържа земеползването и жизнеспособността в райони с природни ограничения; Мярка 15 насърчава екологични услуги в горите. Този пакет е финансово значим в общия план и включва и правила за „продължаващи </w:t>
      </w:r>
      <w:proofErr w:type="gramStart"/>
      <w:r w:rsidRPr="008226ED">
        <w:rPr>
          <w:rFonts w:ascii="Times New Roman" w:hAnsi="Times New Roman" w:cs="Times New Roman"/>
          <w:sz w:val="24"/>
          <w:szCs w:val="24"/>
        </w:rPr>
        <w:t>плащания“ по</w:t>
      </w:r>
      <w:proofErr w:type="gramEnd"/>
      <w:r w:rsidRPr="008226ED">
        <w:rPr>
          <w:rFonts w:ascii="Times New Roman" w:hAnsi="Times New Roman" w:cs="Times New Roman"/>
          <w:sz w:val="24"/>
          <w:szCs w:val="24"/>
        </w:rPr>
        <w:t xml:space="preserve"> ангажименти от предходния период, пренасочени към съответните мерки на новата рамка (Министерство на земеделието и храните, 2014).</w:t>
      </w:r>
    </w:p>
    <w:p w14:paraId="4BAE2F1C"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Програмата интегрира пазарно и организационно ориентирани инструменти на ОСП чрез подкрепа за групи и организации на производители и чрез сътрудничество по Мярка 16, където оперативните групи и партньорствата по линия на Европейското партньорство за иновации свързват фермери, наука и бизнес за внедряване на решения за продуктивност и устойчивост по веригите стойност (Министерство на земеделието и храните, 2014).</w:t>
      </w:r>
    </w:p>
    <w:p w14:paraId="7452169E"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Управлението на риска, все по-централно в логиката на ОСП, се материализира в Мярка 17 чрез пакети за застраховане, взаимоспомагателни фондове и инструмент за стабилизация на доходите, като средствата са оразмерени да покриват значими доходни шокове и да намаляват необходимостта от ad hoc интервенции при кризи (Министерство на земеделието и храните, 2014).</w:t>
      </w:r>
    </w:p>
    <w:p w14:paraId="0C3A9640"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Подходът ВОМР/LEADER по Мярка 19 осигурява местно водено развитие чрез стратегии на местни инициативни групи, обвързвайки публични, частни и граждански актьори в интегрирани териториални инвестиции; ресурсът по мярката е съществен и е проектиран да генерира социални иновации и да активира местен капацитет в съзвучие с принципите на ОСП за субсидиарност и партньорство (Министерство на земеделието и храните, 2014).</w:t>
      </w:r>
    </w:p>
    <w:p w14:paraId="3EA2C9A0"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Хоризонтално програмата прилага системите на ОСП за мониторинг, оценка и прозрачност: Управляващият орган организира наблюдението и оценките по Общия индикаторен план на ЕК, а планираните оценки се финансират по „Техническа </w:t>
      </w:r>
      <w:proofErr w:type="gramStart"/>
      <w:r w:rsidRPr="008226ED">
        <w:rPr>
          <w:rFonts w:ascii="Times New Roman" w:hAnsi="Times New Roman" w:cs="Times New Roman"/>
          <w:sz w:val="24"/>
          <w:szCs w:val="24"/>
        </w:rPr>
        <w:t>помощ“</w:t>
      </w:r>
      <w:proofErr w:type="gramEnd"/>
      <w:r w:rsidRPr="008226ED">
        <w:rPr>
          <w:rFonts w:ascii="Times New Roman" w:hAnsi="Times New Roman" w:cs="Times New Roman"/>
          <w:sz w:val="24"/>
          <w:szCs w:val="24"/>
        </w:rPr>
        <w:t>; предвиден е ИТ модул за наблюдение с данни в реално време за индикатори, договаряне, плащания и остатъчни бюджети, както и активна комуникация и публикуване на информация за напредъка, бенефициентите и проектите (Министерство на земеделието и храните, 2014).</w:t>
      </w:r>
    </w:p>
    <w:p w14:paraId="061DD7B2"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Демаркацията с други инструменти на ОСП и с оперативните програми е подробно уредена, за да се избегне двойно финансиране и да се гарантира допълняемост; например инвестиции за ВЕИ за собствено потребление се подкрепят по Мярка 4, докато извън този </w:t>
      </w:r>
      <w:r w:rsidRPr="008226ED">
        <w:rPr>
          <w:rFonts w:ascii="Times New Roman" w:hAnsi="Times New Roman" w:cs="Times New Roman"/>
          <w:sz w:val="24"/>
          <w:szCs w:val="24"/>
        </w:rPr>
        <w:lastRenderedPageBreak/>
        <w:t>обхват се насочват към мерки за неземеделска дейност, а инвестиции, допустими по Мярка 4, не се финансират паралелно по Мярка 7 или Мярка 6 (Министерство на земеделието и храните, 2014).</w:t>
      </w:r>
    </w:p>
    <w:p w14:paraId="41E86F9A"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Като цяло програмата превежда втория стълб на ОСП в национален контекст чрез ясно приоритизирани цели, силен зелен пакет, насочени инвестиции и местно водено развитие, подсилени от финансова рамка, индикаторно наблюдение и план за оценки, така че да се постигне едновременно структурна модернизация, екологична устойчивост и териториална кохезия в селските райони на България през 2014–2020 г. (Министерство на земеделието и храните, 2014).</w:t>
      </w:r>
    </w:p>
    <w:p w14:paraId="10100F80" w14:textId="051DB14E"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Държавен фонд „</w:t>
      </w:r>
      <w:proofErr w:type="gramStart"/>
      <w:r w:rsidRPr="008226ED">
        <w:rPr>
          <w:rFonts w:ascii="Times New Roman" w:hAnsi="Times New Roman" w:cs="Times New Roman"/>
          <w:sz w:val="24"/>
          <w:szCs w:val="24"/>
        </w:rPr>
        <w:t>Земеделие“</w:t>
      </w:r>
      <w:r w:rsidR="008730EA" w:rsidRPr="008226ED">
        <w:rPr>
          <w:rFonts w:ascii="Times New Roman" w:hAnsi="Times New Roman" w:cs="Times New Roman"/>
          <w:sz w:val="24"/>
          <w:szCs w:val="24"/>
          <w:lang w:val="bg-BG"/>
        </w:rPr>
        <w:t xml:space="preserve"> изготвя</w:t>
      </w:r>
      <w:proofErr w:type="gramEnd"/>
      <w:r w:rsidR="008730EA" w:rsidRPr="008226ED">
        <w:rPr>
          <w:rFonts w:ascii="Times New Roman" w:hAnsi="Times New Roman" w:cs="Times New Roman"/>
          <w:sz w:val="24"/>
          <w:szCs w:val="24"/>
          <w:lang w:val="bg-BG"/>
        </w:rPr>
        <w:t xml:space="preserve"> „Ръководство на бенефициента по ПРСР 2014-2020 </w:t>
      </w:r>
      <w:proofErr w:type="gramStart"/>
      <w:r w:rsidR="008730EA" w:rsidRPr="008226ED">
        <w:rPr>
          <w:rFonts w:ascii="Times New Roman" w:hAnsi="Times New Roman" w:cs="Times New Roman"/>
          <w:sz w:val="24"/>
          <w:szCs w:val="24"/>
          <w:lang w:val="bg-BG"/>
        </w:rPr>
        <w:t>г.“ като</w:t>
      </w:r>
      <w:proofErr w:type="gramEnd"/>
      <w:r w:rsidR="008730EA" w:rsidRPr="008226ED">
        <w:rPr>
          <w:rFonts w:ascii="Times New Roman" w:hAnsi="Times New Roman" w:cs="Times New Roman"/>
          <w:sz w:val="24"/>
          <w:szCs w:val="24"/>
          <w:lang w:val="bg-BG"/>
        </w:rPr>
        <w:t xml:space="preserve"> </w:t>
      </w:r>
      <w:r w:rsidRPr="008226ED">
        <w:rPr>
          <w:rFonts w:ascii="Times New Roman" w:hAnsi="Times New Roman" w:cs="Times New Roman"/>
          <w:sz w:val="24"/>
          <w:szCs w:val="24"/>
        </w:rPr>
        <w:t>оперативна инструкция, която превежда правилата на общата селскостопанска политика и националната ПРСР 2014–2020 в конкретни изисквания към бенефициентите за изпълнение на договорите за безвъзмездна финансова помощ. Документът определя целите, обхвата и структурата на управленските процеси по договора, включително основните стъпки за изпълнение, реда за изменения, правилата за отчитане и плащания, комуникацията с институциите, изискванията за визуализация, провеждането на процедури за избор на изпълнител, документооборота, съхранението на информация и установяването на нередности. Тази рамка е в съзвучие с модела на споделено управление на ОСП, при който правото на ЕС и националните наредби се прилагат чрез акредитирана разплащателна агенция и ясно дефинирани задължения за бенефициентите (ДФ „</w:t>
      </w:r>
      <w:proofErr w:type="gramStart"/>
      <w:r w:rsidRPr="008226ED">
        <w:rPr>
          <w:rFonts w:ascii="Times New Roman" w:hAnsi="Times New Roman" w:cs="Times New Roman"/>
          <w:sz w:val="24"/>
          <w:szCs w:val="24"/>
        </w:rPr>
        <w:t>Земеделие“</w:t>
      </w:r>
      <w:proofErr w:type="gramEnd"/>
      <w:r w:rsidR="008730EA" w:rsidRPr="008226ED">
        <w:rPr>
          <w:rFonts w:ascii="Times New Roman" w:hAnsi="Times New Roman" w:cs="Times New Roman"/>
          <w:sz w:val="24"/>
          <w:szCs w:val="24"/>
          <w:lang w:val="bg-BG"/>
        </w:rPr>
        <w:t>, 2021</w:t>
      </w:r>
      <w:r w:rsidRPr="008226ED">
        <w:rPr>
          <w:rFonts w:ascii="Times New Roman" w:hAnsi="Times New Roman" w:cs="Times New Roman"/>
          <w:sz w:val="24"/>
          <w:szCs w:val="24"/>
        </w:rPr>
        <w:t>).</w:t>
      </w:r>
    </w:p>
    <w:p w14:paraId="532F61DD" w14:textId="6D9A3F8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 основата на документа стои административният договор между Управляващия орган/Разплащателната агенция и бенефициента, който фиксира права, срокове и отговорности по изпълнението на одобрения проект. Бенефициентът носи основната отговорност за резултатите, за спазването на договорните срокове и за прилагането на всички приложими правила, като преди започване на дейностите следва да се запознае изцяло с общите условия и приложенията. Ръководството изрично очертава първите организационни стъпки на проекта, изискването за систематична вътрешна комуникация и поддържане на пълно досие, така че всяка дейност и разход да са проследими при проверка (ДФ „</w:t>
      </w:r>
      <w:proofErr w:type="gramStart"/>
      <w:r w:rsidRPr="008226ED">
        <w:rPr>
          <w:rFonts w:ascii="Times New Roman" w:hAnsi="Times New Roman" w:cs="Times New Roman"/>
          <w:sz w:val="24"/>
          <w:szCs w:val="24"/>
        </w:rPr>
        <w:t>Земеделие“</w:t>
      </w:r>
      <w:proofErr w:type="gramEnd"/>
      <w:r w:rsidR="008730EA" w:rsidRPr="008226ED">
        <w:rPr>
          <w:rFonts w:ascii="Times New Roman" w:hAnsi="Times New Roman" w:cs="Times New Roman"/>
          <w:sz w:val="24"/>
          <w:szCs w:val="24"/>
          <w:lang w:val="bg-BG"/>
        </w:rPr>
        <w:t>, 2021</w:t>
      </w:r>
      <w:r w:rsidRPr="008226ED">
        <w:rPr>
          <w:rFonts w:ascii="Times New Roman" w:hAnsi="Times New Roman" w:cs="Times New Roman"/>
          <w:sz w:val="24"/>
          <w:szCs w:val="24"/>
        </w:rPr>
        <w:t xml:space="preserve">.). </w:t>
      </w:r>
    </w:p>
    <w:p w14:paraId="5BCA363F" w14:textId="3FAACDCF"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Процедурите за изменение на договора са централен елемент, защото гарантират непротиворечивост с целите и правилата на ПРСР. Ръководството различава промени, </w:t>
      </w:r>
      <w:r w:rsidRPr="008226ED">
        <w:rPr>
          <w:rFonts w:ascii="Times New Roman" w:hAnsi="Times New Roman" w:cs="Times New Roman"/>
          <w:sz w:val="24"/>
          <w:szCs w:val="24"/>
        </w:rPr>
        <w:lastRenderedPageBreak/>
        <w:t>които изискват допълнително споразумение (анекс) – като смяна на марки или модели на активи, изпълнител, промени в количествено-стойностни сметки или местоположение – и промени, които подлежат само на уведомяване. Искането за изменение се подава мотивирано, придружено от доказателства; Разплащателната агенция се произнася по принцип в едномесечен срок, като си запазва правото да откаже промяна, ако противоречи на договора, насоките за кандидатстване или нормативната уредба. Одобрените изменения се оформят с анекс, който става неразделна част от договора; при отказ се посочват мотиви. Този режим поддържа управляемост на обхвата, бюджетната дисциплина и равнопоставеността между бенефициентите, същностни принципи в прилагането на ОСП (ДФ „</w:t>
      </w:r>
      <w:proofErr w:type="gramStart"/>
      <w:r w:rsidRPr="008226ED">
        <w:rPr>
          <w:rFonts w:ascii="Times New Roman" w:hAnsi="Times New Roman" w:cs="Times New Roman"/>
          <w:sz w:val="24"/>
          <w:szCs w:val="24"/>
        </w:rPr>
        <w:t xml:space="preserve">Земеделие“ </w:t>
      </w:r>
      <w:r w:rsidR="008730EA" w:rsidRPr="008226ED">
        <w:rPr>
          <w:rFonts w:ascii="Times New Roman" w:hAnsi="Times New Roman" w:cs="Times New Roman"/>
          <w:sz w:val="24"/>
          <w:szCs w:val="24"/>
          <w:lang w:val="bg-BG"/>
        </w:rPr>
        <w:t>2021</w:t>
      </w:r>
      <w:proofErr w:type="gramEnd"/>
      <w:r w:rsidRPr="008226ED">
        <w:rPr>
          <w:rFonts w:ascii="Times New Roman" w:hAnsi="Times New Roman" w:cs="Times New Roman"/>
          <w:sz w:val="24"/>
          <w:szCs w:val="24"/>
        </w:rPr>
        <w:t>.).</w:t>
      </w:r>
    </w:p>
    <w:p w14:paraId="778FFC5B" w14:textId="3A2B6D4A"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Отчетността и плащанията са подчинени на изискванията за законосъобразност и резултатност и се реализират изцяло през ИСУН 2020. Авансови, междинни и окончателни плащания се заявяват със стандартизирани пакети, включващи технически и финансов отчет и сканирани доказателства; срокът за изплащане на аванс е един месец, но може да се спира при искане на разяснения. Междинният технически отчет описва дейностите, индикаторите и напредъка за периода, а финансовият – реално извършените и платени разходи, подкрепени с фактури и еквивалентни документи. Всички отчети се подават на български език, а датите на получаване на допълнителна информация се удостоверяват чрез завеждането им в ИСУН. Ръководството предвижда и конкретни стъпки в системата за създаване и подаване на пакета, както и указания за подреждане на файловете, за да се осигури хронологична проследимост при проверките от РА – практическо проявление на контролната логика на ОСП (ДФ „</w:t>
      </w:r>
      <w:proofErr w:type="gramStart"/>
      <w:r w:rsidRPr="008226ED">
        <w:rPr>
          <w:rFonts w:ascii="Times New Roman" w:hAnsi="Times New Roman" w:cs="Times New Roman"/>
          <w:sz w:val="24"/>
          <w:szCs w:val="24"/>
        </w:rPr>
        <w:t>Земеделие“</w:t>
      </w:r>
      <w:proofErr w:type="gramEnd"/>
      <w:r w:rsidR="008730EA" w:rsidRPr="008226ED">
        <w:rPr>
          <w:rFonts w:ascii="Times New Roman" w:hAnsi="Times New Roman" w:cs="Times New Roman"/>
          <w:sz w:val="24"/>
          <w:szCs w:val="24"/>
          <w:lang w:val="bg-BG"/>
        </w:rPr>
        <w:t>, 2021</w:t>
      </w:r>
      <w:r w:rsidRPr="008226ED">
        <w:rPr>
          <w:rFonts w:ascii="Times New Roman" w:hAnsi="Times New Roman" w:cs="Times New Roman"/>
          <w:sz w:val="24"/>
          <w:szCs w:val="24"/>
        </w:rPr>
        <w:t>.).</w:t>
      </w:r>
    </w:p>
    <w:p w14:paraId="69D1175B" w14:textId="21B90E52"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Документът поставя висока летва за финансово управление и счетоводна дисциплина. Бенефициентите поддържат отделна аналитична счетоводност за проекта, като данните в отчетите следва да съответстват на счетоводните регистри и да се съхраняват до изтичане на определените срокове. Допустимите и недопустимите разходи са систематизирани, а режимът за ДДС разглежда кога данъкът е възстановим или невъзстановим за целите на ПРСР. Ръководството изисква доказване на извършените дейности и постиганите индикатори като условие за признаване на разходите, което поддържа връзката между плащанията и резултатите, характерна за ОСП 2014–2020 (ДФ „</w:t>
      </w:r>
      <w:proofErr w:type="gramStart"/>
      <w:r w:rsidRPr="008226ED">
        <w:rPr>
          <w:rFonts w:ascii="Times New Roman" w:hAnsi="Times New Roman" w:cs="Times New Roman"/>
          <w:sz w:val="24"/>
          <w:szCs w:val="24"/>
        </w:rPr>
        <w:t xml:space="preserve">Земеделие“ </w:t>
      </w:r>
      <w:r w:rsidR="008730EA" w:rsidRPr="008226ED">
        <w:rPr>
          <w:rFonts w:ascii="Times New Roman" w:hAnsi="Times New Roman" w:cs="Times New Roman"/>
          <w:sz w:val="24"/>
          <w:szCs w:val="24"/>
          <w:lang w:val="bg-BG"/>
        </w:rPr>
        <w:t>2021</w:t>
      </w:r>
      <w:proofErr w:type="gramEnd"/>
      <w:r w:rsidRPr="008226ED">
        <w:rPr>
          <w:rFonts w:ascii="Times New Roman" w:hAnsi="Times New Roman" w:cs="Times New Roman"/>
          <w:sz w:val="24"/>
          <w:szCs w:val="24"/>
        </w:rPr>
        <w:t>).</w:t>
      </w:r>
    </w:p>
    <w:p w14:paraId="1579F845" w14:textId="02D70F16"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Съответствието с правилата за публичност и визуална идентичност е представено като условие за законосъобразност на финансирането. За проекти с висок публичен принос се изисква постоянна табела или билборд на видимо място; детайлизирани са нормите за използване на лога и послания по приложимите регламенти, като неспазването може да доведе до загуба на финансиране. Ръководството дава и практически насоки за актуализиране на визуализационни материали при промени в правния статус или наименованията, така че комуникационните изисквания по ОСП да се изпълняват пропорционално и без свръхнатоварване (ДФ „</w:t>
      </w:r>
      <w:proofErr w:type="gramStart"/>
      <w:r w:rsidRPr="008226ED">
        <w:rPr>
          <w:rFonts w:ascii="Times New Roman" w:hAnsi="Times New Roman" w:cs="Times New Roman"/>
          <w:sz w:val="24"/>
          <w:szCs w:val="24"/>
        </w:rPr>
        <w:t xml:space="preserve">Земеделие“ </w:t>
      </w:r>
      <w:r w:rsidR="008730EA" w:rsidRPr="008226ED">
        <w:rPr>
          <w:rFonts w:ascii="Times New Roman" w:hAnsi="Times New Roman" w:cs="Times New Roman"/>
          <w:sz w:val="24"/>
          <w:szCs w:val="24"/>
          <w:lang w:val="bg-BG"/>
        </w:rPr>
        <w:t>2021</w:t>
      </w:r>
      <w:proofErr w:type="gramEnd"/>
      <w:r w:rsidRPr="008226ED">
        <w:rPr>
          <w:rFonts w:ascii="Times New Roman" w:hAnsi="Times New Roman" w:cs="Times New Roman"/>
          <w:sz w:val="24"/>
          <w:szCs w:val="24"/>
        </w:rPr>
        <w:t xml:space="preserve">.). </w:t>
      </w:r>
    </w:p>
    <w:p w14:paraId="03362C5D"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Контролът върху процедурите за избор на изпълнител отразява изискванията за добро финансово управление и конкуренция. Ръководството урежда предварителните и последващите проверки, взаимодействието със законовите режими по ЗОП и процедурите с публична покана, както и възможностите за преразглеждане на решения след последващ контрол. Изрично е посочено, че РА не е страна по договорите с изпълнители, а при необходимост от изменение на договор за обществена поръчка бенефициентът прилага съответните правила и към анекса на договора за безвъзмездна помощ, за да се запази съответствието с критериите за допустимост и равнопоставеност (ДФ „</w:t>
      </w:r>
      <w:proofErr w:type="gramStart"/>
      <w:r w:rsidRPr="008226ED">
        <w:rPr>
          <w:rFonts w:ascii="Times New Roman" w:hAnsi="Times New Roman" w:cs="Times New Roman"/>
          <w:sz w:val="24"/>
          <w:szCs w:val="24"/>
        </w:rPr>
        <w:t>Земеделие“ –</w:t>
      </w:r>
      <w:proofErr w:type="gramEnd"/>
      <w:r w:rsidRPr="008226ED">
        <w:rPr>
          <w:rFonts w:ascii="Times New Roman" w:hAnsi="Times New Roman" w:cs="Times New Roman"/>
          <w:sz w:val="24"/>
          <w:szCs w:val="24"/>
        </w:rPr>
        <w:t xml:space="preserve"> Разплащателна агенция, n.d.).</w:t>
      </w:r>
    </w:p>
    <w:p w14:paraId="50508F3A" w14:textId="77777777" w:rsidR="00990707" w:rsidRPr="008226ED" w:rsidRDefault="00990707" w:rsidP="0099070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Накрая документът обхваща проверки на място, срокове и процедури за преглед на отчетите, съхранение на документацията и типични грешки, които водят до намаляване или възстановяване на помощта. По време на изпълнението РА осъществява мониторинг, а бенефициентите трябва в определения срок да докажат започване на дейности, както и да поддържат пълно, достъпно досие за всеки етап от проекта. Тази операционна логика осигурява мост между принципите на ОСП за финансиране, управление и контрол и ежедневните задачи на бенефициента по ПРСР, като целта е проследимост, прозрачност и измеримост на резултатите в селските райони (ДФ „</w:t>
      </w:r>
      <w:proofErr w:type="gramStart"/>
      <w:r w:rsidRPr="008226ED">
        <w:rPr>
          <w:rFonts w:ascii="Times New Roman" w:hAnsi="Times New Roman" w:cs="Times New Roman"/>
          <w:sz w:val="24"/>
          <w:szCs w:val="24"/>
        </w:rPr>
        <w:t>Земеделие“ –</w:t>
      </w:r>
      <w:proofErr w:type="gramEnd"/>
      <w:r w:rsidRPr="008226ED">
        <w:rPr>
          <w:rFonts w:ascii="Times New Roman" w:hAnsi="Times New Roman" w:cs="Times New Roman"/>
          <w:sz w:val="24"/>
          <w:szCs w:val="24"/>
        </w:rPr>
        <w:t xml:space="preserve"> Разплащателна агенция, n.d.).</w:t>
      </w:r>
    </w:p>
    <w:p w14:paraId="2F912C47" w14:textId="733669B5"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1.4. Изразходване на публични средства в рамките на ОСП – мониториинг и добри практики</w:t>
      </w:r>
    </w:p>
    <w:p w14:paraId="14EBDE8D" w14:textId="77777777" w:rsidR="00A639F4" w:rsidRPr="008226ED" w:rsidRDefault="00A639F4" w:rsidP="00A639F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Директните плащания през периода 2014–2020 г. представляват ядрото на подпомагането на доходите в рамките на ОСП и се предоставят годишно на хектар допустима земеделска площ като базова подкрепа, допълнена от целеви схеми. Те са част </w:t>
      </w:r>
      <w:r w:rsidRPr="008226ED">
        <w:rPr>
          <w:rFonts w:ascii="Times New Roman" w:hAnsi="Times New Roman" w:cs="Times New Roman"/>
          <w:sz w:val="24"/>
          <w:szCs w:val="24"/>
        </w:rPr>
        <w:lastRenderedPageBreak/>
        <w:t xml:space="preserve">от модела на споделено управление: общите правила се определят на равнище ЕС, а администрирането и контролът се извършват от националните разплащателни агенции. Общият им мащаб е системен за сектора: около 72% от бюджета на ОСП за 2014–2020 г. или приблизително 293 млрд. евро, което се равнява на над 41 млрд. евро годишно; средното равнище на плащане в ЕС е приблизително 266 евро/ха. Обосновката е двойна: плащанията действат като стабилизатор на доходите в силно рисков отрасъл и едновременно насърчават екологосъобразни практики чрез обвързаност със стандарти и изисквания (Европейска комисия, 2017). </w:t>
      </w:r>
    </w:p>
    <w:p w14:paraId="37C570F5" w14:textId="77777777" w:rsidR="00A639F4" w:rsidRPr="008226ED" w:rsidRDefault="00A639F4" w:rsidP="00A639F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Правото на подпомагане е годишно и условно. Първо, получателят трябва да е „активен земеделски </w:t>
      </w:r>
      <w:proofErr w:type="gramStart"/>
      <w:r w:rsidRPr="008226ED">
        <w:rPr>
          <w:rFonts w:ascii="Times New Roman" w:hAnsi="Times New Roman" w:cs="Times New Roman"/>
          <w:sz w:val="24"/>
          <w:szCs w:val="24"/>
        </w:rPr>
        <w:t>стопанин“</w:t>
      </w:r>
      <w:proofErr w:type="gramEnd"/>
      <w:r w:rsidRPr="008226ED">
        <w:rPr>
          <w:rFonts w:ascii="Times New Roman" w:hAnsi="Times New Roman" w:cs="Times New Roman"/>
          <w:sz w:val="24"/>
          <w:szCs w:val="24"/>
        </w:rPr>
        <w:t xml:space="preserve">, т.е. да упражнява реална селскостопанска дейност; определени субекти с земя, но без селскостопанска дейност (например летища, агенции за недвижими имоти, спортни съоръжения) са изключени. Второ, земята трябва да е допустима и използвана за земеделска дейност или поддържана в добро земеделско състояние. Трето, държавите членки прилагат минимални прагове — по стойност на плащането и/или по площ — обичайно в диапазона 100–500 евро и/или 0,3–5 ха, под които подпомагане не се изплаща. Четвърто, всяко искане се подава ежегодно (все по-често електронно), като се декларират всички парцели; управлението и проверките се правят чрез Интегрираната система за администриране и контрол (IACS), включително цифровия кадастър на площите (LPIS) и, при необходимост, системи за идентификация на животни (Европейска комисия, 2017). </w:t>
      </w:r>
    </w:p>
    <w:p w14:paraId="2C8B4783" w14:textId="77777777" w:rsidR="00A639F4" w:rsidRPr="008226ED" w:rsidRDefault="00A639F4" w:rsidP="00A639F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Базовата подкрепа се реализира чрез схемата за основно плащане (СОП/BPS) или, в част от новите държави членки, чрез преходната Схема за единно плащане на площ (СЕПП/SAPS). При СОП през 2015 г. се разпределят права на плащане обичайно по едно право на всеки допустим хектар; реалното плащане изисква „</w:t>
      </w:r>
      <w:proofErr w:type="gramStart"/>
      <w:r w:rsidRPr="008226ED">
        <w:rPr>
          <w:rFonts w:ascii="Times New Roman" w:hAnsi="Times New Roman" w:cs="Times New Roman"/>
          <w:sz w:val="24"/>
          <w:szCs w:val="24"/>
        </w:rPr>
        <w:t>активиране“ на</w:t>
      </w:r>
      <w:proofErr w:type="gramEnd"/>
      <w:r w:rsidRPr="008226ED">
        <w:rPr>
          <w:rFonts w:ascii="Times New Roman" w:hAnsi="Times New Roman" w:cs="Times New Roman"/>
          <w:sz w:val="24"/>
          <w:szCs w:val="24"/>
        </w:rPr>
        <w:t xml:space="preserve"> правата върху заявената площ. За да се избегнат резки промени, някои държави стартират със стойности, близки до исторически получаваните, и постепенно ги конвергират към по-равномерни нива до 2019 г. При СЕПП няма права; помощта е единна ставка на хектар върху допустимата декларирана площ (Европейска комисия, 2017). </w:t>
      </w:r>
    </w:p>
    <w:p w14:paraId="764344A1" w14:textId="77777777" w:rsidR="00A639F4" w:rsidRPr="008226ED" w:rsidRDefault="00A639F4" w:rsidP="00A639F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Над базата се наслагват задължителни и доброволни компоненти. Плащането за „екологизиране“ е задължително и възлиза на 30% от националния пакет за директни плащания; то се получава при изпълнение на три практики, благоприятни за климата и </w:t>
      </w:r>
      <w:r w:rsidRPr="008226ED">
        <w:rPr>
          <w:rFonts w:ascii="Times New Roman" w:hAnsi="Times New Roman" w:cs="Times New Roman"/>
          <w:sz w:val="24"/>
          <w:szCs w:val="24"/>
        </w:rPr>
        <w:lastRenderedPageBreak/>
        <w:t xml:space="preserve">околната среда: диверсификация на културите (минимум две култури над 10 ха и три култури над 30 ха, с ограничения за дял на основната култура), поддържане на постоянно затревени площи (вкл. забрана за разораване на чувствителни зони и спазване на национално/регионално съотношение) и екологично насочени площи най-малко 5% от обработваемата земя при стопанства с над 15 ха. Държавите могат да разрешават еквивалентни практики чрез агроекологични схеми или сертификационни системи, ако осигуряват равностойни или по-високи ползи (Европейска комисия, 2017). </w:t>
      </w:r>
    </w:p>
    <w:p w14:paraId="0DACBEBD" w14:textId="77777777" w:rsidR="00A639F4" w:rsidRPr="008226ED" w:rsidRDefault="00A639F4" w:rsidP="00A639F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Плащането за млади земеделски стопани е задължителен допълнителен компонент до пет години след поемане на стопанството и може да достига до 2% от националния пакет. То цели да облекчи навлизането на млади стопани и да ускори поколенческото обновяване; в държави с СОП младите получават и приоритет при разпределянето на права на плащане. Преразпределителното плащане е доброволен инструмент за пренасочване на до 30% от пакета към първите хектари на всяко стопанство (до 30 ха или до средния размер за страната, ако е по-висок), с таван до 65% от средното национално плащане на хектар. Схемата за дребни земеделски стопани предлага опростена алтернатива с еднократна годишна сума до 1 250 евро и значително облекчени изисквания по „</w:t>
      </w:r>
      <w:proofErr w:type="gramStart"/>
      <w:r w:rsidRPr="008226ED">
        <w:rPr>
          <w:rFonts w:ascii="Times New Roman" w:hAnsi="Times New Roman" w:cs="Times New Roman"/>
          <w:sz w:val="24"/>
          <w:szCs w:val="24"/>
        </w:rPr>
        <w:t>екологизиране“ и</w:t>
      </w:r>
      <w:proofErr w:type="gramEnd"/>
      <w:r w:rsidRPr="008226ED">
        <w:rPr>
          <w:rFonts w:ascii="Times New Roman" w:hAnsi="Times New Roman" w:cs="Times New Roman"/>
          <w:sz w:val="24"/>
          <w:szCs w:val="24"/>
        </w:rPr>
        <w:t xml:space="preserve"> кръстосано спазване за участващите (Европейска комисия, 2017). </w:t>
      </w:r>
    </w:p>
    <w:p w14:paraId="371E2204" w14:textId="77777777" w:rsidR="00A639F4" w:rsidRPr="008226ED" w:rsidRDefault="00A639F4" w:rsidP="00A639F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Доброволно обвързаната с производството подкрепа позволява на държавите членки да свържат ограничен дял от пакета (по правило до 8%, с изключения при определени условия) с конкретни чувствителни сектори или продукти, когато са налице икономически, социални или екологични основания и риск от спад на производството. Отделно, държавите могат да използват до 5% за доплащане в райони с природни ограничения под формата на топ-ъп в първи стълб, макар тази възможност да се използва ограничено; основният инструмент за тези райони остава вторият стълб. Тези гъвкавости позволяват национално таргетиране в рамките на общите европейски тавани и правила (Европейска комисия, 2017). </w:t>
      </w:r>
    </w:p>
    <w:p w14:paraId="1A0BC6A0" w14:textId="77777777" w:rsidR="00A639F4" w:rsidRPr="008226ED" w:rsidRDefault="00A639F4" w:rsidP="00A639F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Всички директни плащания са условни спрямо спазване на „кръстосано </w:t>
      </w:r>
      <w:proofErr w:type="gramStart"/>
      <w:r w:rsidRPr="008226ED">
        <w:rPr>
          <w:rFonts w:ascii="Times New Roman" w:hAnsi="Times New Roman" w:cs="Times New Roman"/>
          <w:sz w:val="24"/>
          <w:szCs w:val="24"/>
        </w:rPr>
        <w:t>съответствие“</w:t>
      </w:r>
      <w:proofErr w:type="gramEnd"/>
      <w:r w:rsidRPr="008226ED">
        <w:rPr>
          <w:rFonts w:ascii="Times New Roman" w:hAnsi="Times New Roman" w:cs="Times New Roman"/>
          <w:sz w:val="24"/>
          <w:szCs w:val="24"/>
        </w:rPr>
        <w:t xml:space="preserve">, което съчетава Законоустановените изисквания за управление (SMR) — в области като обществено здраве, здраве на животните и растенията, идентификация на животни, околна среда и хуманно отношение — и стандартите за Добро земеделско и екологично състояние (GAEC), които държавите конкретизират на национално равнище. Неспазването води до пропорционални намаления според тежестта, обхвата и </w:t>
      </w:r>
      <w:r w:rsidRPr="008226ED">
        <w:rPr>
          <w:rFonts w:ascii="Times New Roman" w:hAnsi="Times New Roman" w:cs="Times New Roman"/>
          <w:sz w:val="24"/>
          <w:szCs w:val="24"/>
        </w:rPr>
        <w:lastRenderedPageBreak/>
        <w:t xml:space="preserve">повторяемостта на нарушението. Чрез тази обвързаност ОСП превръща доходната подкрепа в инструмент за обществена възвръщаемост, като гарантира базова екологична и регулаторна съвместимост на подпомаганата дейност (Европейска комисия, 2017). </w:t>
      </w:r>
    </w:p>
    <w:p w14:paraId="50CFB36D" w14:textId="77777777" w:rsidR="00A639F4" w:rsidRPr="008226ED" w:rsidRDefault="00A639F4" w:rsidP="00A639F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На финансово и административно равнище всеки член държи годишен „национален </w:t>
      </w:r>
      <w:proofErr w:type="gramStart"/>
      <w:r w:rsidRPr="008226ED">
        <w:rPr>
          <w:rFonts w:ascii="Times New Roman" w:hAnsi="Times New Roman" w:cs="Times New Roman"/>
          <w:sz w:val="24"/>
          <w:szCs w:val="24"/>
        </w:rPr>
        <w:t>пакет“ (</w:t>
      </w:r>
      <w:proofErr w:type="gramEnd"/>
      <w:r w:rsidRPr="008226ED">
        <w:rPr>
          <w:rFonts w:ascii="Times New Roman" w:hAnsi="Times New Roman" w:cs="Times New Roman"/>
          <w:sz w:val="24"/>
          <w:szCs w:val="24"/>
        </w:rPr>
        <w:t xml:space="preserve">финансов таван) и избира комбинация от схеми в рамките на регулаторните ограничения, включително възможни трансфери между двата стълба. Заявяването е годишно, проверките са административни и на място, с използване на цифрови карти и сателитни изображения, а санкциите и корекциите поддържат дисциплина и равнопоставеност. В резултат системата осигурява едновременно предвидимост на доходите на стопанствата, базов екологичен минимум на площите и възможност за национално таргетиране според структурата на сектора, като запазва общата европейска рамка за целите и стандартите (Европейска комисия, 2017). </w:t>
      </w:r>
    </w:p>
    <w:p w14:paraId="0197ABAF" w14:textId="77777777" w:rsidR="004A5201" w:rsidRPr="008226ED" w:rsidRDefault="004A5201" w:rsidP="004A5201">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През периода 2014–2020 Общата селскостопанска политика заема приблизително 38% от общия бюджет на ЕС и финансира три ключови направления: пазарни мерки, директни плащания и програми за развитие на селските райони. Тази структура осигурява едновременно стабилизиране на аграрните пазари при шокове, предвидима доходна подкрепа за стопанствата и дългосрочни инвестиции в модернизация, околна среда и териториално развитие, като целта е да се поддържа продоволствената сигурност и устойчивостта на сектора в целия Съюз (Европейска комисия, 2017).</w:t>
      </w:r>
    </w:p>
    <w:p w14:paraId="32A2042F" w14:textId="77777777" w:rsidR="004A5201" w:rsidRPr="008226ED" w:rsidRDefault="004A5201" w:rsidP="004A5201">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Директните плащания са централният елемент на ОСП през този период: приблизително 293 млрд. евро, или около 72% от общия бюджет на политиката, което се равнява на над 41 млрд. евро годишно. Те изпълняват три функции, които се преплитат в единна архитектура на подкрепата: стабилизират доходите на земеделските производители, подпомагат конкурентоспособността чрез предвидим паричен поток и насърчават екологосъобразни практики чрез изисквания, обвързани с плащанията. По този начин директните плащания действат като доходен „</w:t>
      </w:r>
      <w:proofErr w:type="gramStart"/>
      <w:r w:rsidRPr="008226ED">
        <w:rPr>
          <w:rFonts w:ascii="Times New Roman" w:hAnsi="Times New Roman" w:cs="Times New Roman"/>
          <w:sz w:val="24"/>
          <w:szCs w:val="24"/>
        </w:rPr>
        <w:t>амортизатор“</w:t>
      </w:r>
      <w:proofErr w:type="gramEnd"/>
      <w:r w:rsidRPr="008226ED">
        <w:rPr>
          <w:rFonts w:ascii="Times New Roman" w:hAnsi="Times New Roman" w:cs="Times New Roman"/>
          <w:sz w:val="24"/>
          <w:szCs w:val="24"/>
        </w:rPr>
        <w:t>, но и като инструмент за обществена възвръщаемост чрез екологични ангажименти и базови стандарти (Европейска комисия, 2017).</w:t>
      </w:r>
    </w:p>
    <w:p w14:paraId="0C874DFA" w14:textId="77777777" w:rsidR="004A5201" w:rsidRPr="008226ED" w:rsidRDefault="004A5201" w:rsidP="004A5201">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Обхватът на схемата е значителен. Само през 2015 г. около 7 милиона стопанства на равнище ЕС получават директни плащания, покривайки приблизително 156 милиона хектара, т.е. близо 90% от използваната земеделска площ. В доходната структура на сектора </w:t>
      </w:r>
      <w:r w:rsidRPr="008226ED">
        <w:rPr>
          <w:rFonts w:ascii="Times New Roman" w:hAnsi="Times New Roman" w:cs="Times New Roman"/>
          <w:sz w:val="24"/>
          <w:szCs w:val="24"/>
        </w:rPr>
        <w:lastRenderedPageBreak/>
        <w:t>подкрепата има системна роля: почти половината от доходите на земеделските стопани през предходното десетилетие произтичат от директното подпомагане, което подчертава зависимостта на продоволствената система от стабилността на бюджета на ОСП и от механизма за условност и екологични изисквания, с които е обвързано плащането (Европейска комисия, 2017).</w:t>
      </w:r>
    </w:p>
    <w:p w14:paraId="3DC73910" w14:textId="77777777" w:rsidR="004A5201" w:rsidRPr="008226ED" w:rsidRDefault="004A5201" w:rsidP="004A5201">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Разпределението на помощта обаче е неравномерно и отразява концентрацията на земя и особеностите на прилагането. През 2015 г. около 20% от земеделските стопани получават близо 80% от директните плащания, докато повече от половината от получателите са много малки стопанства. Най-големият обем средства отива към средни професионални (семейни) стопанства между 5 и 250 ха, които управляват приблизително 71% от европейската земеделска земя и поради мащаба си поемат основната тежест в предоставянето на обществени блага като управление на ландшафта, поддържане на биоразнообразието и изпълнение на екологични практики. Този профил на разпределение, изграден върху площен принцип и исторически параметри, поставя въпроси за икономическа ефективност и социална справедливост и мотивира обсъждането на по-целенасочено таргетиране, преразпределителни механизми и ограничения на много високите плащания в рамката след 2020 г. (Европейска комисия, 2017).</w:t>
      </w:r>
    </w:p>
    <w:p w14:paraId="33ACC701" w14:textId="77777777" w:rsidR="0066546F" w:rsidRPr="008226ED" w:rsidRDefault="0066546F" w:rsidP="0066546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Изразходването на публични средства по ОСП през 2014–2020 г. се организира около изискването всяка Програма за развитие на селските райони да поддържа надеждна електронна „операционна база </w:t>
      </w:r>
      <w:proofErr w:type="gramStart"/>
      <w:r w:rsidRPr="008226ED">
        <w:rPr>
          <w:rFonts w:ascii="Times New Roman" w:hAnsi="Times New Roman" w:cs="Times New Roman"/>
          <w:sz w:val="24"/>
          <w:szCs w:val="24"/>
        </w:rPr>
        <w:t>данни“</w:t>
      </w:r>
      <w:proofErr w:type="gramEnd"/>
      <w:r w:rsidRPr="008226ED">
        <w:rPr>
          <w:rFonts w:ascii="Times New Roman" w:hAnsi="Times New Roman" w:cs="Times New Roman"/>
          <w:sz w:val="24"/>
          <w:szCs w:val="24"/>
        </w:rPr>
        <w:t>, в която се регистрират всички операции от момента на подадено заявление до окончателното плащане. На ниво запис това включва уникален идентификатор на операцията, бенефициент, местоположение, тематична фокусна област, мярка/подмярка, поети публични ангажименти по източник на финансиране, реално извършени плащания по години и съответните физически продукти и резултати. Така финансовият цикъл — планиране, договаряне, разходване и отчитане — е „</w:t>
      </w:r>
      <w:proofErr w:type="gramStart"/>
      <w:r w:rsidRPr="008226ED">
        <w:rPr>
          <w:rFonts w:ascii="Times New Roman" w:hAnsi="Times New Roman" w:cs="Times New Roman"/>
          <w:sz w:val="24"/>
          <w:szCs w:val="24"/>
        </w:rPr>
        <w:t>закотвен“ в</w:t>
      </w:r>
      <w:proofErr w:type="gramEnd"/>
      <w:r w:rsidRPr="008226ED">
        <w:rPr>
          <w:rFonts w:ascii="Times New Roman" w:hAnsi="Times New Roman" w:cs="Times New Roman"/>
          <w:sz w:val="24"/>
          <w:szCs w:val="24"/>
        </w:rPr>
        <w:t xml:space="preserve"> данни, които позволяват както текущо управление, така и ретроспективна оценка на ефикасността и ефективността на разходите (European Commission, 2016). </w:t>
      </w:r>
    </w:p>
    <w:p w14:paraId="065B48E2" w14:textId="77777777" w:rsidR="0066546F" w:rsidRPr="008226ED" w:rsidRDefault="0066546F" w:rsidP="0066546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Управляващият орган проектира, поддържа и контролира тази електронна система и гарантира, че в нея постъпва информацията, необходима за мониторинг и оценка, в съответствие с общата рамка за мониторинг и оценка на ОСП. Още в дизайна на програмата се изработва план за оценка, който описва източниците на данни, отговорностите на </w:t>
      </w:r>
      <w:r w:rsidRPr="008226ED">
        <w:rPr>
          <w:rFonts w:ascii="Times New Roman" w:hAnsi="Times New Roman" w:cs="Times New Roman"/>
          <w:sz w:val="24"/>
          <w:szCs w:val="24"/>
        </w:rPr>
        <w:lastRenderedPageBreak/>
        <w:t xml:space="preserve">институциите, процедурите за събиране и валидиране, пропуските в наличната статистика и мерките за преодоляването им. Това превантивно планиране осигурява, че всеки публичен разход ще бъде свързан с измерим продукт и резултат и че нужната информация ще бъде налична навреме и при разумна цена (European Commission, 2016). </w:t>
      </w:r>
    </w:p>
    <w:p w14:paraId="7707BF92" w14:textId="77777777" w:rsidR="0066546F" w:rsidRPr="008226ED" w:rsidRDefault="0066546F" w:rsidP="0066546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Критичен принцип е събирането на данните „възможно най-близо до </w:t>
      </w:r>
      <w:proofErr w:type="gramStart"/>
      <w:r w:rsidRPr="008226ED">
        <w:rPr>
          <w:rFonts w:ascii="Times New Roman" w:hAnsi="Times New Roman" w:cs="Times New Roman"/>
          <w:sz w:val="24"/>
          <w:szCs w:val="24"/>
        </w:rPr>
        <w:t>източника“</w:t>
      </w:r>
      <w:proofErr w:type="gramEnd"/>
      <w:r w:rsidRPr="008226ED">
        <w:rPr>
          <w:rFonts w:ascii="Times New Roman" w:hAnsi="Times New Roman" w:cs="Times New Roman"/>
          <w:sz w:val="24"/>
          <w:szCs w:val="24"/>
        </w:rPr>
        <w:t xml:space="preserve">. Затова формулярите за кандидатстване и исканията за плащане съдържат структурирани полета, които директно захранват оперативната база — например площи по видове интервенции, броя обучени лица, капацитети, въведени стандарти, произведени инвестиционни продукти. Бенефициентите са длъжни да предоставят тези данни и да поддържат доказателства, като същевременно се спазват правилата за защита на личните данни и търговската тайна. Валидирането се извършва чрез административни проверки и, където е приложимо, проверки на място преди прехвърлянето на агрегирани данни към системите на ЕС (European Commission, 2016). </w:t>
      </w:r>
    </w:p>
    <w:p w14:paraId="7F4D2A16" w14:textId="77777777" w:rsidR="0066546F" w:rsidRPr="008226ED" w:rsidRDefault="0066546F" w:rsidP="0066546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Новото спрямо предходния период е единната обща рамка за мониторинг и оценка, валидна за двата стълба на ОСП, която въвежда общи индикатори за въздействие, резултат и продукт. За всяка фокусна област в програмата се определя поне един индикатор за резултат с количествена цел, а към мерките се прикачват подходящи продуктови индикатори. За площно базираните интервенции (напр. агроекологично-климатични плащания) резултатите се докладват ежегодно, докато за инвестиционните и „</w:t>
      </w:r>
      <w:proofErr w:type="gramStart"/>
      <w:r w:rsidRPr="008226ED">
        <w:rPr>
          <w:rFonts w:ascii="Times New Roman" w:hAnsi="Times New Roman" w:cs="Times New Roman"/>
          <w:sz w:val="24"/>
          <w:szCs w:val="24"/>
        </w:rPr>
        <w:t>меките“ мерки</w:t>
      </w:r>
      <w:proofErr w:type="gramEnd"/>
      <w:r w:rsidRPr="008226ED">
        <w:rPr>
          <w:rFonts w:ascii="Times New Roman" w:hAnsi="Times New Roman" w:cs="Times New Roman"/>
          <w:sz w:val="24"/>
          <w:szCs w:val="24"/>
        </w:rPr>
        <w:t xml:space="preserve"> продуктите се натрупват кумулативно. Това прави сравними програмите и държавите членки и позволява оценка на приноса към целите на политиката на равнище ЕС (European Commission, 2016). </w:t>
      </w:r>
    </w:p>
    <w:p w14:paraId="4E549D7B" w14:textId="77777777" w:rsidR="0066546F" w:rsidRPr="008226ED" w:rsidRDefault="0066546F" w:rsidP="0066546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Предаването на данни към Европейската комисия става по стандартизирани формати чрез SFC2014. На всеки шест месеца държавите докладват поетите публични ангажименти по мерки и фокусни области, за да се проследи темпът на договориране и потенциалните рискове от неусвояване. Паралелно се подават таблици с произведените изходи по мерки и фокусни области, включително специални модули за ЛИДЕР/ВОМР, Националната селска мрежа и Техническа помощ. Допълнителни разбивки по райони с природни ограничения, пол, сектор и размер на стопанствата показват социалното и териториалното разпределение на средствата и улесняват целеви корекции в хода на изпълнение (European Commission, 2016). </w:t>
      </w:r>
    </w:p>
    <w:p w14:paraId="1F2A4B88" w14:textId="77777777" w:rsidR="0066546F" w:rsidRPr="008226ED" w:rsidRDefault="0066546F" w:rsidP="0066546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 xml:space="preserve">Връзката между пари и резултати се материализира в отделни „таблици за </w:t>
      </w:r>
      <w:proofErr w:type="gramStart"/>
      <w:r w:rsidRPr="008226ED">
        <w:rPr>
          <w:rFonts w:ascii="Times New Roman" w:hAnsi="Times New Roman" w:cs="Times New Roman"/>
          <w:sz w:val="24"/>
          <w:szCs w:val="24"/>
        </w:rPr>
        <w:t>изпълнение“</w:t>
      </w:r>
      <w:proofErr w:type="gramEnd"/>
      <w:r w:rsidRPr="008226ED">
        <w:rPr>
          <w:rFonts w:ascii="Times New Roman" w:hAnsi="Times New Roman" w:cs="Times New Roman"/>
          <w:sz w:val="24"/>
          <w:szCs w:val="24"/>
        </w:rPr>
        <w:t xml:space="preserve">, където всяка одобрена операция се свързва с основните индикатори, към които допринася. Това позволява агрегиране на ефекта по мярка, приоритет и фокусна област и подкрепя както годишното управление, така и междинните и финалните оценки. За преходните ангажименти от 2007–2013 г. се води отделно наблюдение на публичните разходи, за да има пълна картина за всички плащания през новия период и да се избегне двойно отчитане (European Commission, 2016). </w:t>
      </w:r>
    </w:p>
    <w:p w14:paraId="34A05DB3" w14:textId="77777777" w:rsidR="0066546F" w:rsidRPr="008226ED" w:rsidRDefault="0066546F" w:rsidP="0066546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Годишният доклад за изпълнение е разширен инструмент за отчетност и управление. В него се представят финансовият напредък, постигнатите продукти и резултати, анализ на разликите спрямо планираното, извършените оценъчни дейности и предприетите корективни действия. През 2017 и 2019 г. държавите членки представят междинни резултати, а през 2018 г. Комисията консолидира първи обобщен доклад до Европейския парламент и Съвета за напредъка на ОСП 2014–2020. Тази циклична отчетност превръща данните в инструмент за управление: когато индикаторите изостават, може да се ускорят процедури, да се пренасочат средства или да се адаптират критерии за подбор (European Commission, 2016). </w:t>
      </w:r>
    </w:p>
    <w:p w14:paraId="073765D6" w14:textId="77777777" w:rsidR="0066546F" w:rsidRPr="008226ED" w:rsidRDefault="0066546F" w:rsidP="0066546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За да бъде надежден мониторингът, рамката задава очаквания към „качество на </w:t>
      </w:r>
      <w:proofErr w:type="gramStart"/>
      <w:r w:rsidRPr="008226ED">
        <w:rPr>
          <w:rFonts w:ascii="Times New Roman" w:hAnsi="Times New Roman" w:cs="Times New Roman"/>
          <w:sz w:val="24"/>
          <w:szCs w:val="24"/>
        </w:rPr>
        <w:t>данните“</w:t>
      </w:r>
      <w:proofErr w:type="gramEnd"/>
      <w:r w:rsidRPr="008226ED">
        <w:rPr>
          <w:rFonts w:ascii="Times New Roman" w:hAnsi="Times New Roman" w:cs="Times New Roman"/>
          <w:sz w:val="24"/>
          <w:szCs w:val="24"/>
        </w:rPr>
        <w:t xml:space="preserve">: достатъчност по обем, релевантност към пълния набор от индикатори, навременност на въвеждането и съотношение цена–полза при събирането. На практика това означава интеграция между ИТ системите на управляващите органи и разплащателните агенции, ясно разписани роли и процедури за валидиране, автоматични контролни правила при входа и проследимост на всяка корекция. Резултатът е, че всяко евро публичен ресурс може да бъде проследено до операция, операцията — до отчетен продукт, а продуктът — до цел на програмата, като веригата е одитируема и сравнима между държавите (European Commission, 2016). </w:t>
      </w:r>
    </w:p>
    <w:p w14:paraId="734A72FE" w14:textId="670A4016" w:rsidR="0066546F" w:rsidRPr="008226ED" w:rsidRDefault="0066546F" w:rsidP="0066546F">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Като цяло</w:t>
      </w:r>
      <w:r w:rsidRPr="008226ED">
        <w:rPr>
          <w:rFonts w:ascii="Times New Roman" w:hAnsi="Times New Roman" w:cs="Times New Roman"/>
          <w:sz w:val="24"/>
          <w:szCs w:val="24"/>
        </w:rPr>
        <w:t xml:space="preserve">, изразходването и мониторингът на публичните средства в ОСП 2014–2020 се управляват по логика „данни-напред“: оперативни бази данни на държавно ниво, планове за оценка, задължения на бенефициентите за предоставяне на информация, общи индикатори и стандартизирани формати за полугодишно и годишно отчитане в SFC2014. Тази архитектура прави разходите проверими и съпоставими, улеснява управленските решения и дава възможност за корекции в реално време, така че публичните средства да се </w:t>
      </w:r>
      <w:r w:rsidRPr="008226ED">
        <w:rPr>
          <w:rFonts w:ascii="Times New Roman" w:hAnsi="Times New Roman" w:cs="Times New Roman"/>
          <w:sz w:val="24"/>
          <w:szCs w:val="24"/>
        </w:rPr>
        <w:lastRenderedPageBreak/>
        <w:t xml:space="preserve">насочват към интервенции с доказуем продукт, резултат и принос към целите на политиката (European Commission, 2016). </w:t>
      </w:r>
    </w:p>
    <w:p w14:paraId="1DDFFB29" w14:textId="77777777" w:rsidR="009967EB" w:rsidRPr="008226ED" w:rsidRDefault="009967EB" w:rsidP="009967EB">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Мониторингът следва да се утвърди като централна управленска функция, а не като формална отчетност. Това изисква изрично формулирана теория на промяната, която да свързва интервенциите с продуктите, резултатите и въздействията, както и логическа рамка с междинни етапи и измерими целеви стойности. Когато допусканията, рисковете и очакваните механизми на ефект са начертани предварително, текущите данни могат да служат за своевременно валидиране на програмния дизайн и за корекции по време на изпълнение, вместо изводите да се отлагат за финалните оценки.</w:t>
      </w:r>
    </w:p>
    <w:p w14:paraId="34B3209F" w14:textId="77777777" w:rsidR="009967EB" w:rsidRPr="008226ED" w:rsidRDefault="009967EB" w:rsidP="009967EB">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Надеждността на мониторинга започва от операционната база данни. Необходимо е ясно дефиниран модел с основни обекти и релации между бенефициент, операция, договор, плащане, местоположение, мярка или подмярка, фокусна област, продуктов и резултатен индикатор. Минималните задължителни полета, контролираните номенклатури и правилата за нормализиране трябва да бъдат съгласувани с външните регистри като IACS/LPIS, системите за идентификация на животни и официалната статистика, така че данните да се преливат полуавтоматично към отчетните формати и да се свежда до минимум ръчната трансформация.</w:t>
      </w:r>
    </w:p>
    <w:p w14:paraId="56F74D9A" w14:textId="77777777" w:rsidR="009967EB" w:rsidRPr="008226ED" w:rsidRDefault="009967EB" w:rsidP="009967EB">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За да бъде информацията сравнима и интерпретируема, е нужен пълен каталог на индикаторите с метаданни: дефиниции, формули, източници, честота на събиране, пространствени единици, периодичност, отговорни институции, версии на методиките и допустими диапазони на стойностите. Описването на зависимостите между продуктовите и резултатните индикатори и правилата за агрегиране към нива приоритет и програма осигурява стабилна основа за управленски решения и оценъчни анализи.</w:t>
      </w:r>
    </w:p>
    <w:p w14:paraId="6868DE9D" w14:textId="77777777" w:rsidR="009967EB" w:rsidRPr="008226ED" w:rsidRDefault="009967EB" w:rsidP="009967EB">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Качеството на данните трябва да се управлява като самостоятелен процес с ясни прагове и показатели за пълнота, точност, навременност, консистентност, уникалност и проследимост. Техническите контроли при входа, автоматичните проверки за логическа съвместимост и тестовете за аномалии следва да се допълват с табло за качеството и ключови процесни метрики като дял записи с критични грешки, средно време от подаване до валидиране и дял корекции след одит. Поддържането на одитна следа, версии на данните и архивни снимки към датите на официално отчитане гарантира възпроизводимост на резултатите.</w:t>
      </w:r>
    </w:p>
    <w:p w14:paraId="1A312CCA" w14:textId="77777777" w:rsidR="009967EB" w:rsidRPr="008226ED" w:rsidRDefault="009967EB" w:rsidP="009967EB">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Интероперабилността между управляващия орган, разплащателната агенция и другите източници на данни предполага прозрачна архитектура за обмен с роля-базирани права за достъп, програмно четими интерфейси, график за извличане и зареждане, както и процедури за възстановяване при отказ. Когато полугодишните и годишните отчети се генерират от синхронизирани системи, се намалява оперативният риск, ускорява се управленският цикъл и се ограничават несъответствията между вътрешни и външни публикации.</w:t>
      </w:r>
    </w:p>
    <w:p w14:paraId="6B900F9B" w14:textId="77777777" w:rsidR="009967EB" w:rsidRPr="008226ED" w:rsidRDefault="009967EB" w:rsidP="009967EB">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Капацитетът за анализ е условие мониторингът да информира решения. Необходими са специализирани звена с достъп до микроданни и умения за контрафактически методи, включително съпоставяне по близост, разлики-в-разлики и панелни модели. Предварително зададени базови линии, групи за сравнение и ключове за свързване между административни масиви и извадкови обследвания повишават доказателствената сила на изводите и позволяват да се различи ефектът на интервенцията от фоновите тенденции.</w:t>
      </w:r>
    </w:p>
    <w:p w14:paraId="10B39F6D" w14:textId="77777777" w:rsidR="009967EB" w:rsidRPr="008226ED" w:rsidRDefault="009967EB" w:rsidP="009967EB">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Текущото управление се подпомага от процесни показатели, чувствителни към забавяния и блокажи: време до договориране и първо плащане, темп на усвояване спрямо плана, риск от освобождаване на средства по правилата N+2/N+3, дял проекти с просрочени етапи и среден брой корекции на проект. Редовните оперативни прегледи, базирани на тези метрики, насочват навременни корективни действия на ниво мярка и портфейл.</w:t>
      </w:r>
    </w:p>
    <w:p w14:paraId="55F7E4A6" w14:textId="77777777" w:rsidR="009967EB" w:rsidRPr="008226ED" w:rsidRDefault="009967EB" w:rsidP="009967EB">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Съществен е и компонентът за управление на риска и противодействие на измами, който използва количествени методи за откриване на аномалии в заявяването и плащанията, пространствени несъответствия и поведенчески индикатори. Комбинирането на административни проверки с дистанционни наблюдения и стратифицирани проверки на място позволява по-добро приоритизиране на контрола без компромис с надеждността.</w:t>
      </w:r>
    </w:p>
    <w:p w14:paraId="220B9C28" w14:textId="77777777" w:rsidR="009967EB" w:rsidRPr="008226ED" w:rsidRDefault="009967EB" w:rsidP="009967EB">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Прозрачността превръща данните в обществен ресурс и дисциплинира изпълнението. Публични табла за напредък на мерково и териториално ниво, придружени от методологични бележки и кодови книги, както и формати за обратна връзка от бенефициенти и експертната общност, създават цикъл на учене и ускоряват адаптацията на критериите за подбор и условията за изпълнение. Когато Комитетът по наблюдение работи с стандартизирани дашборди и фишове за напредък, управленският разговор се измества от ретроспективно отчитане към активно управление.</w:t>
      </w:r>
    </w:p>
    <w:p w14:paraId="32727AEE" w14:textId="77777777" w:rsidR="009967EB" w:rsidRPr="008226ED" w:rsidRDefault="009967EB" w:rsidP="009967EB">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И накрая, устойчивостта на системата изисква план за роли и отговорности между институциите, график за обучения по методология и ИТ инструменти и ясни протоколи за координация. С оглед на прехода към периода 2023–2027 е необходимо да се предвиди надграждане с новите изисквания за изпълнение и мониторинг, включително по-системно използване на дистанционни наблюдения и хармонизация на климатичните и екологичните индикатори, така че натрупаните практики да се трансформират в по-голяма технологична и аналитична дълбочина в новия програмен цикъл.</w:t>
      </w:r>
    </w:p>
    <w:p w14:paraId="402F3F48" w14:textId="77777777" w:rsidR="00924338" w:rsidRPr="008226ED" w:rsidRDefault="00924338" w:rsidP="0092433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Добрата практика при управлението на данни за оценяване, основано на доказателства, започва от проектирането на надеждна оперативна база данни, която улавя ключова информация още при кандидатстване и при искане за плащане. Записът на данни „възможно най-близо до </w:t>
      </w:r>
      <w:proofErr w:type="gramStart"/>
      <w:r w:rsidRPr="008226ED">
        <w:rPr>
          <w:rFonts w:ascii="Times New Roman" w:hAnsi="Times New Roman" w:cs="Times New Roman"/>
          <w:sz w:val="24"/>
          <w:szCs w:val="24"/>
        </w:rPr>
        <w:t>източника“ ограничава</w:t>
      </w:r>
      <w:proofErr w:type="gramEnd"/>
      <w:r w:rsidRPr="008226ED">
        <w:rPr>
          <w:rFonts w:ascii="Times New Roman" w:hAnsi="Times New Roman" w:cs="Times New Roman"/>
          <w:sz w:val="24"/>
          <w:szCs w:val="24"/>
        </w:rPr>
        <w:t xml:space="preserve"> липси и грешки и осигурява проследимост от ниво операция до ниво мярка и приоритет. В практичен план това означава формулярите за подкрепа и плащане да съдържат структурирани полета за бенефициент, местоположение, тематична фокусна област, поети и изплатени средства по години, както и продуктови и резултатни индикатори; тази информация постъпва автоматично в оперативната система, чиято поддръжка и сигурност са отговорност на управляващия орган по силата на регламентите за периода 2014–2020 г. (European Commission, 2016). </w:t>
      </w:r>
    </w:p>
    <w:p w14:paraId="6F9B7EE7" w14:textId="0B25E9DF" w:rsidR="00924338" w:rsidRPr="008226ED" w:rsidRDefault="006B7CAD" w:rsidP="0092433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lang w:val="bg-BG"/>
        </w:rPr>
        <w:t xml:space="preserve">Друга </w:t>
      </w:r>
      <w:r w:rsidR="00924338" w:rsidRPr="008226ED">
        <w:rPr>
          <w:rFonts w:ascii="Times New Roman" w:hAnsi="Times New Roman" w:cs="Times New Roman"/>
          <w:sz w:val="24"/>
          <w:szCs w:val="24"/>
        </w:rPr>
        <w:t xml:space="preserve">добра практика е изработването на реалистичен и операционализиран план за оценка още при дизайна на програмата. Той трябва ясно да описва източниците на данни, ролите на институциите, пропуските в наличната статистика и предвидените решения, така че още от началото да е ясно кой какво измерва, кога и с какви ресурси. Целта е да се избегне ситуация, при която в годините на изпълнение индикаторите се оказват немерими или твърде скъпи за събиране. В логиката на общата рамка за мониторинг и оценка всяка фокусна област следва да има поне един индикатор за резултат и количествена цел, които в идеалния случай се захранват от мониторингови записи или стандартизирани коефициенти, а при нужда – от периодични проучвания. Когато тези изисквания са заложени в плана за оценка и са подкрепени от ИТ решения за събиране и валидиране на данните, оценяването се превръща в непрекъснат процес, а не в еднократен акт в края на периода (European Commission, 2016). </w:t>
      </w:r>
    </w:p>
    <w:p w14:paraId="3B604447" w14:textId="29B06E41" w:rsidR="00924338" w:rsidRPr="008226ED" w:rsidRDefault="006B7CAD" w:rsidP="0092433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lang w:val="bg-BG"/>
        </w:rPr>
        <w:t>Д</w:t>
      </w:r>
      <w:r w:rsidR="00924338" w:rsidRPr="008226ED">
        <w:rPr>
          <w:rFonts w:ascii="Times New Roman" w:hAnsi="Times New Roman" w:cs="Times New Roman"/>
          <w:sz w:val="24"/>
          <w:szCs w:val="24"/>
        </w:rPr>
        <w:t xml:space="preserve">обра практика е </w:t>
      </w:r>
      <w:r w:rsidRPr="008226ED">
        <w:rPr>
          <w:rFonts w:ascii="Times New Roman" w:hAnsi="Times New Roman" w:cs="Times New Roman"/>
          <w:sz w:val="24"/>
          <w:szCs w:val="24"/>
          <w:lang w:val="bg-BG"/>
        </w:rPr>
        <w:t xml:space="preserve">и </w:t>
      </w:r>
      <w:r w:rsidR="00924338" w:rsidRPr="008226ED">
        <w:rPr>
          <w:rFonts w:ascii="Times New Roman" w:hAnsi="Times New Roman" w:cs="Times New Roman"/>
          <w:sz w:val="24"/>
          <w:szCs w:val="24"/>
        </w:rPr>
        <w:t xml:space="preserve">ранната интеграция между оперативните бази и системата за обмен на данни SFC2014, така че полугодишните и годишните отчетности да могат да се </w:t>
      </w:r>
      <w:r w:rsidR="00924338" w:rsidRPr="008226ED">
        <w:rPr>
          <w:rFonts w:ascii="Times New Roman" w:hAnsi="Times New Roman" w:cs="Times New Roman"/>
          <w:sz w:val="24"/>
          <w:szCs w:val="24"/>
        </w:rPr>
        <w:lastRenderedPageBreak/>
        <w:t xml:space="preserve">генерират полуавтоматично, без ръчно прехвърляне и повторно въвеждане на данни. Конкретно полезно е данните за поети публични ангажименти по мерки и фокусни области да се извличат регулярно за двата отчетни срока в годината, а изходните показатели да се въвеждат като годишни за площно базираните интервенции и кумулативни за останалите. Допълнителните разбивки по райони с природни ограничения, пол, сектор и размер на стопанствата следва да се поддържат в оперативната система, за да се избегне „ад </w:t>
      </w:r>
      <w:proofErr w:type="gramStart"/>
      <w:r w:rsidR="00924338" w:rsidRPr="008226ED">
        <w:rPr>
          <w:rFonts w:ascii="Times New Roman" w:hAnsi="Times New Roman" w:cs="Times New Roman"/>
          <w:sz w:val="24"/>
          <w:szCs w:val="24"/>
        </w:rPr>
        <w:t>хок“ обработка</w:t>
      </w:r>
      <w:proofErr w:type="gramEnd"/>
      <w:r w:rsidR="00924338" w:rsidRPr="008226ED">
        <w:rPr>
          <w:rFonts w:ascii="Times New Roman" w:hAnsi="Times New Roman" w:cs="Times New Roman"/>
          <w:sz w:val="24"/>
          <w:szCs w:val="24"/>
        </w:rPr>
        <w:t xml:space="preserve"> преди подаване. Така управлението може да следи темпа на договориране и плащане, да идентифицира „тесни </w:t>
      </w:r>
      <w:proofErr w:type="gramStart"/>
      <w:r w:rsidR="00924338" w:rsidRPr="008226ED">
        <w:rPr>
          <w:rFonts w:ascii="Times New Roman" w:hAnsi="Times New Roman" w:cs="Times New Roman"/>
          <w:sz w:val="24"/>
          <w:szCs w:val="24"/>
        </w:rPr>
        <w:t>места“ и</w:t>
      </w:r>
      <w:proofErr w:type="gramEnd"/>
      <w:r w:rsidR="00924338" w:rsidRPr="008226ED">
        <w:rPr>
          <w:rFonts w:ascii="Times New Roman" w:hAnsi="Times New Roman" w:cs="Times New Roman"/>
          <w:sz w:val="24"/>
          <w:szCs w:val="24"/>
        </w:rPr>
        <w:t xml:space="preserve"> да коригира подбора или условията по мерки достатъчно рано (European Commission, 2016). </w:t>
      </w:r>
    </w:p>
    <w:p w14:paraId="7728220B" w14:textId="76E56ABC" w:rsidR="00924338" w:rsidRPr="008226ED" w:rsidRDefault="006B7CAD" w:rsidP="0092433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lang w:val="bg-BG"/>
        </w:rPr>
        <w:t>Като добра практика може да се посочи и</w:t>
      </w:r>
      <w:r w:rsidR="00924338" w:rsidRPr="008226ED">
        <w:rPr>
          <w:rFonts w:ascii="Times New Roman" w:hAnsi="Times New Roman" w:cs="Times New Roman"/>
          <w:sz w:val="24"/>
          <w:szCs w:val="24"/>
        </w:rPr>
        <w:t xml:space="preserve"> изграждането на ясна връзка между парите и резултатите на ниво операция. Поддържането на „таблици за </w:t>
      </w:r>
      <w:proofErr w:type="gramStart"/>
      <w:r w:rsidR="00924338" w:rsidRPr="008226ED">
        <w:rPr>
          <w:rFonts w:ascii="Times New Roman" w:hAnsi="Times New Roman" w:cs="Times New Roman"/>
          <w:sz w:val="24"/>
          <w:szCs w:val="24"/>
        </w:rPr>
        <w:t>изпълнение“</w:t>
      </w:r>
      <w:proofErr w:type="gramEnd"/>
      <w:r w:rsidR="00924338" w:rsidRPr="008226ED">
        <w:rPr>
          <w:rFonts w:ascii="Times New Roman" w:hAnsi="Times New Roman" w:cs="Times New Roman"/>
          <w:sz w:val="24"/>
          <w:szCs w:val="24"/>
        </w:rPr>
        <w:t>, в които всяка одобрена операция е свързана с основните индикатори за продукт и резултат, позволява агрегиране по мярка, приоритет и фокусна област и дава база за целенасочени корекции в реално време. В допълнение, отделно наблюдение на преходните ангажименти от предходния период предотвратява двойно отчитане и осигурява пълна картина за разходите. Добре е и напредъкът към показателите на рамката за изпълнение да се следи с механизъм за корекции, когато в целите са включени допълнителни „топ-</w:t>
      </w:r>
      <w:proofErr w:type="gramStart"/>
      <w:r w:rsidR="00924338" w:rsidRPr="008226ED">
        <w:rPr>
          <w:rFonts w:ascii="Times New Roman" w:hAnsi="Times New Roman" w:cs="Times New Roman"/>
          <w:sz w:val="24"/>
          <w:szCs w:val="24"/>
        </w:rPr>
        <w:t>ъп“ ресурси</w:t>
      </w:r>
      <w:proofErr w:type="gramEnd"/>
      <w:r w:rsidR="00924338" w:rsidRPr="008226ED">
        <w:rPr>
          <w:rFonts w:ascii="Times New Roman" w:hAnsi="Times New Roman" w:cs="Times New Roman"/>
          <w:sz w:val="24"/>
          <w:szCs w:val="24"/>
        </w:rPr>
        <w:t xml:space="preserve">, за да има съпоставимост във времето (European Commission, 2016). </w:t>
      </w:r>
    </w:p>
    <w:p w14:paraId="59AF006C" w14:textId="57892837" w:rsidR="00924338" w:rsidRPr="008226ED" w:rsidRDefault="006B7CAD" w:rsidP="0092433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lang w:val="bg-BG"/>
        </w:rPr>
        <w:t>Друга</w:t>
      </w:r>
      <w:r w:rsidR="00924338" w:rsidRPr="008226ED">
        <w:rPr>
          <w:rFonts w:ascii="Times New Roman" w:hAnsi="Times New Roman" w:cs="Times New Roman"/>
          <w:sz w:val="24"/>
          <w:szCs w:val="24"/>
        </w:rPr>
        <w:t xml:space="preserve"> добра практика за качество на данните е да се заложат технически контроли още при входа: задължителни полета без възможност да останат празни, избор от контролирани номенклатури вместо свободен текст, автоматични проверки за логическа съвместимост и синтаксис, както и ясни правила за корекции и версии. Опитът от предходния период показва, че липси и невалидни формати в данните от заявленията компрометират както мониторинга, така и оценките; затова модернизацията на ИТ системите на разплащателната агенция и специализиран модул за наблюдение, който в реално време извежда стойности за ключовите индикатори, са критични за надеждността и навременността на отчетите (European Commission, 2016; Програма за развитие на селските райони на България 2014–2020, раздел „Данни и </w:t>
      </w:r>
      <w:proofErr w:type="gramStart"/>
      <w:r w:rsidR="00924338" w:rsidRPr="008226ED">
        <w:rPr>
          <w:rFonts w:ascii="Times New Roman" w:hAnsi="Times New Roman" w:cs="Times New Roman"/>
          <w:sz w:val="24"/>
          <w:szCs w:val="24"/>
        </w:rPr>
        <w:t>информация“</w:t>
      </w:r>
      <w:proofErr w:type="gramEnd"/>
      <w:r w:rsidR="00924338" w:rsidRPr="008226ED">
        <w:rPr>
          <w:rFonts w:ascii="Times New Roman" w:hAnsi="Times New Roman" w:cs="Times New Roman"/>
          <w:sz w:val="24"/>
          <w:szCs w:val="24"/>
        </w:rPr>
        <w:t xml:space="preserve">). </w:t>
      </w:r>
    </w:p>
    <w:p w14:paraId="29B015F6" w14:textId="5FEED821" w:rsidR="00924338" w:rsidRPr="008226ED" w:rsidRDefault="006B7CAD" w:rsidP="0092433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lang w:val="bg-BG"/>
        </w:rPr>
        <w:t>Също така,</w:t>
      </w:r>
      <w:r w:rsidR="00924338" w:rsidRPr="008226ED">
        <w:rPr>
          <w:rFonts w:ascii="Times New Roman" w:hAnsi="Times New Roman" w:cs="Times New Roman"/>
          <w:sz w:val="24"/>
          <w:szCs w:val="24"/>
        </w:rPr>
        <w:t xml:space="preserve"> добра практика е да се третират индикаторите като управленски инструмент, а не като чисто правно изискване. Управляващите органи следва да използват ранно наличните данни – включително индикатори, които се знаят още при одобрение на </w:t>
      </w:r>
      <w:r w:rsidR="00924338" w:rsidRPr="008226ED">
        <w:rPr>
          <w:rFonts w:ascii="Times New Roman" w:hAnsi="Times New Roman" w:cs="Times New Roman"/>
          <w:sz w:val="24"/>
          <w:szCs w:val="24"/>
        </w:rPr>
        <w:lastRenderedPageBreak/>
        <w:t xml:space="preserve">проект – за да адаптират условията по мерки и да насочват средства там, където изоставането спрямо цели е най-голямо. Това изисква достатъчно количество и качество на данните, релевантни към пълния набор от общи индикатори и оценъчни въпроси, събрани навреме и рентабилно. Добрата практика включва и участие в експертни мрежи за обмен на решения и стандарти, така че методите и ИТ решенията да се уеднаквяват и да се намалява „одитният </w:t>
      </w:r>
      <w:proofErr w:type="gramStart"/>
      <w:r w:rsidR="00924338" w:rsidRPr="008226ED">
        <w:rPr>
          <w:rFonts w:ascii="Times New Roman" w:hAnsi="Times New Roman" w:cs="Times New Roman"/>
          <w:sz w:val="24"/>
          <w:szCs w:val="24"/>
        </w:rPr>
        <w:t>риск“ от</w:t>
      </w:r>
      <w:proofErr w:type="gramEnd"/>
      <w:r w:rsidR="00924338" w:rsidRPr="008226ED">
        <w:rPr>
          <w:rFonts w:ascii="Times New Roman" w:hAnsi="Times New Roman" w:cs="Times New Roman"/>
          <w:sz w:val="24"/>
          <w:szCs w:val="24"/>
        </w:rPr>
        <w:t xml:space="preserve"> разнопосочни интерпретации (European Commission, 2016). </w:t>
      </w:r>
    </w:p>
    <w:p w14:paraId="63475954" w14:textId="77777777" w:rsidR="00924338" w:rsidRPr="008226ED" w:rsidRDefault="00924338" w:rsidP="0092433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Седма добра практика е институционалната подредба на процеса: ясно разписани роли между управляващ орган, разплащателна агенция и звената за оценка; регулярен достъп на управляващия орган до всички релевантни модули на ИТ системата; и календар на оценките с буфери във времето, така че забавяния в една дейност да могат да се компенсират преди крайния срок. Когато Комитетът по наблюдение разглежда оценките и изисква корективни действия, а комуникацията на констатациите достига и до вземащите решения, и до заинтересованите страни, оценяването започва да влияе пряко върху изпълнението, вместо да остава „в </w:t>
      </w:r>
      <w:proofErr w:type="gramStart"/>
      <w:r w:rsidRPr="008226ED">
        <w:rPr>
          <w:rFonts w:ascii="Times New Roman" w:hAnsi="Times New Roman" w:cs="Times New Roman"/>
          <w:sz w:val="24"/>
          <w:szCs w:val="24"/>
        </w:rPr>
        <w:t>архив“ (</w:t>
      </w:r>
      <w:proofErr w:type="gramEnd"/>
      <w:r w:rsidRPr="008226ED">
        <w:rPr>
          <w:rFonts w:ascii="Times New Roman" w:hAnsi="Times New Roman" w:cs="Times New Roman"/>
          <w:sz w:val="24"/>
          <w:szCs w:val="24"/>
        </w:rPr>
        <w:t xml:space="preserve">Програма за развитие на селските райони на България 2014–2020, раздели „Управление и </w:t>
      </w:r>
      <w:proofErr w:type="gramStart"/>
      <w:r w:rsidRPr="008226ED">
        <w:rPr>
          <w:rFonts w:ascii="Times New Roman" w:hAnsi="Times New Roman" w:cs="Times New Roman"/>
          <w:sz w:val="24"/>
          <w:szCs w:val="24"/>
        </w:rPr>
        <w:t>координация“ и</w:t>
      </w:r>
      <w:proofErr w:type="gramEnd"/>
      <w:r w:rsidRPr="008226ED">
        <w:rPr>
          <w:rFonts w:ascii="Times New Roman" w:hAnsi="Times New Roman" w:cs="Times New Roman"/>
          <w:sz w:val="24"/>
          <w:szCs w:val="24"/>
        </w:rPr>
        <w:t xml:space="preserve"> „</w:t>
      </w:r>
      <w:proofErr w:type="gramStart"/>
      <w:r w:rsidRPr="008226ED">
        <w:rPr>
          <w:rFonts w:ascii="Times New Roman" w:hAnsi="Times New Roman" w:cs="Times New Roman"/>
          <w:sz w:val="24"/>
          <w:szCs w:val="24"/>
        </w:rPr>
        <w:t>Комуникации“</w:t>
      </w:r>
      <w:proofErr w:type="gramEnd"/>
      <w:r w:rsidRPr="008226ED">
        <w:rPr>
          <w:rFonts w:ascii="Times New Roman" w:hAnsi="Times New Roman" w:cs="Times New Roman"/>
          <w:sz w:val="24"/>
          <w:szCs w:val="24"/>
        </w:rPr>
        <w:t xml:space="preserve">). </w:t>
      </w:r>
    </w:p>
    <w:p w14:paraId="00D8575C" w14:textId="62937A4E" w:rsidR="00924338" w:rsidRPr="008226ED" w:rsidRDefault="00924338" w:rsidP="00C3314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Накрая, добрата практика изисква системно мислене за интегритета на данните: ясно дефинирани правила за защита на личните данни, следи от промени и версии, съгласувани протоколи за обмен между институциите и документирани методики за изчисляване на индикаторите. Когато тези елементи са налице, общата рамка за мониторинг и оценка на ОСП престава да бъде „</w:t>
      </w:r>
      <w:proofErr w:type="gramStart"/>
      <w:r w:rsidRPr="008226ED">
        <w:rPr>
          <w:rFonts w:ascii="Times New Roman" w:hAnsi="Times New Roman" w:cs="Times New Roman"/>
          <w:sz w:val="24"/>
          <w:szCs w:val="24"/>
        </w:rPr>
        <w:t>само“ регулаторно</w:t>
      </w:r>
      <w:proofErr w:type="gramEnd"/>
      <w:r w:rsidRPr="008226ED">
        <w:rPr>
          <w:rFonts w:ascii="Times New Roman" w:hAnsi="Times New Roman" w:cs="Times New Roman"/>
          <w:sz w:val="24"/>
          <w:szCs w:val="24"/>
        </w:rPr>
        <w:t xml:space="preserve"> изискване и се превръща в работещ управленски цикъл, който свързва всяко публично евро с доказуем продукт, резултат и принос към целите на политиката, съпоставими на регионално, национално и европейско ниво (European Commission, 2016). </w:t>
      </w:r>
    </w:p>
    <w:p w14:paraId="680B1157" w14:textId="4DB94939" w:rsidR="00C33143" w:rsidRPr="008226ED" w:rsidRDefault="00C33143" w:rsidP="00C3314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ИЗВОДИ ПО ПЪРВА ГЛАВА</w:t>
      </w:r>
    </w:p>
    <w:p w14:paraId="1D0ABF64" w14:textId="77777777" w:rsidR="00C33143" w:rsidRPr="008226ED" w:rsidRDefault="00C33143" w:rsidP="00C3314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ОСП е дългосрочна рамка от правила, финанси и управление за стабилно предлагане на храни, подкрепа на доходите на фермерите и устойчиви практики в селските райони, еволюирала от ценова подкрепа и интервенции към „</w:t>
      </w:r>
      <w:proofErr w:type="gramStart"/>
      <w:r w:rsidRPr="008226ED">
        <w:rPr>
          <w:rFonts w:ascii="Times New Roman" w:hAnsi="Times New Roman" w:cs="Times New Roman"/>
          <w:sz w:val="24"/>
          <w:szCs w:val="24"/>
        </w:rPr>
        <w:t>отделени“ плащания</w:t>
      </w:r>
      <w:proofErr w:type="gramEnd"/>
      <w:r w:rsidRPr="008226ED">
        <w:rPr>
          <w:rFonts w:ascii="Times New Roman" w:hAnsi="Times New Roman" w:cs="Times New Roman"/>
          <w:sz w:val="24"/>
          <w:szCs w:val="24"/>
        </w:rPr>
        <w:t xml:space="preserve"> и еко-изисквания. </w:t>
      </w:r>
    </w:p>
    <w:p w14:paraId="405D1487" w14:textId="77777777" w:rsidR="00C33143" w:rsidRPr="008226ED" w:rsidRDefault="00C33143" w:rsidP="00C3314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Правното основание е в чл. 38–44 ДФЕС; класическият модел съчетава свободна вътрешна търговия, обща външна защита и интервенции (интервенционни покупки, прелевмани, експортни възстановявания), а последващите реформи ограничават изкривяванията и пренасочват подкрепата към обществени блага. </w:t>
      </w:r>
    </w:p>
    <w:p w14:paraId="4DE95788" w14:textId="77777777" w:rsidR="00C33143" w:rsidRPr="008226ED" w:rsidRDefault="00C33143" w:rsidP="00C3314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За 2014–2020 първи стълб включва основно плащане със „</w:t>
      </w:r>
      <w:proofErr w:type="gramStart"/>
      <w:r w:rsidRPr="008226ED">
        <w:rPr>
          <w:rFonts w:ascii="Times New Roman" w:hAnsi="Times New Roman" w:cs="Times New Roman"/>
          <w:sz w:val="24"/>
          <w:szCs w:val="24"/>
        </w:rPr>
        <w:t>слоеве“ (</w:t>
      </w:r>
      <w:proofErr w:type="gramEnd"/>
      <w:r w:rsidRPr="008226ED">
        <w:rPr>
          <w:rFonts w:ascii="Times New Roman" w:hAnsi="Times New Roman" w:cs="Times New Roman"/>
          <w:sz w:val="24"/>
          <w:szCs w:val="24"/>
        </w:rPr>
        <w:t xml:space="preserve">озеленяване, млади фермери, преразпределително, малки стопанства, обвързана подкрепа) и пазарни мерки (интервенция, частно складиране, секторни програми, кризисен резерв), всички под кръстосано съответствие. </w:t>
      </w:r>
    </w:p>
    <w:p w14:paraId="0BCFEA1B" w14:textId="77777777" w:rsidR="00C33143" w:rsidRPr="008226ED" w:rsidRDefault="00C33143" w:rsidP="00C3314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Втори стълб финансира ПРСР: инвестиции, знания и иновации (ЕПИ), екологични и климатични ангажименти, биологично земеделие, компенсаторни плащания за НРЗ, Натура 2000/РДВ, LEADER/ВОМР и управление на риска (застраховане, взаимни фондове, стабилизиране на доходите). </w:t>
      </w:r>
    </w:p>
    <w:p w14:paraId="4254BE4A" w14:textId="77777777" w:rsidR="00C33143" w:rsidRPr="008226ED" w:rsidRDefault="00C33143" w:rsidP="00C3314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Хоризонталната рамка изисква акредитирани разплащателни агенции, сертифициране на сметки, финансова дисциплина и годишно приключване, а мониторингът стъпва на общи индикатори и електронни системи (IACS, LPIS, SFC2014) с редовни доклади и оценки. </w:t>
      </w:r>
    </w:p>
    <w:p w14:paraId="4814E45D" w14:textId="77777777" w:rsidR="00C33143" w:rsidRPr="008226ED" w:rsidRDefault="00C33143" w:rsidP="00C3314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След 2013 г. акцентът се измества към резултатност, екологична архитектура и по-широка употреба на финансови инструменти; през 2023–2027 г. ОСП се организира около 10 специфични цели и национални стратегически планове с по-силна условност и еко-схеми. </w:t>
      </w:r>
    </w:p>
    <w:p w14:paraId="650D8953" w14:textId="77777777" w:rsidR="00C33143" w:rsidRPr="008226ED" w:rsidRDefault="00C33143" w:rsidP="00C33143">
      <w:pPr>
        <w:spacing w:line="360" w:lineRule="auto"/>
        <w:ind w:firstLine="720"/>
        <w:jc w:val="both"/>
        <w:rPr>
          <w:rFonts w:ascii="Times New Roman" w:hAnsi="Times New Roman" w:cs="Times New Roman"/>
          <w:sz w:val="24"/>
          <w:szCs w:val="24"/>
          <w:lang w:val="bg-BG"/>
        </w:rPr>
      </w:pPr>
    </w:p>
    <w:p w14:paraId="20C584C0" w14:textId="77777777" w:rsidR="0066546F" w:rsidRPr="008226ED" w:rsidRDefault="0066546F" w:rsidP="004A5201">
      <w:pPr>
        <w:spacing w:line="360" w:lineRule="auto"/>
        <w:ind w:firstLine="720"/>
        <w:jc w:val="both"/>
        <w:rPr>
          <w:rFonts w:ascii="Times New Roman" w:hAnsi="Times New Roman" w:cs="Times New Roman"/>
          <w:sz w:val="24"/>
          <w:szCs w:val="24"/>
          <w:lang w:val="bg-BG"/>
        </w:rPr>
      </w:pPr>
    </w:p>
    <w:p w14:paraId="1A4C3AB3" w14:textId="77777777" w:rsidR="004A5201" w:rsidRPr="008226ED" w:rsidRDefault="004A5201" w:rsidP="006C1F23">
      <w:pPr>
        <w:spacing w:line="360" w:lineRule="auto"/>
        <w:ind w:firstLine="720"/>
        <w:jc w:val="both"/>
        <w:rPr>
          <w:rFonts w:ascii="Times New Roman" w:hAnsi="Times New Roman" w:cs="Times New Roman"/>
          <w:sz w:val="24"/>
          <w:szCs w:val="24"/>
          <w:lang w:val="bg-BG"/>
        </w:rPr>
      </w:pPr>
    </w:p>
    <w:p w14:paraId="35E6B2A7" w14:textId="77777777" w:rsidR="006C1F23" w:rsidRPr="008226ED" w:rsidRDefault="006C1F23">
      <w:pPr>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br w:type="page"/>
      </w:r>
    </w:p>
    <w:p w14:paraId="6F5C5E95" w14:textId="5687E19A"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lastRenderedPageBreak/>
        <w:t>Втора глава. Методология на мониторинга на ПРСР 2014–2020</w:t>
      </w:r>
    </w:p>
    <w:p w14:paraId="45A55C36" w14:textId="77777777"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2.1. Методологични принципи за оценка на политиките в земеделието</w:t>
      </w:r>
    </w:p>
    <w:p w14:paraId="32916563" w14:textId="23AA99D6"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Методологичните принципи за оценка на политиките в земеделието изискват ясно формулирани цели, прозрачна логика на интервенциите и проверима връзка между контекст, потребности, мерки и очаквани резултати. В ядрото на подхода стои разграничението между формативна екс-ан</w:t>
      </w:r>
      <w:r w:rsidRPr="008226ED">
        <w:rPr>
          <w:rFonts w:ascii="Times New Roman" w:hAnsi="Times New Roman" w:cs="Times New Roman"/>
          <w:sz w:val="24"/>
          <w:szCs w:val="24"/>
          <w:lang w:val="bg-BG"/>
        </w:rPr>
        <w:t>те</w:t>
      </w:r>
      <w:r w:rsidRPr="008226ED">
        <w:rPr>
          <w:rFonts w:ascii="Times New Roman" w:hAnsi="Times New Roman" w:cs="Times New Roman"/>
          <w:sz w:val="24"/>
          <w:szCs w:val="24"/>
        </w:rPr>
        <w:t xml:space="preserve"> оценка, която подпомага проектирането и приоритизацията, и сумативна оценка, която извежда изводи за ефективност и въздействие след изпълнение. При екс-ан</w:t>
      </w:r>
      <w:r w:rsidRPr="008226ED">
        <w:rPr>
          <w:rFonts w:ascii="Times New Roman" w:hAnsi="Times New Roman" w:cs="Times New Roman"/>
          <w:sz w:val="24"/>
          <w:szCs w:val="24"/>
          <w:lang w:val="bg-BG"/>
        </w:rPr>
        <w:t>те</w:t>
      </w:r>
      <w:r w:rsidRPr="008226ED">
        <w:rPr>
          <w:rFonts w:ascii="Times New Roman" w:hAnsi="Times New Roman" w:cs="Times New Roman"/>
          <w:sz w:val="24"/>
          <w:szCs w:val="24"/>
        </w:rPr>
        <w:t xml:space="preserve"> оценката ключовата задача е дизайнът да бъде „</w:t>
      </w:r>
      <w:proofErr w:type="gramStart"/>
      <w:r w:rsidRPr="008226ED">
        <w:rPr>
          <w:rFonts w:ascii="Times New Roman" w:hAnsi="Times New Roman" w:cs="Times New Roman"/>
          <w:sz w:val="24"/>
          <w:szCs w:val="24"/>
        </w:rPr>
        <w:t>захранен“ с</w:t>
      </w:r>
      <w:proofErr w:type="gramEnd"/>
      <w:r w:rsidRPr="008226ED">
        <w:rPr>
          <w:rFonts w:ascii="Times New Roman" w:hAnsi="Times New Roman" w:cs="Times New Roman"/>
          <w:sz w:val="24"/>
          <w:szCs w:val="24"/>
        </w:rPr>
        <w:t xml:space="preserve"> доказателства и препоръки, така че интервенционната логика да съответства на нормативните изисквания и стратегическите рамки на ЕС и на националната политика (Agrotec S.p.A., 2014). </w:t>
      </w:r>
    </w:p>
    <w:p w14:paraId="2239CA75"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Критериалната рамка се разгръща най-напред през уместността като системна проверка дали логиката на интервенциите произтича от надеждно диагностицирани потребности и контекст и дали избраните мерки адресират именно „бутилковите </w:t>
      </w:r>
      <w:proofErr w:type="gramStart"/>
      <w:r w:rsidRPr="008226ED">
        <w:rPr>
          <w:rFonts w:ascii="Times New Roman" w:hAnsi="Times New Roman" w:cs="Times New Roman"/>
          <w:sz w:val="24"/>
          <w:szCs w:val="24"/>
        </w:rPr>
        <w:t>гърла“ в</w:t>
      </w:r>
      <w:proofErr w:type="gramEnd"/>
      <w:r w:rsidRPr="008226ED">
        <w:rPr>
          <w:rFonts w:ascii="Times New Roman" w:hAnsi="Times New Roman" w:cs="Times New Roman"/>
          <w:sz w:val="24"/>
          <w:szCs w:val="24"/>
        </w:rPr>
        <w:t xml:space="preserve"> селското стопанство и селските територии. Операционализирането на уместността предполага явна проследимост между анализ на състоянието, SWOT, формулирани потребности и избора на приоритети и мерки, както и ясно разпознаване на целеви групи и териториален обхват. Тук се проверява и дали целите са специфични, измерими, постижими, релевантни и ограничени във времето, както и дали са алIGNED с хоризонтални изисквания като опазване на околната среда, климатична неутралност и дигитализация. Доказателствата включват статистически серии за тенденции, сектори и региони, карти на припокриване между нужди и ресурси, както и експертни и браншови консултации, които позволяват да се валидира изборът на интервенции спрямо алтернативи.</w:t>
      </w:r>
    </w:p>
    <w:p w14:paraId="1E18BBF4"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Ефективността измерва степента, в която специфичните цели са постигнати, като връзва продуктовите и резултатните индикатори с реалистични базови линии и междинни и крайни целеви стойности. Тя изисква конструкция на индикаторна система, в която входове, дейности, продукти и резултати са логически и количествено свързани с въздействията, а допусканията за темпа на промяна са явни и проверими. Оценяването на ефективността стъпва върху надежден мониторинг, качествен контрол на данните и ясно разписани правила за атрибуция, за да се избегнат надценяване на резултатите или приписване на външни ефекти на програмата. Когато е възможно, се прилагат </w:t>
      </w:r>
      <w:r w:rsidRPr="008226ED">
        <w:rPr>
          <w:rFonts w:ascii="Times New Roman" w:hAnsi="Times New Roman" w:cs="Times New Roman"/>
          <w:sz w:val="24"/>
          <w:szCs w:val="24"/>
        </w:rPr>
        <w:lastRenderedPageBreak/>
        <w:t>контрафактически техники и панелни сравнения, а когато това не е практично, се използват убедителни качествени доказателства и триангулация с независими източници.</w:t>
      </w:r>
    </w:p>
    <w:p w14:paraId="35EF4420"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Ефикасността анализира съотношението между постигнати резултати и разходи, като съпоставя различни мерки и проектни типове по показателя „стойност за </w:t>
      </w:r>
      <w:proofErr w:type="gramStart"/>
      <w:r w:rsidRPr="008226ED">
        <w:rPr>
          <w:rFonts w:ascii="Times New Roman" w:hAnsi="Times New Roman" w:cs="Times New Roman"/>
          <w:sz w:val="24"/>
          <w:szCs w:val="24"/>
        </w:rPr>
        <w:t>пари“</w:t>
      </w:r>
      <w:proofErr w:type="gramEnd"/>
      <w:r w:rsidRPr="008226ED">
        <w:rPr>
          <w:rFonts w:ascii="Times New Roman" w:hAnsi="Times New Roman" w:cs="Times New Roman"/>
          <w:sz w:val="24"/>
          <w:szCs w:val="24"/>
        </w:rPr>
        <w:t>. Тук са уместни анализи на разходите и ефективността и, където е приложимо, анализи „разход–</w:t>
      </w:r>
      <w:proofErr w:type="gramStart"/>
      <w:r w:rsidRPr="008226ED">
        <w:rPr>
          <w:rFonts w:ascii="Times New Roman" w:hAnsi="Times New Roman" w:cs="Times New Roman"/>
          <w:sz w:val="24"/>
          <w:szCs w:val="24"/>
        </w:rPr>
        <w:t>ползи“</w:t>
      </w:r>
      <w:proofErr w:type="gramEnd"/>
      <w:r w:rsidRPr="008226ED">
        <w:rPr>
          <w:rFonts w:ascii="Times New Roman" w:hAnsi="Times New Roman" w:cs="Times New Roman"/>
          <w:sz w:val="24"/>
          <w:szCs w:val="24"/>
        </w:rPr>
        <w:t>, които вътрешно оценяват външни ефекти и публични блага, характерни за земеделието и околната среда. За да има смисъл подобна проверка, трябва да са налични прозрачни единични разходи, разбивки по дейности и параметри за чувствителност, както и да се отчетат административните разходи и транзакционните тежести за бенефициентите. Съпоставимостта между мерки се гарантира чрез хомогенни дефиниции на резултатните индикатори и унифицирани методи за оценка на ползите.</w:t>
      </w:r>
    </w:p>
    <w:p w14:paraId="37155A37"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Въздействието обхваща по-дълбоките и дългосрочни ефекти върху производителност, заетост и доходи, иновационен капацитет, устойчиво управление на природните ресурси и социална кохезия на селските райони. Тази дименсия изисква по-дълъг времеви хоризонт и често междинни прокси, когато крайните ефекти настъпват след края на програмния период. В оценяването се включват и разпределителни анализи по размер на стопанствата, региони, пол, възраст и тип земеползване, за да се избегне „средният </w:t>
      </w:r>
      <w:proofErr w:type="gramStart"/>
      <w:r w:rsidRPr="008226ED">
        <w:rPr>
          <w:rFonts w:ascii="Times New Roman" w:hAnsi="Times New Roman" w:cs="Times New Roman"/>
          <w:sz w:val="24"/>
          <w:szCs w:val="24"/>
        </w:rPr>
        <w:t>ефект“</w:t>
      </w:r>
      <w:proofErr w:type="gramEnd"/>
      <w:r w:rsidRPr="008226ED">
        <w:rPr>
          <w:rFonts w:ascii="Times New Roman" w:hAnsi="Times New Roman" w:cs="Times New Roman"/>
          <w:sz w:val="24"/>
          <w:szCs w:val="24"/>
        </w:rPr>
        <w:t>, който маскира неравномерни ползи и рискове. Особен акцент пада върху непреднамерените ефекти, като изместване на частни инвестиции, изкривявания в стимулите или екологични компромиси, които следва да бъдат идентифицирани и количествено, и качествено.</w:t>
      </w:r>
    </w:p>
    <w:p w14:paraId="4932BA9C"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Паралелно с четирите критерия се извършват проверки за вътрешна съгласуваност, външна съгласуваност и допълняемост. Вътрешната съгласуваност установява доколко различните мерки не си противоречат и заедно реализират кохерентна теория на промяната; тя изисква да се картографират връзките между мерки, да се откриват припокривания и празнини, и да се следят взаимните ефекти. Външната съгласуваност разглежда съвместимостта и синергиите с други публични инструменти на национално и европейско ниво, например с програми за конкурентоспособност, заетост, околна среда и регионално развитие, и проверява риска от двойно финансиране и конфликтни стимули. Допълняемостта оценява дали съчетаването на инструменти води до по-голям общ ефект от </w:t>
      </w:r>
      <w:r w:rsidRPr="008226ED">
        <w:rPr>
          <w:rFonts w:ascii="Times New Roman" w:hAnsi="Times New Roman" w:cs="Times New Roman"/>
          <w:sz w:val="24"/>
          <w:szCs w:val="24"/>
        </w:rPr>
        <w:lastRenderedPageBreak/>
        <w:t>сумата на отделните намеси, което се доказва чрез съвместни индикаторни пътеки, координационни механизми и споделени резултати.</w:t>
      </w:r>
    </w:p>
    <w:p w14:paraId="3A2DC937"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Всички тези измерения работят синхронно само при стабилна инфраструктура за данни, ясни дефиниции на индикатори, правилно избрани базови линии и цели, качествен мониторинг и прозрачно управление на допусканията и несигурностите. Рамката е практично приложима, когато към нея са добавени процедурни елементи за валидиране на данни, системи за обратна връзка и периодична калибрация на целите, така че политиката да се адаптира динамично към променящата се среда и доказателствата от изпълнението (Agrotec S.p.A., 2014).</w:t>
      </w:r>
    </w:p>
    <w:p w14:paraId="7466CD9A"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Теорията на промяната следва да бъде експлицирана чрез причинно-следствени връзки между входове, дейности, продукти, резултати и въздействия, и да бъде подкрепена с изрични допускания и управляеми рискове. Тази логика се материализира в план на показателите и рамка на изпълнението, при които индикаторите са ясно дефинирани, измерими и проследими във времето, а целевите стойности са аргументирани от гледна точка на налични данни и административен капацитет. Без надеждни източници и структури за събиране на данни валидността на оценката се подкопава, поради което управленските и техническите механизми за мониторинг и верификация са съществена част от методологията (Agrotec S.p.A., 2014). </w:t>
      </w:r>
    </w:p>
    <w:p w14:paraId="26EA9338" w14:textId="6EC21441"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Методологичният подход е смесен и триангулира резултати от анализ по документи</w:t>
      </w:r>
      <w:r w:rsidRPr="008226ED">
        <w:rPr>
          <w:rFonts w:ascii="Times New Roman" w:hAnsi="Times New Roman" w:cs="Times New Roman"/>
          <w:sz w:val="24"/>
          <w:szCs w:val="24"/>
          <w:lang w:val="bg-BG"/>
        </w:rPr>
        <w:t xml:space="preserve"> и</w:t>
      </w:r>
      <w:r w:rsidRPr="008226ED">
        <w:rPr>
          <w:rFonts w:ascii="Times New Roman" w:hAnsi="Times New Roman" w:cs="Times New Roman"/>
          <w:sz w:val="24"/>
          <w:szCs w:val="24"/>
        </w:rPr>
        <w:t xml:space="preserve"> статистически анализи. Документалният анализ осигурява нормативно-програмната рамка; статистиката идентифицира тенденции и териториални различия</w:t>
      </w:r>
      <w:r w:rsidRPr="008226ED">
        <w:rPr>
          <w:rFonts w:ascii="Times New Roman" w:hAnsi="Times New Roman" w:cs="Times New Roman"/>
          <w:sz w:val="24"/>
          <w:szCs w:val="24"/>
          <w:lang w:val="bg-BG"/>
        </w:rPr>
        <w:t xml:space="preserve">. </w:t>
      </w:r>
      <w:r w:rsidRPr="008226ED">
        <w:rPr>
          <w:rFonts w:ascii="Times New Roman" w:hAnsi="Times New Roman" w:cs="Times New Roman"/>
          <w:sz w:val="24"/>
          <w:szCs w:val="24"/>
        </w:rPr>
        <w:t xml:space="preserve">(Agrotec S.p.A., 2014). </w:t>
      </w:r>
    </w:p>
    <w:p w14:paraId="3F849761"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Широкото участие и партньорството се разглеждат не като еднократен етап, а като интегриран управленски принцип, който структурира целия цикъл на оценката – от формулирането на въпросите и хипотезите, през събирането и валидирането на доказателства, до формулирането, тестването и внедряването на препоръките. За да изпълнява тази роля, участието трябва да бъде планирано чрез ясна карта на заинтересованите страни, която идентифицира техните интереси, влияние, роли и очаквания, както и потенциалните асиметрии във власт и информация между институции, браншови организации, дребни и средни земеделски стопани, местни общности и граждански структури. Управляващият орган, разплащателната агенция и комитетът за </w:t>
      </w:r>
      <w:r w:rsidRPr="008226ED">
        <w:rPr>
          <w:rFonts w:ascii="Times New Roman" w:hAnsi="Times New Roman" w:cs="Times New Roman"/>
          <w:sz w:val="24"/>
          <w:szCs w:val="24"/>
        </w:rPr>
        <w:lastRenderedPageBreak/>
        <w:t>наблюдение следва да създадат процедурна рамка за включване, която определя формати на взаимодействие, минимални стандарти за представителност, правила за достъп до документи и механизми за обратна връзка. Европейската комисия участва чрез методически насоки и критични прегледи, които осигуряват съпоставимост и съответствие с нормативните изисквания, докато националните партньори внасят контекстуална експертиза и проверка на административната осъществимост.</w:t>
      </w:r>
    </w:p>
    <w:p w14:paraId="5CB03C47"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Ефективното участие изисква комбинация от формати, за да се постигне както широчина, така и дълбочина на включването. Публичните консултации и тематичните семинари осигуряват прозрачност и широко поле за становища; фокус групите и дълбочинните интервюта позволяват детайлен анализ на специфични проблеми, като допустимост, контрол и административни тежести; съвместните работни ателиета по теория на промяната подпомагат ко-конструирането на логиката на интервенциите и изясняването на допускания и рискове. В цифрова среда тези формати се допълват от онлайн платформи за подаване на коментари по проектодокументи, структурирани матрици „вие казахте – ние </w:t>
      </w:r>
      <w:proofErr w:type="gramStart"/>
      <w:r w:rsidRPr="008226ED">
        <w:rPr>
          <w:rFonts w:ascii="Times New Roman" w:hAnsi="Times New Roman" w:cs="Times New Roman"/>
          <w:sz w:val="24"/>
          <w:szCs w:val="24"/>
        </w:rPr>
        <w:t>направихме“</w:t>
      </w:r>
      <w:proofErr w:type="gramEnd"/>
      <w:r w:rsidRPr="008226ED">
        <w:rPr>
          <w:rFonts w:ascii="Times New Roman" w:hAnsi="Times New Roman" w:cs="Times New Roman"/>
          <w:sz w:val="24"/>
          <w:szCs w:val="24"/>
        </w:rPr>
        <w:t>, чрез които се проследява отразяването на предложенията, и от отворени данни за показателите, които позволяват независима проверка и повторимост на анализа.</w:t>
      </w:r>
    </w:p>
    <w:p w14:paraId="70055A0A"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Качеството на партньорството зависи от управлението на процеса. Необходими са ясни задания и графици, предварително разпространени материали за обсъждане, записки с взети решения и публично достъпни протоколи, за да се изгради „следа на </w:t>
      </w:r>
      <w:proofErr w:type="gramStart"/>
      <w:r w:rsidRPr="008226ED">
        <w:rPr>
          <w:rFonts w:ascii="Times New Roman" w:hAnsi="Times New Roman" w:cs="Times New Roman"/>
          <w:sz w:val="24"/>
          <w:szCs w:val="24"/>
        </w:rPr>
        <w:t>одита“ от</w:t>
      </w:r>
      <w:proofErr w:type="gramEnd"/>
      <w:r w:rsidRPr="008226ED">
        <w:rPr>
          <w:rFonts w:ascii="Times New Roman" w:hAnsi="Times New Roman" w:cs="Times New Roman"/>
          <w:sz w:val="24"/>
          <w:szCs w:val="24"/>
        </w:rPr>
        <w:t xml:space="preserve"> становище до управленска реакция. За да се смекчат асиметриите, следва да се предвиди подкрепа за участие на по-слабо представени групи – например чрез целенасочени покани към малки стопанства и организации от отдалечени региони, осигуряване на пътни разходи, предварителни брифинги на достъпен език и превод на ключови материали. Конфликтите на интереси се управляват чрез декларации и ротация на ролите в работните групи, а независимостта на оценителите се гарантира с прозрачни канали за комуникация и право на обосновано несъгласие в междинните и финалните доклади.</w:t>
      </w:r>
    </w:p>
    <w:p w14:paraId="185C2134"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Съществена част от партньорския подход е интегрирането на участието в измерването и използването на резултатите. Представителни браншови и граждански организации, както и научната общност, участват в съвместното калибриране на индикаторите, верифицирането на базовите линии и реалистичността на целевите </w:t>
      </w:r>
      <w:r w:rsidRPr="008226ED">
        <w:rPr>
          <w:rFonts w:ascii="Times New Roman" w:hAnsi="Times New Roman" w:cs="Times New Roman"/>
          <w:sz w:val="24"/>
          <w:szCs w:val="24"/>
        </w:rPr>
        <w:lastRenderedPageBreak/>
        <w:t xml:space="preserve">стойности, както и в интерпретацията на отклоненията, установени от мониторинга. Това редуцира риска от формална съгласуваност без практическа осъществимост и повишава вероятността препоръките да бъдат внедрени, тъй като адресират конкретни бариери, видими за изпълнителите и ползвателите на мерките. Накрая, устойчивото партньорство предполага и циклично учене: редовни прегледи на напредъка, публични отчети за приложението на препоръките, ревизия на процедурите за участие при признаци на „умора от </w:t>
      </w:r>
      <w:proofErr w:type="gramStart"/>
      <w:r w:rsidRPr="008226ED">
        <w:rPr>
          <w:rFonts w:ascii="Times New Roman" w:hAnsi="Times New Roman" w:cs="Times New Roman"/>
          <w:sz w:val="24"/>
          <w:szCs w:val="24"/>
        </w:rPr>
        <w:t>консултации“ и</w:t>
      </w:r>
      <w:proofErr w:type="gramEnd"/>
      <w:r w:rsidRPr="008226ED">
        <w:rPr>
          <w:rFonts w:ascii="Times New Roman" w:hAnsi="Times New Roman" w:cs="Times New Roman"/>
          <w:sz w:val="24"/>
          <w:szCs w:val="24"/>
        </w:rPr>
        <w:t xml:space="preserve"> корекции в състава и форматите на включване, когато се открият празнини в представителността или ефективността на диалога (Agrotec S.p.A., 2014).</w:t>
      </w:r>
    </w:p>
    <w:p w14:paraId="358D0F9C"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Нормативната съвместимост предполага систематично картографиране на програмната логика, процедурите и инструментите за оценяване към действащите европейски и национални изисквания за програмния период. Това включва проследяване на съответствието на целите, критериите за допустимост, показателите и методите за събиране на данни с регулаторните дефиниции, хоризонталните политики и стандартите за мониторинг и отчетност. На оперативно ниво това се реализира чрез матрици за съпоставяне между регламентни разпоредби и оценъчни стъпки, методически указания за интерпретация на ключови термини, както и протоколи за контрол на качеството, които гарантират, че всички използвани индикатори, инструменти за подбор и процедури за верификация отговарят на нормативните дефиниции и прагове. При промени в нормативната среда се активира механизъм за актуализация на оценъчните инструменти, за да се избегне несъответствие между ревизираните изисквания и текущата практика и да се осигури регулаторна устойчивост на заключенията.</w:t>
      </w:r>
    </w:p>
    <w:p w14:paraId="7F9C9109"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Процесната проследимост изисква изграждане на пълна „следа на </w:t>
      </w:r>
      <w:proofErr w:type="gramStart"/>
      <w:r w:rsidRPr="008226ED">
        <w:rPr>
          <w:rFonts w:ascii="Times New Roman" w:hAnsi="Times New Roman" w:cs="Times New Roman"/>
          <w:sz w:val="24"/>
          <w:szCs w:val="24"/>
        </w:rPr>
        <w:t>одита“</w:t>
      </w:r>
      <w:proofErr w:type="gramEnd"/>
      <w:r w:rsidRPr="008226ED">
        <w:rPr>
          <w:rFonts w:ascii="Times New Roman" w:hAnsi="Times New Roman" w:cs="Times New Roman"/>
          <w:sz w:val="24"/>
          <w:szCs w:val="24"/>
        </w:rPr>
        <w:t>, която документално свързва всеки аналитичен извод и препоръка с първичните източници, методите на обработка и взетите управленски решения. Това налага използване на стандартизирани планове за работа, дневници на дейностите по мисии и консултации, протоколи от срещи, списъци на участници, работни версии на документи с контрол на версиите, регистри на въпроси и решения, както и репродуцируеми аналитични пакети с описани алгоритми, код, метаданни и критерии за включване и изключване на наблюдения. Всяка значима промяна в дизайна, данните или методите се отразява чрез бележки за методологична ревизия, а междинните продукти се придружават от управленски реакции, които посочват степента на приемане, основанията за отхвърляне и последващите действия.</w:t>
      </w:r>
    </w:p>
    <w:p w14:paraId="3474FD68"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За да бъде прозрачността оперативно полезна, системната документация трябва да е структурирана по начин, който позволява възстановяване на логическата нишка от диагностичния извод до конкретното управленско решение. Това означава наличието на решения с обосновки, които цитират относими данни и анализи, регистър на препоръките с статут „приета/частично приета/</w:t>
      </w:r>
      <w:proofErr w:type="gramStart"/>
      <w:r w:rsidRPr="008226ED">
        <w:rPr>
          <w:rFonts w:ascii="Times New Roman" w:hAnsi="Times New Roman" w:cs="Times New Roman"/>
          <w:sz w:val="24"/>
          <w:szCs w:val="24"/>
        </w:rPr>
        <w:t>неприета“</w:t>
      </w:r>
      <w:proofErr w:type="gramEnd"/>
      <w:r w:rsidRPr="008226ED">
        <w:rPr>
          <w:rFonts w:ascii="Times New Roman" w:hAnsi="Times New Roman" w:cs="Times New Roman"/>
          <w:sz w:val="24"/>
          <w:szCs w:val="24"/>
        </w:rPr>
        <w:t>, посочени отговорни лица и срокове, както и доказателства за внедряване като изменени методики, актуализирани формуляри, променени индикаторни дефиниции или нови процедури за контрол. Паралелно се прилагат политики за качество и етика, включително декларации за безпристрастност и конфликт на интереси, протоколи за защита на данните и процедурни инструкции за валидиране на външни източници, което добавя правна и професионална устойчивост на оценъчния труд.</w:t>
      </w:r>
    </w:p>
    <w:p w14:paraId="072A516E"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Накрая, съвместимостта и проследимостта се превръщат в инструмент за организационно учене, когато се поддържа редовен цикъл на мета-оценяване на самата оценъчна дейност. Периодични прегледи на качеството, независими методически рецензии и публично достъпни „вие казахте – ние </w:t>
      </w:r>
      <w:proofErr w:type="gramStart"/>
      <w:r w:rsidRPr="008226ED">
        <w:rPr>
          <w:rFonts w:ascii="Times New Roman" w:hAnsi="Times New Roman" w:cs="Times New Roman"/>
          <w:sz w:val="24"/>
          <w:szCs w:val="24"/>
        </w:rPr>
        <w:t>направихме“ отчети</w:t>
      </w:r>
      <w:proofErr w:type="gramEnd"/>
      <w:r w:rsidRPr="008226ED">
        <w:rPr>
          <w:rFonts w:ascii="Times New Roman" w:hAnsi="Times New Roman" w:cs="Times New Roman"/>
          <w:sz w:val="24"/>
          <w:szCs w:val="24"/>
        </w:rPr>
        <w:t xml:space="preserve"> осигуряват проверка на надеждността и възпроизводимостта на резултатите и улесняват външните одити и проверки. Така се гарантира, че оценката е не само формално съвместима с регламентите, но и процесно прозрачна до степен, позволяваща трета страна да реконструира аргументацията, да верифицира качеството и да проследи кога и по каква причина дадена препоръка е отразена или отклонена (Agrotec S.p.A., 2014).</w:t>
      </w:r>
    </w:p>
    <w:p w14:paraId="0AB2F1D3"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Проверяемостта и контролируемостта на мерките трябва да се предефинират още на етап дизайн чрез ясно формулирани изисквания за допустимост, проследими процедури за контрол и стандартизирани методики за изчисляване на интензитетите и ставките на подпомагане. Това означава предварително описани дефиниции на допустими дейности и разходи, изчерпателни списъци с необходимите доказателствени документи, обективни гранични стойности за ключови параметри и недвусмислени правила за териториална и времева допустимост. На тази основа се изгражда операционна рамка за администриране и контрол, в която административните проверки, проверките на място и дистанционният мониторинг са интегрирани в единен цикъл, а критериите за ескалация и избор на извадка се определят на рискова основа, за да се постигне оптимална комбинация от разходи за контрол и ниво на увереност в резултатите (Agrotec S.p.A., 2014).</w:t>
      </w:r>
    </w:p>
    <w:p w14:paraId="0DF3E7F9"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Изясняването как се проверяват критериите за допустимост изисква детайлен каталог на доказателствата за всяка мярка и тип операция, включително минимално съдържание и формат на документите, приемливи източници на данни и технологии за верификация. За инвестиционни проекти това обичайно включва количествени сметки, оферти, протоколи и актове, геопространствено локализиране на активите и снимкови доказателства преди и след инвестицията. За агроекологични и климатични ангажименти са необходими протоколи за управление на парцели, дневници на дейностите, геотагнати наблюдения, сензорни или сателитни данни, както и правила за допустимост на ландшафтни елементи. Технологичните решения като GPS тракове, фотодоказателства с времеви печат и дистанционни наблюдения следва да бъдат нормативно разпознати и методически описани, за да се гарантира приемливостта им при контрол и одит (Agrotec S.p.A., 2014).</w:t>
      </w:r>
    </w:p>
    <w:p w14:paraId="6116F766"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Процедурите за контрол трябва да бъдат пропорционални, предвидими и калибрирани към риска, като съчетават предварителни административни проверки, контрол на място и последващ мониторинг на резултатите. Рисковото профилиране се базира на история на несъответствия, сложност на операцията, размер на подпомагането и външни сигнали за аномалии; то насочва размера и състава на извадките, честотата на проверки и дълбочината на верификация. За да се осигури консистентност, се разработват подробни контролни листове, указания за оценка на доказателства, протоколи за измерване и толеранси на грешка, както и матрици за класифициране на нередности и съответни корекции. Обучението на инспектори и механизми за интеркалибрация между екипите намаляват вариабилността на тълкуване и повишават възпроизводимостта на контролните констатации (Agrotec S.p.A., 2014).</w:t>
      </w:r>
    </w:p>
    <w:p w14:paraId="491DE9E2"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Методиките за определяне на интензитети и ставки на подпомагане трябва да бъдат прозрачни, основани на доказателства и адаптивни във времето. Когато се използват стандартизирани разходи, еднократни суми или единични ставки, те се изграждат върху референтни цени от надеждни пазарни източници, актуализирани чрез ясни правила за индексация и подкрепени с анализ на чувствителността и бенчмаркинг спрямо сравними операции. За мерки с екологични и климатични ползи се прави аргументация за допълнителност и недопускане на свръхкомпенсация, включително корекции за избягване на двойно финансиране и вътрешно съгласуване с други инструменти. Всички ключови </w:t>
      </w:r>
      <w:r w:rsidRPr="008226ED">
        <w:rPr>
          <w:rFonts w:ascii="Times New Roman" w:hAnsi="Times New Roman" w:cs="Times New Roman"/>
          <w:sz w:val="24"/>
          <w:szCs w:val="24"/>
        </w:rPr>
        <w:lastRenderedPageBreak/>
        <w:t>допускания, като жизнен цикъл на активи, норми на амортизация, стандартни часове труд и регионални коефициенти, се документират и подлежат на периодична ревизия при пазарни промени (Agrotec S.p.A., 2014).</w:t>
      </w:r>
    </w:p>
    <w:p w14:paraId="1BA2572C"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Недостатъчно конкретизираните механизми за верификация създават санкционни рискове, изкривяват стимулите и компрометират валидността на изводите за ефикасност и ефективност. За да се предотврати това, индикаторите трябва да имат оперативни дефиниции с описани единици, източници на данни, методи на изчисление, базови линии и цели, както и правила за третиране на липсващи и атипични стойности. Данните за мониторинг се валидират чрез автоматични проверки за логическа консистентност, кръстосани съпоставки между регистри и геопространствени системи и независими повторни измервания на подизвадки, а управленските панели осигуряват видимост върху ключови показатели като проценти на грешка, време за обработка и дялове на корекции. Проследимостта на изчисленията за ставки и корекции се обезпечава чрез одитируеми електронни работни книги и контрол на версиите, което позволява външна проверка и възпроизвеждане на резултатите (Agrotec S.p.A., 2014).</w:t>
      </w:r>
    </w:p>
    <w:p w14:paraId="3DF7052E" w14:textId="77777777"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Ефективната рамка включва и ясни правила за пропорционалност на санкциите и право на изслушване, за да се избегнат непропорционални последици при добросъвестни грешки и да се насърчи доброволното коригиране. Ранната комуникация с бенефициентите чрез ръководства, контролни списъци и образци на доказателства, както и достъп до актуална интерпретация на често задавани въпроси, намалява честотата на несъответствия и разходите за контрол. Вградените в информационните системи правила за валидиране при подаване на заявки, интеграции с идентификационни системи за парцели и кръстосани проверки с външни бази данни намаляват риска от грешки още „</w:t>
      </w:r>
      <w:proofErr w:type="gramStart"/>
      <w:r w:rsidRPr="008226ED">
        <w:rPr>
          <w:rFonts w:ascii="Times New Roman" w:hAnsi="Times New Roman" w:cs="Times New Roman"/>
          <w:sz w:val="24"/>
          <w:szCs w:val="24"/>
        </w:rPr>
        <w:t>входно“</w:t>
      </w:r>
      <w:proofErr w:type="gramEnd"/>
      <w:r w:rsidRPr="008226ED">
        <w:rPr>
          <w:rFonts w:ascii="Times New Roman" w:hAnsi="Times New Roman" w:cs="Times New Roman"/>
          <w:sz w:val="24"/>
          <w:szCs w:val="24"/>
        </w:rPr>
        <w:t>, преди да се стигне до санкционна фаза (Agrotec S.p.A., 2014).</w:t>
      </w:r>
    </w:p>
    <w:p w14:paraId="488E9984" w14:textId="5ED602FB"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lang w:val="bg-BG"/>
        </w:rPr>
        <w:t>П</w:t>
      </w:r>
      <w:r w:rsidRPr="008226ED">
        <w:rPr>
          <w:rFonts w:ascii="Times New Roman" w:hAnsi="Times New Roman" w:cs="Times New Roman"/>
          <w:sz w:val="24"/>
          <w:szCs w:val="24"/>
        </w:rPr>
        <w:t>роверяемостта и контролируемостта са не просто технически компоненти, а същностна гаранция за управленската надеждност на мерките и за аналитичната стойност на последващите оценки. Когато те са прецизно предефинирани, програмата разполага с устойчив механизъм за доказване на съответствие, за управление на риска от нередности и за извеждане на валидни заключения за резултати и въздействие, които могат да устоят на регулаторен и обществен контрол (Agrotec S.p.A., 2014).</w:t>
      </w:r>
    </w:p>
    <w:p w14:paraId="253FF9B0"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 xml:space="preserve">Оценяването на съгласуваност и допълняемост изисква системен поглед към взаимодействията между мерки, приоритети и други публични инструменти, включително оперативни програми за конкурентоспособност, хоризонтални екологични и климатични политики и подхода ВОМР/ЛИДЕР. Методологично това предполага картографиране на припокриванията и празнините, анализ на риска от двойно финансиране и идентифициране на синергии, например между инвестиции във физически активи, иновационни сътрудничества и интеграция във веригите на стойност (Agrotec S.p.A., 2014). </w:t>
      </w:r>
    </w:p>
    <w:p w14:paraId="225A947B"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Екологичната и климатичната дименсия следва да бъде интегрална част от оценката. Съгласуваността на дефиниции и допустимост между различните стълбове на Общата селскостопанска политика, съответствието с плановете за управление на речните басейни и приложимите рамкови директиви, както и оценката на риска от непреднамерени ефекти върху биоразнообразието, почвите и водите са съществени компоненти. Когато се установяват несъответствия или изкривявания на стимулите, следва да се предлагат корекции в дефиниции, критерии и индикаторни системи, за да се възстанови екологичната рационалност на политиката (Agrotec S.p.A., 2014). </w:t>
      </w:r>
    </w:p>
    <w:p w14:paraId="07FEF2DD"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Ученето от практиката и цикличната обратна връзка са неотменими елементи на методологичната конструкция. Оценяването не приключва с финален доклад, а изисква механизъм, при който уроците от предходни периоди, сигналите от мониторинга и опитът на бенефициентите се връщат към дизайна и изпълнението, така че интервенциите и процедурите да се пренастройват своевременно. Документирането на бариери като ниско усвояване, слаб интерес към дадени мерки или административни затруднения служи като отправна точка за управленска корекция (Agrotec S.p.A., 2014). </w:t>
      </w:r>
    </w:p>
    <w:p w14:paraId="5AB7BEA5"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Организацията и управлението на оценката следват принципите на независимост, компетентност и отчетност, като се определят роли, график на дейности, продукти и взаимодействия. Независимостта не изключва диалог, но гарантира критична дистанция и методична строгост, а отчетността се реализира чрез междинни бележки, доклади за напредък, публични представяния и окончателен доклад с проследими източници и процесни бележки (Agrotec S.p.A., 2014). </w:t>
      </w:r>
    </w:p>
    <w:p w14:paraId="5619A488"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Мониторингът и отчетността към външни институции допълват оценъчната рамка. Интегрирането на годишно докладване, системи за събиране на данни и планове за оценка позволява проверка на напредъка, ранно сигнализиране при отклонения и навременни </w:t>
      </w:r>
      <w:r w:rsidRPr="008226ED">
        <w:rPr>
          <w:rFonts w:ascii="Times New Roman" w:hAnsi="Times New Roman" w:cs="Times New Roman"/>
          <w:sz w:val="24"/>
          <w:szCs w:val="24"/>
        </w:rPr>
        <w:lastRenderedPageBreak/>
        <w:t xml:space="preserve">коригиращи действия, като разширяването на обхвата на мониторинга към паралелно развитие на подсектори повишава диагностичната стойност на данните и качеството на последващите оценки (Agrotec S.p.A., 2014). </w:t>
      </w:r>
    </w:p>
    <w:p w14:paraId="30C9DCCF"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Етичните и професионалните стандарти включват защита на респондентите, информирано участие при интервюта и ограничаване на конфликтите на интереси. Прозрачността относно допускания, ограничения и източници на несигурност е съществена за оценъчната надеждност и дава възможност на читателите да преценят валидността и приложимостта на изводите в специфичен контекст (Agrotec S.p.A., 2014). </w:t>
      </w:r>
    </w:p>
    <w:p w14:paraId="4B28BE26" w14:textId="77777777" w:rsidR="00F206FA" w:rsidRPr="008226ED" w:rsidRDefault="00F206FA" w:rsidP="00F206FA">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Когато е релевантно, могат да се използват иконометрични и контрафактически техники, като се признава, че земеделските политики оперират в комплексни и териториално разнородни среди, където атрибуцията е предизвикателство. Ето защо балансираното съчетаване на количествени и качествени методи е желателно: количествените измерват тенденции и ефекти, а качествените разкриват механизми, мотивации и институционални ограничения, които стоят зад числата. Анализите „разход–</w:t>
      </w:r>
      <w:proofErr w:type="gramStart"/>
      <w:r w:rsidRPr="008226ED">
        <w:rPr>
          <w:rFonts w:ascii="Times New Roman" w:hAnsi="Times New Roman" w:cs="Times New Roman"/>
          <w:sz w:val="24"/>
          <w:szCs w:val="24"/>
        </w:rPr>
        <w:t>ефективност“ и</w:t>
      </w:r>
      <w:proofErr w:type="gramEnd"/>
      <w:r w:rsidRPr="008226ED">
        <w:rPr>
          <w:rFonts w:ascii="Times New Roman" w:hAnsi="Times New Roman" w:cs="Times New Roman"/>
          <w:sz w:val="24"/>
          <w:szCs w:val="24"/>
        </w:rPr>
        <w:t xml:space="preserve"> „разход–</w:t>
      </w:r>
      <w:proofErr w:type="gramStart"/>
      <w:r w:rsidRPr="008226ED">
        <w:rPr>
          <w:rFonts w:ascii="Times New Roman" w:hAnsi="Times New Roman" w:cs="Times New Roman"/>
          <w:sz w:val="24"/>
          <w:szCs w:val="24"/>
        </w:rPr>
        <w:t>ползи“ са</w:t>
      </w:r>
      <w:proofErr w:type="gramEnd"/>
      <w:r w:rsidRPr="008226ED">
        <w:rPr>
          <w:rFonts w:ascii="Times New Roman" w:hAnsi="Times New Roman" w:cs="Times New Roman"/>
          <w:sz w:val="24"/>
          <w:szCs w:val="24"/>
        </w:rPr>
        <w:t xml:space="preserve"> полезни, но следва да бъдат адаптирани към публичните блага и външните ефекти, присъщи на селското стопанство и околната среда (Agrotec S.p.A., 2014). </w:t>
      </w:r>
    </w:p>
    <w:p w14:paraId="73CF549D" w14:textId="77777777"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2.2. Индикатори за мониторинг – видове, значение и нормативна уредба</w:t>
      </w:r>
    </w:p>
    <w:p w14:paraId="0874729D" w14:textId="7FA604CF" w:rsidR="00091662" w:rsidRPr="008226ED" w:rsidRDefault="00091662" w:rsidP="00091662">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Индикаторите за мониторинг в селскостопанската политика представляват структурирана система от количествени и качествени измерители, чрез които се проследява изпълнението на програмите, постигнатият напредък към целите и настъпилите ефекти в земеделието, околната среда и селските територии. Те са вградени в теорията на промяната на програмите и осигуряват проследима връзка между входовете, дейностите, продуктите, резултатите и въздействията. Значението им е двупластово: от една страна служат за оперативно управление и ранно сигнализиране при отклонения, а от друга – за отчетност пред европейските и националните институции и за независима оценка на уместност, ефективност, ефикасност и въздействие. Наличието на ясно дефинирани индикатори с източници на данни, методи на изчисление, базови линии и целеви стойности е предпоставка за надеждни управленски решения и за валидни изводи от последващите оценки (European Commission, 2017).</w:t>
      </w:r>
    </w:p>
    <w:p w14:paraId="07285523" w14:textId="77777777" w:rsidR="000629C3" w:rsidRPr="008226ED" w:rsidRDefault="000629C3" w:rsidP="000629C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Типологията от четири вида индикатори е част от общата рамка за мониторинг и оценка на политиката за развитие на селските райони и е нормативно закрепена чрез общ списък от наименования, дефиниции, формули и източници на данни. Тя не е само описателна класификация, а работеща логика, която свързва анализ на контекста, оперативно отчитане на дейностите, измерване на непосредствени ефекти и проследяване на по-дълбоки промени в системата. Нормативните актове предписват не просто „</w:t>
      </w:r>
      <w:proofErr w:type="gramStart"/>
      <w:r w:rsidRPr="008226ED">
        <w:rPr>
          <w:rFonts w:ascii="Times New Roman" w:hAnsi="Times New Roman" w:cs="Times New Roman"/>
          <w:sz w:val="24"/>
          <w:szCs w:val="24"/>
        </w:rPr>
        <w:t>какви“ индикатори</w:t>
      </w:r>
      <w:proofErr w:type="gramEnd"/>
      <w:r w:rsidRPr="008226ED">
        <w:rPr>
          <w:rFonts w:ascii="Times New Roman" w:hAnsi="Times New Roman" w:cs="Times New Roman"/>
          <w:sz w:val="24"/>
          <w:szCs w:val="24"/>
        </w:rPr>
        <w:t xml:space="preserve"> да се използват, а „</w:t>
      </w:r>
      <w:proofErr w:type="gramStart"/>
      <w:r w:rsidRPr="008226ED">
        <w:rPr>
          <w:rFonts w:ascii="Times New Roman" w:hAnsi="Times New Roman" w:cs="Times New Roman"/>
          <w:sz w:val="24"/>
          <w:szCs w:val="24"/>
        </w:rPr>
        <w:t>как“ да</w:t>
      </w:r>
      <w:proofErr w:type="gramEnd"/>
      <w:r w:rsidRPr="008226ED">
        <w:rPr>
          <w:rFonts w:ascii="Times New Roman" w:hAnsi="Times New Roman" w:cs="Times New Roman"/>
          <w:sz w:val="24"/>
          <w:szCs w:val="24"/>
        </w:rPr>
        <w:t xml:space="preserve"> се изчисляват, с каква периодичност и от кои институционални източници, така че данните да бъдат съпоставими между държавите членки и консистентни във времето (European Commission, 2014a; European Commission, 2014b; European Commission, 2017).</w:t>
      </w:r>
    </w:p>
    <w:p w14:paraId="3156C16F" w14:textId="77777777" w:rsidR="000629C3" w:rsidRPr="008226ED" w:rsidRDefault="000629C3" w:rsidP="000629C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Изходните, или контекстни, индикатори рамкират средата, в която интервенциите действат, и служат за диагностика на потребностите и за тълкуване на резултатите. Те описват структурни характеристики като използвана земеделска площ, специализация и размер на стопанствата, производителност на труда и достъп до услуги в селските райони; екологични параметри като емисии на парникови газове от селското стопанство, почвена ерозия, качество и количество на водите, природни местообитания и индекс на птиците в земеделските земи; социално-икономически тенденции като заетост, доходи и демография. Контекстните индикатори обичайно се поддържат на нива NUTS и национално равнище от официална статистика и тематични наблюдения, не подлежат на целеполагане в тесния смисъл и не се използват за оценяване на изпълнението на конкретни мерки, но позволяват да се разграничат ефекти от политиката от външни шокове и широки макротрендове. Именно затова нормативната уредба настоява за ясни дефиниции, хомогенни единици и последователни серии, които да подкрепят както програмното планиране, така и последващата оценка (European Commission, 2014a; European Commission, 2014b; European Commission, 2017).</w:t>
      </w:r>
    </w:p>
    <w:p w14:paraId="68478F1F" w14:textId="77777777" w:rsidR="000629C3" w:rsidRPr="008226ED" w:rsidRDefault="000629C3" w:rsidP="000629C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Продуктовите индикатори измерват непосредствено извършените дейности и обхвата на намесите и са пряко извлечими от административните системи на управляващите органи и разплащателните агенции. Те отчитат например брой подкрепени бенефициенти, брой проекти, площи и животни под ангажименти, километри изградена инфраструктура или обем на предоставени услуги. Нормативно се изисква строг контрол на единиците, избягване на двойно отчитане и консистентна връзка между продуктовите </w:t>
      </w:r>
      <w:r w:rsidRPr="008226ED">
        <w:rPr>
          <w:rFonts w:ascii="Times New Roman" w:hAnsi="Times New Roman" w:cs="Times New Roman"/>
          <w:sz w:val="24"/>
          <w:szCs w:val="24"/>
        </w:rPr>
        <w:lastRenderedPageBreak/>
        <w:t>индикатори и финансовото изпълнение, включително чрез рамката за изпълнение и етапните стойности. Тъй като тези индикатори са „най-</w:t>
      </w:r>
      <w:proofErr w:type="gramStart"/>
      <w:r w:rsidRPr="008226ED">
        <w:rPr>
          <w:rFonts w:ascii="Times New Roman" w:hAnsi="Times New Roman" w:cs="Times New Roman"/>
          <w:sz w:val="24"/>
          <w:szCs w:val="24"/>
        </w:rPr>
        <w:t>близо“ до</w:t>
      </w:r>
      <w:proofErr w:type="gramEnd"/>
      <w:r w:rsidRPr="008226ED">
        <w:rPr>
          <w:rFonts w:ascii="Times New Roman" w:hAnsi="Times New Roman" w:cs="Times New Roman"/>
          <w:sz w:val="24"/>
          <w:szCs w:val="24"/>
        </w:rPr>
        <w:t xml:space="preserve"> управлението, те са с висока периодичност на обновяване и се използват за оперативно вземане на решения, сигнализиране при забавяне и пренасочване на ресурси, като методите за изчисление са подробно описани в техническите ръководства, за да се гарантира еднаква интерпретация (European Commission, 2014a; European Commission, 2014b; European Commission, 2017).</w:t>
      </w:r>
    </w:p>
    <w:p w14:paraId="1C4A8343" w14:textId="77777777" w:rsidR="000629C3" w:rsidRPr="008226ED" w:rsidRDefault="000629C3" w:rsidP="000629C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Резултатните индикатори улавят директните и непосредствени ефекти върху бенефициентите и териториите, които настъпват след изпълнението на дейностите и са атрибутивно по-близо до интервенциите. Типични примери са промяна в управленските практики, повишена производителност на подкрепени стопанства, въвеждане на водоспестяващи технологии върху определена площ, подобрен достъп на населението до услуги или степен на диверсификация на доходи. В рамката 2014–2020 подмножество от резултатните индикатори се използва за целеполагане и за проследяване на напредък към количествени цели, включително със зададени базови линии, междинни етапни стойности и крайни таргети. Поради по-високите изисквания към доказателствената валидност, резултатните индикатори често комбинират административни регистри, извадкови проучвания и официална статистика, като се прилагат ясни правила за методология, честота на измерване и разграничаващи критерии, за да се минимизира рискът от смесване на ефекти и да се поддържа съпоставимост (European Commission, 2014a; European Commission, 2014b; European Commission, 2017).</w:t>
      </w:r>
    </w:p>
    <w:p w14:paraId="719A6380" w14:textId="77777777" w:rsidR="000629C3" w:rsidRPr="008226ED" w:rsidRDefault="000629C3" w:rsidP="000629C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Въздействиените индикатори целят да отразят по-дълбоки, агрегирани промени на ниво сектор и територия, като селскостопански доходи, конкурентоспособност, заетост, климатични емисии и биоразнообразие. Те неизбежно са изложени на влияние от множество фактори извън програмата и затова нормативната рамка ги позиционира като показатели за стратегически напредък, използвани предимно в междинни и последващи оценки, а не като инструмент за оперативно управление на мерки. Данните по тези индикатори обикновено идват от Евростат, Европейската агенция по околна среда и други официални източници, като методите за изчисление, базовите години, индексациите и източниците са предварително стандартизирани. Интерпретацията им се извършва с внимателно отчитане на контекста и с допълнителни аналитични инструменти, когато е </w:t>
      </w:r>
      <w:r w:rsidRPr="008226ED">
        <w:rPr>
          <w:rFonts w:ascii="Times New Roman" w:hAnsi="Times New Roman" w:cs="Times New Roman"/>
          <w:sz w:val="24"/>
          <w:szCs w:val="24"/>
        </w:rPr>
        <w:lastRenderedPageBreak/>
        <w:t>необходимо, за да се оцени приносът на политиката без да се надценява атрибуцията (European Commission, 2014a; European Commission, 2014b; European Commission, 2017).</w:t>
      </w:r>
    </w:p>
    <w:p w14:paraId="4AE80E40" w14:textId="716C7ABC" w:rsidR="000629C3" w:rsidRPr="008226ED" w:rsidRDefault="000629C3" w:rsidP="000629C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Функционално тази система работи само ако за всеки индикатор са налични метаданни за дефиниция, формула, единица, източник, периодичност, географско ниво и изисквана дезагрегация, както и правила за третиране на липсващи стойности и атипични наблюдения. Нормативните документи и техническите ръководства изискват също така съпоставимост между продуктови и финансови индикатори в рамката за изпълнение, логическа връзка между резултатни индикатори и целеполагане и аналитична консистентност при използване на контекстни и въздействиени индикатори за разясняване на наблюдаваните промени. Тази архитектура превръща индикаторите едновременно в инструмент за управление и в основа за надеждна, сравнима във времето и пространството оценка на политиката (European Commission, 2014a; European Commission, 2014b; European Commission, 2017).</w:t>
      </w:r>
    </w:p>
    <w:p w14:paraId="128A34C5" w14:textId="77777777" w:rsidR="000629C3" w:rsidRPr="008226ED" w:rsidRDefault="000629C3" w:rsidP="000629C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Двете функционални групи изпълняват мостова роля между наблюдението на данните и управленските решения по програмата. Целевите индикатори са подмножество на резултатните и се използват за формулиране на количествените цели на ниво приоритет, както и за последващо отчитане на действителния напредък спрямо тези цели. За да носят управленска стойност, те се задават с ясно определени базови линии, крайни таргети и методики за изчисление, съобразени с наличните източници на данни и административния капацитет. В процеса на планиране те трябва да отразяват реалистична скорост на промяна и да имат проследим адресат на ефекта – бенефициенти, територии или системни практики – така че постигнатото да може да се интерпретира без да се надценява атрибуцията. При изпълнение годишните доклади сравняват таргетите с наблюдаваните стойности, а управленските екипи предприемат корекции в подбора на проекти или интензитетите на подпомагане там, където напредъкът изостава или пък е постигнат „твърде </w:t>
      </w:r>
      <w:proofErr w:type="gramStart"/>
      <w:r w:rsidRPr="008226ED">
        <w:rPr>
          <w:rFonts w:ascii="Times New Roman" w:hAnsi="Times New Roman" w:cs="Times New Roman"/>
          <w:sz w:val="24"/>
          <w:szCs w:val="24"/>
        </w:rPr>
        <w:t>евтино“</w:t>
      </w:r>
      <w:proofErr w:type="gramEnd"/>
      <w:r w:rsidRPr="008226ED">
        <w:rPr>
          <w:rFonts w:ascii="Times New Roman" w:hAnsi="Times New Roman" w:cs="Times New Roman"/>
          <w:sz w:val="24"/>
          <w:szCs w:val="24"/>
        </w:rPr>
        <w:t>, сигнализирайки за потенциална свръхкомпенсация (European Parliament and Council, 2013b).</w:t>
      </w:r>
    </w:p>
    <w:p w14:paraId="5B1726EE" w14:textId="77777777" w:rsidR="000629C3" w:rsidRPr="008226ED" w:rsidRDefault="000629C3" w:rsidP="000629C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Индикаторите на рамката за изпълнение по общите разпоредби са отделен управленски инструмент, който задава междинни етапни стойности на ниво приоритет и ги обвързва с формалния преглед на изпълнението и с резервата за изпълнение. Тази рамка комбинира финансови и продуктови индикатори, а при необходимост и резултатни, както </w:t>
      </w:r>
      <w:r w:rsidRPr="008226ED">
        <w:rPr>
          <w:rFonts w:ascii="Times New Roman" w:hAnsi="Times New Roman" w:cs="Times New Roman"/>
          <w:sz w:val="24"/>
          <w:szCs w:val="24"/>
        </w:rPr>
        <w:lastRenderedPageBreak/>
        <w:t>и ключови изпълнителски стъпки в случаи, когато количествен резултат е трудно измерим в междинен момент. За всеки приоритет програмата предварително описва базови стойности, междинни „стойности-</w:t>
      </w:r>
      <w:proofErr w:type="gramStart"/>
      <w:r w:rsidRPr="008226ED">
        <w:rPr>
          <w:rFonts w:ascii="Times New Roman" w:hAnsi="Times New Roman" w:cs="Times New Roman"/>
          <w:sz w:val="24"/>
          <w:szCs w:val="24"/>
        </w:rPr>
        <w:t>етапи“ и</w:t>
      </w:r>
      <w:proofErr w:type="gramEnd"/>
      <w:r w:rsidRPr="008226ED">
        <w:rPr>
          <w:rFonts w:ascii="Times New Roman" w:hAnsi="Times New Roman" w:cs="Times New Roman"/>
          <w:sz w:val="24"/>
          <w:szCs w:val="24"/>
        </w:rPr>
        <w:t xml:space="preserve"> крайни цели, както и източниците и формулите за пресмятане. По време на междинния преглед се оценява доколко етапните стойности са постигнати; при добри резултати резервата за изпълнение се освобождава за съответните приоритети, а при изоставане се изискват корективни действия и може да се наложи преразпределяне на ресурси между приоритети. Така рамката за изпълнение действа като договорен механизъм за дисциплина и стимулиране, който изисква консистентност между финансовото усвояване, реализираните продукти и настъпващите непосредствени ефекти и който прави проследима връзката между данните и управленските решения (European Parliament and Council, 2013b).</w:t>
      </w:r>
    </w:p>
    <w:p w14:paraId="223D6F99" w14:textId="77777777" w:rsidR="000629C3" w:rsidRPr="008226ED" w:rsidRDefault="000629C3" w:rsidP="000629C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Проектирането на тези две групи индикатори в програмните документи е съпроводено от методологични гаранции, предписани в общите разпоредби. Те включват критерии за качество на индикаторите и на етапните стойности, доказателствена база за избраните таргети, процедури за проверяемост и правила за честотата на измерване и отчетност. Комитетът за наблюдение валидира логиката и нивата на амбиция, а управляващият орган осигурява репродуцируемост на изчисленията, проследимост от първичните данни до агрегатите и навременни управленски реакции при отклонения. В резултат целевите индикатори подхранват стратегията и оценяването на ефективността, докато индикаторите на рамката за изпълнение дисциплинират оперативното управление чрез междинни ориентири и свързана с тях ресурсна мотивация, като и двата набора са нормативно вградени в общата методика за преглед на изпълнението и резервата за изпълнение (European Parliament and Council, 2013b).</w:t>
      </w:r>
    </w:p>
    <w:p w14:paraId="22B3BB84" w14:textId="36C4A3B4" w:rsidR="00091662" w:rsidRPr="008226ED" w:rsidRDefault="00091662"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Нормативната уредба за индикаторите и мониторинга стъпва на няколко взаимодопълващи се регламента на ЕС. Регламент (ЕС) № 1305/2013 за подкрепата за развитие на селските райони дефинира, че всяка програма подлежи на редовен мониторинг и на обща система за наблюдение и оценка, като се изискват финансови, продуктови и целеви индикатори и работа на Комитет за наблюдение и управляващ орган по утвърдени процедури. Регламент (ЕС) № 1306/2013 установява на хоризонтално ниво общата рамка за мониторинг и оценка на ОСП, включително събирането на информация и задълженията на държавите членки относно точността и надеждността на данните. Регламент (ЕС) № </w:t>
      </w:r>
      <w:r w:rsidRPr="008226ED">
        <w:rPr>
          <w:rFonts w:ascii="Times New Roman" w:hAnsi="Times New Roman" w:cs="Times New Roman"/>
          <w:sz w:val="24"/>
          <w:szCs w:val="24"/>
        </w:rPr>
        <w:lastRenderedPageBreak/>
        <w:t>1303/2013, който съдържа общите разпоредби за европейските структурни и инвестиционни фондове, въвежда рамката за изпълнение, методологията за етапни стойности и прегледа на изпълнението. На равнище прилагане, Регламент (ЕС) № 808/2014 задава общия набор от контекстни, резултатни и продуктови индикатори за политиката за развитие на селските райони (Приложение IV), а Регламент (ЕС) № 834/2014 конкретизира елементите на общата рамка за мониторинг и оценка на ОСП и препраща към набора от индикатори за ЕЗФРСР. Взаимодействието между тези актове гарантира, че списъците с индикатори, дефинициите, методите и сроковете за докладване са съгласувани и сравними между държавите членки (European Parliament and Council, 2013a; European Parliament and Council, 2013c; European Parliament and Council, 2013b; European Commission, 2014a; European Commission, 2014b).</w:t>
      </w:r>
    </w:p>
    <w:p w14:paraId="642D778B" w14:textId="5D2D096E" w:rsidR="00091662" w:rsidRPr="008226ED" w:rsidRDefault="00091662" w:rsidP="00091662">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Значението на индикаторите надхвърля отчетността и се простира към управлението на риска и качеството на данните. Те осигуряват основа за ранно откриване на изоставане по приоритети, за корективни действия по прилагането на мерките и за пренастройване на ресурсите, например при систематични затруднения в постигането на междинни етапни стойности. В комбинация с финансовите индикатори индикаторите за продукти и резултати дават информация за реализиран обем намеса на единица разход и така подхранват анализи на ефикасност. Контекстните индикатори, макар и да не подлежат пряко на приписване към конкретни намеси, позволяват да се разграничи ефектът на политиката от външни шокове или тенденции и по този начин подпомагат интерпретацията на резултатните и въздействиените показатели. Изискването за редовни годишни доклади за изпълнение и за преглед на изпълнението укрепва управленската функция на индикаторите, като обвързва данните с решения за корекция и с инструменти като резервата за изпълнение (European Parliament and Council, 2013b; European Commission, 2017). </w:t>
      </w:r>
    </w:p>
    <w:p w14:paraId="3F4FF001" w14:textId="79FD3929" w:rsidR="00091662" w:rsidRPr="008226ED" w:rsidRDefault="00091662" w:rsidP="00091662">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Операционализирането на индикаторите предполага ясно описани методи на изчисление, включително единици, формули, източници на данни, периодичност и правила за третиране на липсващи или атипични стойности. За продуктови индикатори основни източници са административните регистри и информационните системи на управляващия орган и разплащателната агенция; за резултатни и въздействийни индикатори се комбинират административни данни, статистика на Евростат и тематични бази данни, а при необходимост – специализирани изследвания. Контекстните индикатори стъпват предимно на официална европейска и национална статистика и на тематични системи за наблюдение </w:t>
      </w:r>
      <w:r w:rsidRPr="008226ED">
        <w:rPr>
          <w:rFonts w:ascii="Times New Roman" w:hAnsi="Times New Roman" w:cs="Times New Roman"/>
          <w:sz w:val="24"/>
          <w:szCs w:val="24"/>
        </w:rPr>
        <w:lastRenderedPageBreak/>
        <w:t>на околната среда. Нормативните актове предвиждат още механизми за осигуряване на качеството на данните и за координация между институциите, включително задължения на държавите членки да предоставят точна и надеждна информация, както и използване на вече налични инструменти за обмен на информация, отчети и регистри (European Commission, 2014b; European Commission, 2014a).</w:t>
      </w:r>
    </w:p>
    <w:p w14:paraId="78B72E67" w14:textId="1C734305" w:rsidR="00091662" w:rsidRPr="008226ED" w:rsidRDefault="00091662" w:rsidP="00091662">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Институционалната архитектура на мониторинга разпределя роли между управляващия орган, комитета за наблюдение и Европейската комисия. Управляващият орган и комитетът за наблюдение наблюдават изпълнението по финансови, продуктови и целеви индикатори, обсъждат отклонения и изискват корективни действия; Европейската комисия консолидира докладите, извършва прегледи и използва общата рамка за оценка на напредъка на политиката. Правната основа определя и цикличността на докладването, включително годишните доклади, междинния преглед и крайните отчети, както и връзката им с рамката за изпълнение и с евентуалното освобождаване на резерви за изпълнение при постигнати етапни стойности. Така индикаторите се превръщат в оперативен мост между мониторинга и управленската отчетност на програмите, като осигуряват сравнимост между държавите членки и последователност във времето (European Parliament and Council, 2013a; European Parliament and Council, 2013b). </w:t>
      </w:r>
    </w:p>
    <w:p w14:paraId="15ADF89D" w14:textId="7E416100" w:rsidR="00091662" w:rsidRPr="008226ED" w:rsidRDefault="000629C3" w:rsidP="00091662">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И</w:t>
      </w:r>
      <w:r w:rsidR="00091662" w:rsidRPr="008226ED">
        <w:rPr>
          <w:rFonts w:ascii="Times New Roman" w:hAnsi="Times New Roman" w:cs="Times New Roman"/>
          <w:sz w:val="24"/>
          <w:szCs w:val="24"/>
        </w:rPr>
        <w:t xml:space="preserve">ндикаторите за мониторинг са неотделима част от управлението на политиката за развитие на селските райони и на ОСП като цяло. Тяхната типология – контекстни, продуктови, резултатни и въздействийни – е нормативно регламентирана и функционално обвързана с целеполагане, рамка за изпълнение и преглед на постигнатото. Чрез строги дефиниции, надеждни източници на данни и съгласувани методи те позволяват едновременно оперативно управление и стратегическа оценка на ефективността и въздействието на интервенциите (European Commission, 2014a; European Commission, 2014b; European Parliament and Council, 2013a; European Parliament and Council, 2013b; European Parliament and Council, 2013c; European Commission, 2017). </w:t>
      </w:r>
    </w:p>
    <w:p w14:paraId="42785F73" w14:textId="6D611E9B"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lang w:val="bg-BG"/>
        </w:rPr>
        <w:t xml:space="preserve">За оценката на реализирането на </w:t>
      </w:r>
      <w:r w:rsidRPr="008226ED">
        <w:rPr>
          <w:rFonts w:ascii="Times New Roman" w:hAnsi="Times New Roman" w:cs="Times New Roman"/>
          <w:sz w:val="24"/>
          <w:szCs w:val="24"/>
        </w:rPr>
        <w:t xml:space="preserve">ПРСР 2014–2020 в България, </w:t>
      </w:r>
      <w:r w:rsidRPr="008226ED">
        <w:rPr>
          <w:rFonts w:ascii="Times New Roman" w:hAnsi="Times New Roman" w:cs="Times New Roman"/>
          <w:sz w:val="24"/>
          <w:szCs w:val="24"/>
          <w:lang w:val="bg-BG"/>
        </w:rPr>
        <w:t xml:space="preserve">на </w:t>
      </w:r>
      <w:r w:rsidRPr="008226ED">
        <w:rPr>
          <w:rFonts w:ascii="Times New Roman" w:hAnsi="Times New Roman" w:cs="Times New Roman"/>
          <w:sz w:val="24"/>
          <w:szCs w:val="24"/>
        </w:rPr>
        <w:t>напредък</w:t>
      </w:r>
      <w:r w:rsidRPr="008226ED">
        <w:rPr>
          <w:rFonts w:ascii="Times New Roman" w:hAnsi="Times New Roman" w:cs="Times New Roman"/>
          <w:sz w:val="24"/>
          <w:szCs w:val="24"/>
          <w:lang w:val="bg-BG"/>
        </w:rPr>
        <w:t>а</w:t>
      </w:r>
      <w:r w:rsidRPr="008226ED">
        <w:rPr>
          <w:rFonts w:ascii="Times New Roman" w:hAnsi="Times New Roman" w:cs="Times New Roman"/>
          <w:sz w:val="24"/>
          <w:szCs w:val="24"/>
        </w:rPr>
        <w:t xml:space="preserve"> по договориране, плащания, продукти и резултати и как данните се използват за управленски изводи</w:t>
      </w:r>
      <w:r w:rsidRPr="008226ED">
        <w:rPr>
          <w:rFonts w:ascii="Times New Roman" w:hAnsi="Times New Roman" w:cs="Times New Roman"/>
          <w:sz w:val="24"/>
          <w:szCs w:val="24"/>
          <w:lang w:val="bg-BG"/>
        </w:rPr>
        <w:t xml:space="preserve">, методологията </w:t>
      </w:r>
      <w:r w:rsidRPr="008226ED">
        <w:rPr>
          <w:rFonts w:ascii="Times New Roman" w:hAnsi="Times New Roman" w:cs="Times New Roman"/>
          <w:sz w:val="24"/>
          <w:szCs w:val="24"/>
        </w:rPr>
        <w:t xml:space="preserve">стъпва на официални административни и статистически източници и е ориентиран към проследяване на динамика във времето и различия по мерки и региони, без да прави строги причинно-следствени твърдения. Използват се публичните годишни </w:t>
      </w:r>
      <w:r w:rsidRPr="008226ED">
        <w:rPr>
          <w:rFonts w:ascii="Times New Roman" w:hAnsi="Times New Roman" w:cs="Times New Roman"/>
          <w:sz w:val="24"/>
          <w:szCs w:val="24"/>
        </w:rPr>
        <w:lastRenderedPageBreak/>
        <w:t>доклади за изпълнение на ПРСР и приложенията им, извлеченията от SFC2014, отчетите на МЗм и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xml:space="preserve">, както и референтни серии на Eurostat. Данните се почистват, хармонизират и агрегираат така, че да позволява сравнение по години, мерки и – когато е налично – по региони NUTS 2. Основните метрики включват степен на договориране и на усвояване, среден размер на подкрепата, разпределение на плащанията и обхват по ключови мерки, както и съпоставки за темп на напредък спрямо междинните етапни стойности на рамката за изпълнение. Анализът е описателен и служи пряко на целите на </w:t>
      </w:r>
      <w:r w:rsidRPr="008226ED">
        <w:rPr>
          <w:rFonts w:ascii="Times New Roman" w:hAnsi="Times New Roman" w:cs="Times New Roman"/>
          <w:sz w:val="24"/>
          <w:szCs w:val="24"/>
          <w:lang w:val="bg-BG"/>
        </w:rPr>
        <w:t>изследването</w:t>
      </w:r>
      <w:r w:rsidRPr="008226ED">
        <w:rPr>
          <w:rFonts w:ascii="Times New Roman" w:hAnsi="Times New Roman" w:cs="Times New Roman"/>
          <w:sz w:val="24"/>
          <w:szCs w:val="24"/>
        </w:rPr>
        <w:t>: да открои участъци с изоставане или с добри резултати, да идентифицира управленски тесни места и да подготви конкретни, приложими препоръки за периода 2023–2027 ().</w:t>
      </w:r>
    </w:p>
    <w:p w14:paraId="1EF28F71" w14:textId="2A1DFAD9" w:rsidR="00735746" w:rsidRPr="008226ED" w:rsidRDefault="00735746" w:rsidP="00735746">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Системата от индикатори е подбрана и представена като оперативен мост между данни и управление, а не само като формален отчет. Контекстните индикатори се използват за рамкиране на средата и за интерпретация на наблюдаваните промени, без да се третират като цели. Продуктовите индикатори документират непосредствените обеми намеса – брой бенефициенти, площи и животни под ангажименти, дължини/капацитети при инфраструктурни интервенции – и се съпоставят с финансовото изпълнение, за да се оцени интензивността на реализацията. Резултатните индикатори се подбират прагматично там, където административните и статистическите източници позволяват надеждно измерване на непосредствени ефекти, като въвеждане на практики, подобряване на достъпа до услуги или прокси за производителност; при ограничена наличност се използват устойчиви заместители, изрично отбелязани като такива. Индикаторите от рамката за изпълнение изпълняват дисциплинираща роля чрез междинни етапни стойности и се използват за ранно сигнализиране и за обвързване на наблюденията с управленски решения за корекции. В екологичните теми акцентът пада върху резултатни измерители с реална промяна на състоянието, доколкото данните позволяват, а не върху чисто финансови инпутни величини. Всички индикатори са представени с дефиниции, източници, периодичност и, когато е релевантно, географска дезагрегация, за да се осигури възпроизводимост и съпоставимост между години и мерки</w:t>
      </w:r>
      <w:r w:rsidRPr="008226ED">
        <w:rPr>
          <w:rFonts w:ascii="Times New Roman" w:hAnsi="Times New Roman" w:cs="Times New Roman"/>
          <w:sz w:val="24"/>
          <w:szCs w:val="24"/>
          <w:lang w:val="bg-BG"/>
        </w:rPr>
        <w:t>.</w:t>
      </w:r>
    </w:p>
    <w:p w14:paraId="5A7596F3" w14:textId="3EDBD615" w:rsidR="00735746" w:rsidRPr="008226ED" w:rsidRDefault="00735746" w:rsidP="00735746">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Ограниченията са артикулирани и вплетени в интерпретацията: възможни липси и несъответствия между версии на таблици, промени в дефиниции и методики през периода, времеви лаг между разход и ефект, ограничена детайлност за част от мерките и непълна регионална разбивка. Поради тези фактори „</w:t>
      </w:r>
      <w:proofErr w:type="gramStart"/>
      <w:r w:rsidRPr="008226ED">
        <w:rPr>
          <w:rFonts w:ascii="Times New Roman" w:hAnsi="Times New Roman" w:cs="Times New Roman"/>
          <w:sz w:val="24"/>
          <w:szCs w:val="24"/>
        </w:rPr>
        <w:t>въздействие“ се</w:t>
      </w:r>
      <w:proofErr w:type="gramEnd"/>
      <w:r w:rsidRPr="008226ED">
        <w:rPr>
          <w:rFonts w:ascii="Times New Roman" w:hAnsi="Times New Roman" w:cs="Times New Roman"/>
          <w:sz w:val="24"/>
          <w:szCs w:val="24"/>
        </w:rPr>
        <w:t xml:space="preserve"> разглежда като индикативен </w:t>
      </w:r>
      <w:r w:rsidRPr="008226ED">
        <w:rPr>
          <w:rFonts w:ascii="Times New Roman" w:hAnsi="Times New Roman" w:cs="Times New Roman"/>
          <w:sz w:val="24"/>
          <w:szCs w:val="24"/>
        </w:rPr>
        <w:lastRenderedPageBreak/>
        <w:t>принос, а не като резултат, установен чрез контрафактически методи; изводите са насочени към сравнителна ефективност между мерки и практическа управляемост, в съзвучие с целите на изследването да предложи конкретни подобрения на индикаторната система, качеството на данните и таргетирането на подкрепата в следващия период</w:t>
      </w:r>
      <w:r w:rsidRPr="008226ED">
        <w:rPr>
          <w:rFonts w:ascii="Times New Roman" w:hAnsi="Times New Roman" w:cs="Times New Roman"/>
          <w:sz w:val="24"/>
          <w:szCs w:val="24"/>
          <w:lang w:val="bg-BG"/>
        </w:rPr>
        <w:t>.</w:t>
      </w:r>
    </w:p>
    <w:p w14:paraId="73EDF26F" w14:textId="0BC17F1D" w:rsidR="006C1F23" w:rsidRPr="008226ED" w:rsidRDefault="006C1F23" w:rsidP="00091662">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2.</w:t>
      </w:r>
      <w:r w:rsidR="00735746" w:rsidRPr="008226ED">
        <w:rPr>
          <w:rFonts w:ascii="Times New Roman" w:hAnsi="Times New Roman" w:cs="Times New Roman"/>
          <w:b/>
          <w:bCs/>
          <w:sz w:val="24"/>
          <w:szCs w:val="24"/>
          <w:lang w:val="bg-BG"/>
        </w:rPr>
        <w:t>3</w:t>
      </w:r>
      <w:r w:rsidRPr="008226ED">
        <w:rPr>
          <w:rFonts w:ascii="Times New Roman" w:hAnsi="Times New Roman" w:cs="Times New Roman"/>
          <w:b/>
          <w:bCs/>
          <w:sz w:val="24"/>
          <w:szCs w:val="24"/>
          <w:lang w:val="bg-BG"/>
        </w:rPr>
        <w:t>. Методи за анализ на ефективността</w:t>
      </w:r>
    </w:p>
    <w:p w14:paraId="618817B2"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Анализът на ефективността в контекста на програмите в земеделието стъпва върху ясно дефинирани цели и измерими резултатни индикатори и комбинира описателни, сравнителни и причинно-обяснителни техники според наличните данни и степента на атрибуция, която е допустима. Първият слой е диагностичен и проследява постигането на целите спрямо базова линия и таргети, като се конструират времеви редове на резултатните показатели, изчисляват се темпове на напредък, коефициенти на изпълнение спрямо крайните таргети и индекси на кумулативно изпълнение спрямо междинните етапни стойности; практично се използват и нормализирани индикатори за съпоставимост и агрегиране по мерки и приоритети, при корекция за времеви лагове, сезонност и ревизии в дефинициите. (Agrotec S.p.A., 2014).</w:t>
      </w:r>
    </w:p>
    <w:p w14:paraId="3D02003A"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Вторият слой е сравнителен и цели да изолира ефекта на интервенциите от фоновите тенденции, като при ограничени данни се прилага контрибуционен анализ, а при по-богати данни – квазиекспериментални техники като разлики-в-разликите между бенефициенти и сходни небенефициенти, съпоставяне по вероятност за участие (propensity score matching), регресионни панели с фиксирани ефекти по стопанства или общини, регресионна дисконтиниуит при ясни прагове за допустимост и синтетичен контрол за регионални намеси; всички подходи предполагат добре дефинирани групи, достатъчна мощност и стабилни идентификатори, за да се минимизират неизмерени различия. (Agrotec S.p.A., 2014).</w:t>
      </w:r>
    </w:p>
    <w:p w14:paraId="10CF79FB"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Третият слой е функционален и проверява логическата консистентност между дейности, продукти и резултати чрез експлицитна теория на промяната, проследяване на веригите входове–продукти–резултати–въздействия, анализ на тесни места, забавяния и „фунили на отпадане“, както и чрез матрици на причинно-следствени връзки и диаграми на потоци; при инфраструктурни и мрежови намеси се анализира и дифузията във времето чрез криви на приемане, за да се съпоставят наблюдаваните профили на ефекти с очакваните. (Agrotec S.p.A., 2014).</w:t>
      </w:r>
    </w:p>
    <w:p w14:paraId="02873B8C"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Четвъртият слой използва бенчмаркинг и клъстерен анализ за хоризонтално сравнение между сходни мерки, подсектори и региони и за вертикално сравнение между програмни периоди, като се конструират индикатори за относителна ефективност, интензивност на резултата на единица продукт и устойчивост на ефекта; клъстеризацията групира територии или бенефициенти със сходни профили на изпълнение, което улеснява прехвърлянето на добри практики и таргетирането на корективни действия. (Agrotec S.p.A., 2014).</w:t>
      </w:r>
    </w:p>
    <w:p w14:paraId="19042787"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Петият слой е анализ на чувствителност и устойчивост на изводите, който тества алтернативни дефиниции и формули на индикаторите, различни правила за включване/изключване на наблюдения, различни лагове и методи за третиране на липсващи данни; използват се робъст регресии, бутстрап за доверителни интервали и плацебо проверки по „</w:t>
      </w:r>
      <w:proofErr w:type="gramStart"/>
      <w:r w:rsidRPr="008226ED">
        <w:rPr>
          <w:rFonts w:ascii="Times New Roman" w:hAnsi="Times New Roman" w:cs="Times New Roman"/>
          <w:sz w:val="24"/>
          <w:szCs w:val="24"/>
        </w:rPr>
        <w:t>лъжливи“ гранични</w:t>
      </w:r>
      <w:proofErr w:type="gramEnd"/>
      <w:r w:rsidRPr="008226ED">
        <w:rPr>
          <w:rFonts w:ascii="Times New Roman" w:hAnsi="Times New Roman" w:cs="Times New Roman"/>
          <w:sz w:val="24"/>
          <w:szCs w:val="24"/>
        </w:rPr>
        <w:t xml:space="preserve"> дати или групи, а при индекси – анализ на влиянието на теглата и представяне на неконсолидирани резултати за избягване на маскирана хетерогенност. (Agrotec S.p.A., 2014).</w:t>
      </w:r>
    </w:p>
    <w:p w14:paraId="4F6D2C54"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Шестият слой интегрира качествени доказателства за изясняване на механизми чрез полуструктурирани интервюта, фокус групи и казуси, които допълват количествените ефекти, разкриват поведенчески реакции към стимулите, административни пречки и непреднамерени ефекти и по този начин подсилват валидността на интерпретацията в контексти с силно влияние на институционални и териториални фактори. (Agrotec S.p.A., 2014).</w:t>
      </w:r>
    </w:p>
    <w:p w14:paraId="2A4A6B88" w14:textId="77777777" w:rsidR="00735746" w:rsidRPr="008226ED" w:rsidRDefault="00735746" w:rsidP="00735746">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На практическо равнище анализът започва от стабилна индикаторна база с ясни дефиниции, формули, източници, базови линии и цели, временна и географска резолюция, след което се изграждат табла за изпълнение, визуализиращи траекториите спрямо таргетите, и се прилага описаната многослойна логика в зависимост от въпроса и наличните данни; когато причинно-следствените изводи са ограничени, се предоставя реалистична оценка на приноса и управленски препоръки за подобряване на веригата входове–продукти–резултати, качеството на данните и таргетирането, а при богати данни се надгражда с квазиекспериментални техники, за да се доближи оценката до причинна ефективност. (Agrotec S.p.A., 2014).</w:t>
      </w:r>
    </w:p>
    <w:p w14:paraId="6570D8DC" w14:textId="3F7D7478" w:rsidR="00735746" w:rsidRPr="008226ED" w:rsidRDefault="00735746" w:rsidP="00735746">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ИЗВОДИ ПО ВТОРА ГЛАВА</w:t>
      </w:r>
    </w:p>
    <w:p w14:paraId="7DC36D72"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Методологията стъпва на общата рамка за мониторинг и оценка на ОСП 2014–2020, с четири групи индикатори: контекстни, продуктови, резултатни и въздействени. Всеки индикатор има дефиниция, формула, източник, периодичност и базова линия.</w:t>
      </w:r>
    </w:p>
    <w:p w14:paraId="4D4AAADF"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Данните идват основно от административните системи на управляващия орган и разплащателната агенция, Евростат и тематични екологични наблюдения. При нужда се допълват с извадкови проучвания.</w:t>
      </w:r>
    </w:p>
    <w:p w14:paraId="448A0727"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Рамката за изпълнение задава междинни етапни стойности по приоритети и е свързана с прегледа на изпълнението и резервата за изпълнение. Финансовото изпълнение се проследява паралелно с продуктови и избрани резултатни индикатори.</w:t>
      </w:r>
    </w:p>
    <w:p w14:paraId="7E412A59"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Годишните доклади за изпълнение агрегираят индикаторите и отчитат напредъка към целите. Междинният преглед оценява постигането на етапните стойности и задейства корективни решения.</w:t>
      </w:r>
    </w:p>
    <w:p w14:paraId="2502879A"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Ролите са разпределени между управляващия орган, комитета за наблюдение и Европейската комисия. Комитетът валидира индикаторната логика и следи качеството на данните.</w:t>
      </w:r>
    </w:p>
    <w:p w14:paraId="6D18EEBE"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Осигуряването на качеството включва верификация на източници, кръстосани проверки и правила за третиране на липсващи стойности. Прозрачността се гарантира чрез протоколи, методически ръководства и контрол на версиите.</w:t>
      </w:r>
    </w:p>
    <w:p w14:paraId="708BDA05" w14:textId="77777777" w:rsidR="00735746" w:rsidRPr="008226ED" w:rsidRDefault="00735746" w:rsidP="00735746">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Мониторингът е тясно свързан с оценяването: данните „</w:t>
      </w:r>
      <w:proofErr w:type="gramStart"/>
      <w:r w:rsidRPr="008226ED">
        <w:rPr>
          <w:rFonts w:ascii="Times New Roman" w:hAnsi="Times New Roman" w:cs="Times New Roman"/>
          <w:sz w:val="24"/>
          <w:szCs w:val="24"/>
        </w:rPr>
        <w:t>захранват“ анализите</w:t>
      </w:r>
      <w:proofErr w:type="gramEnd"/>
      <w:r w:rsidRPr="008226ED">
        <w:rPr>
          <w:rFonts w:ascii="Times New Roman" w:hAnsi="Times New Roman" w:cs="Times New Roman"/>
          <w:sz w:val="24"/>
          <w:szCs w:val="24"/>
        </w:rPr>
        <w:t xml:space="preserve"> за уместност, ефективност и въздействие. Резултатите от мониторинга водят до пренастройване на мерки и ресурси.</w:t>
      </w:r>
    </w:p>
    <w:p w14:paraId="0B835AFA" w14:textId="77777777" w:rsidR="00735746" w:rsidRPr="008226ED" w:rsidRDefault="00735746" w:rsidP="00735746">
      <w:pPr>
        <w:spacing w:line="360" w:lineRule="auto"/>
        <w:ind w:firstLine="720"/>
        <w:jc w:val="both"/>
        <w:rPr>
          <w:rFonts w:ascii="Times New Roman" w:hAnsi="Times New Roman" w:cs="Times New Roman"/>
          <w:sz w:val="24"/>
          <w:szCs w:val="24"/>
          <w:lang w:val="bg-BG"/>
        </w:rPr>
      </w:pPr>
    </w:p>
    <w:p w14:paraId="1F9E2A92" w14:textId="77777777" w:rsidR="00735746" w:rsidRPr="008226ED" w:rsidRDefault="00735746" w:rsidP="00091662">
      <w:pPr>
        <w:spacing w:line="360" w:lineRule="auto"/>
        <w:ind w:firstLine="720"/>
        <w:jc w:val="both"/>
        <w:rPr>
          <w:rFonts w:ascii="Times New Roman" w:hAnsi="Times New Roman" w:cs="Times New Roman"/>
          <w:sz w:val="24"/>
          <w:szCs w:val="24"/>
        </w:rPr>
      </w:pPr>
    </w:p>
    <w:p w14:paraId="47FF0F2F" w14:textId="77777777" w:rsidR="00F206FA" w:rsidRPr="008226ED" w:rsidRDefault="00F206FA">
      <w:pPr>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br w:type="page"/>
      </w:r>
    </w:p>
    <w:p w14:paraId="0A7A7FA4" w14:textId="1DC920E1"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lastRenderedPageBreak/>
        <w:t>Трета глава. Анализ на резултатите от ПРСР 2014–2020 в България</w:t>
      </w:r>
    </w:p>
    <w:p w14:paraId="187F7F09" w14:textId="77777777"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3.1. Финансово изпълнение</w:t>
      </w:r>
    </w:p>
    <w:p w14:paraId="1059BF18" w14:textId="309B888A" w:rsidR="00410DD4" w:rsidRPr="008226ED" w:rsidRDefault="00410DD4" w:rsidP="00410DD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Ф</w:t>
      </w:r>
      <w:r w:rsidRPr="008226ED">
        <w:rPr>
          <w:rFonts w:ascii="Times New Roman" w:hAnsi="Times New Roman" w:cs="Times New Roman"/>
          <w:sz w:val="24"/>
          <w:szCs w:val="24"/>
        </w:rPr>
        <w:t xml:space="preserve">инансовото изпълнение на ПРСР 2014–2020 г. </w:t>
      </w:r>
      <w:r w:rsidRPr="008226ED">
        <w:rPr>
          <w:rFonts w:ascii="Times New Roman" w:hAnsi="Times New Roman" w:cs="Times New Roman"/>
          <w:sz w:val="24"/>
          <w:szCs w:val="24"/>
          <w:lang w:val="bg-BG"/>
        </w:rPr>
        <w:t xml:space="preserve">се оценено </w:t>
      </w:r>
      <w:r w:rsidRPr="008226ED">
        <w:rPr>
          <w:rFonts w:ascii="Times New Roman" w:hAnsi="Times New Roman" w:cs="Times New Roman"/>
          <w:sz w:val="24"/>
          <w:szCs w:val="24"/>
        </w:rPr>
        <w:t xml:space="preserve">на база </w:t>
      </w:r>
      <w:r w:rsidRPr="008226ED">
        <w:rPr>
          <w:rFonts w:ascii="Times New Roman" w:hAnsi="Times New Roman" w:cs="Times New Roman"/>
          <w:sz w:val="24"/>
          <w:szCs w:val="24"/>
          <w:lang w:val="bg-BG"/>
        </w:rPr>
        <w:t xml:space="preserve">на направената текуща оценка на ПСРС (2014-2020) до 2018 г. и на </w:t>
      </w:r>
      <w:r w:rsidRPr="008226ED">
        <w:rPr>
          <w:rFonts w:ascii="Times New Roman" w:hAnsi="Times New Roman" w:cs="Times New Roman"/>
          <w:sz w:val="24"/>
          <w:szCs w:val="24"/>
        </w:rPr>
        <w:t>официалните годишни отчети на ДФ „Земеделие“</w:t>
      </w:r>
      <w:r w:rsidRPr="008226ED">
        <w:rPr>
          <w:rFonts w:ascii="Times New Roman" w:hAnsi="Times New Roman" w:cs="Times New Roman"/>
          <w:sz w:val="24"/>
          <w:szCs w:val="24"/>
          <w:lang w:val="bg-BG"/>
        </w:rPr>
        <w:t xml:space="preserve"> (Табл. 1</w:t>
      </w:r>
      <w:r w:rsidR="00AD3D7F" w:rsidRPr="008226ED">
        <w:rPr>
          <w:rFonts w:ascii="Times New Roman" w:hAnsi="Times New Roman" w:cs="Times New Roman"/>
          <w:sz w:val="24"/>
          <w:szCs w:val="24"/>
          <w:lang w:val="bg-BG"/>
        </w:rPr>
        <w:t xml:space="preserve"> и Табл. 2</w:t>
      </w:r>
      <w:r w:rsidR="00B3159B" w:rsidRPr="008226ED">
        <w:rPr>
          <w:rFonts w:ascii="Times New Roman" w:hAnsi="Times New Roman" w:cs="Times New Roman"/>
          <w:sz w:val="24"/>
          <w:szCs w:val="24"/>
          <w:lang w:val="bg-BG"/>
        </w:rPr>
        <w:t>, Фиг. 1 и Фиг. 2</w:t>
      </w:r>
      <w:r w:rsidRPr="008226ED">
        <w:rPr>
          <w:rFonts w:ascii="Times New Roman" w:hAnsi="Times New Roman" w:cs="Times New Roman"/>
          <w:sz w:val="24"/>
          <w:szCs w:val="24"/>
          <w:lang w:val="bg-BG"/>
        </w:rPr>
        <w:t>).</w:t>
      </w:r>
    </w:p>
    <w:p w14:paraId="521CABA6" w14:textId="0CC70A09" w:rsidR="00410DD4" w:rsidRPr="008226ED" w:rsidRDefault="00410DD4" w:rsidP="00410DD4">
      <w:pPr>
        <w:spacing w:line="360" w:lineRule="auto"/>
        <w:ind w:firstLine="720"/>
        <w:jc w:val="center"/>
        <w:rPr>
          <w:rFonts w:ascii="Times New Roman" w:hAnsi="Times New Roman" w:cs="Times New Roman"/>
          <w:sz w:val="24"/>
          <w:szCs w:val="24"/>
          <w:lang w:val="bg-BG"/>
        </w:rPr>
      </w:pPr>
      <w:r w:rsidRPr="008226ED">
        <w:rPr>
          <w:rFonts w:ascii="Times New Roman" w:hAnsi="Times New Roman" w:cs="Times New Roman"/>
          <w:sz w:val="24"/>
          <w:szCs w:val="24"/>
          <w:lang w:val="bg-BG"/>
        </w:rPr>
        <w:t xml:space="preserve">Таблица 1. </w:t>
      </w:r>
      <w:r w:rsidR="003D5CA5" w:rsidRPr="008226ED">
        <w:rPr>
          <w:rFonts w:ascii="Times New Roman" w:hAnsi="Times New Roman" w:cs="Times New Roman"/>
          <w:sz w:val="24"/>
          <w:szCs w:val="24"/>
          <w:lang w:val="bg-BG"/>
        </w:rPr>
        <w:t>ПРСР 2014–2020: годишни суми (лв.)</w:t>
      </w:r>
    </w:p>
    <w:p w14:paraId="757849C5" w14:textId="59272D2E" w:rsidR="003D5CA5" w:rsidRPr="008226ED" w:rsidRDefault="003D5CA5" w:rsidP="00410DD4">
      <w:pPr>
        <w:spacing w:line="360" w:lineRule="auto"/>
        <w:ind w:firstLine="720"/>
        <w:jc w:val="center"/>
        <w:rPr>
          <w:rFonts w:ascii="Times New Roman" w:hAnsi="Times New Roman" w:cs="Times New Roman"/>
          <w:sz w:val="24"/>
          <w:szCs w:val="24"/>
          <w:lang w:val="bg-BG"/>
        </w:rPr>
      </w:pPr>
      <w:r w:rsidRPr="008226ED">
        <w:rPr>
          <w:rFonts w:ascii="Times New Roman" w:hAnsi="Times New Roman" w:cs="Times New Roman"/>
          <w:sz w:val="24"/>
          <w:szCs w:val="24"/>
          <w:lang w:val="bg-BG"/>
        </w:rPr>
        <w:t>Източник: ДФЗ</w:t>
      </w:r>
    </w:p>
    <w:tbl>
      <w:tblPr>
        <w:tblStyle w:val="TableGridLight"/>
        <w:tblW w:w="5000" w:type="pct"/>
        <w:tblLook w:val="04A0" w:firstRow="1" w:lastRow="0" w:firstColumn="1" w:lastColumn="0" w:noHBand="0" w:noVBand="1"/>
      </w:tblPr>
      <w:tblGrid>
        <w:gridCol w:w="1451"/>
        <w:gridCol w:w="3860"/>
        <w:gridCol w:w="4039"/>
      </w:tblGrid>
      <w:tr w:rsidR="003D5CA5" w:rsidRPr="008226ED" w14:paraId="340439FC" w14:textId="77777777" w:rsidTr="003D5CA5">
        <w:tc>
          <w:tcPr>
            <w:tcW w:w="776" w:type="pct"/>
            <w:hideMark/>
          </w:tcPr>
          <w:p w14:paraId="4DA89C63" w14:textId="77777777" w:rsidR="003D5CA5" w:rsidRPr="008226ED" w:rsidRDefault="003D5CA5" w:rsidP="003D5CA5">
            <w:pPr>
              <w:jc w:val="center"/>
              <w:rPr>
                <w:rFonts w:ascii="Times New Roman" w:eastAsia="Times New Roman" w:hAnsi="Times New Roman" w:cs="Times New Roman"/>
                <w:b/>
                <w:bCs/>
                <w:sz w:val="24"/>
                <w:szCs w:val="24"/>
                <w:lang w:eastAsia="en-GB"/>
              </w:rPr>
            </w:pPr>
            <w:r w:rsidRPr="008226ED">
              <w:rPr>
                <w:rFonts w:ascii="Times New Roman" w:eastAsia="Times New Roman" w:hAnsi="Times New Roman" w:cs="Times New Roman"/>
                <w:b/>
                <w:bCs/>
                <w:sz w:val="24"/>
                <w:szCs w:val="24"/>
                <w:lang w:eastAsia="en-GB"/>
              </w:rPr>
              <w:t>Година</w:t>
            </w:r>
          </w:p>
        </w:tc>
        <w:tc>
          <w:tcPr>
            <w:tcW w:w="2064" w:type="pct"/>
            <w:hideMark/>
          </w:tcPr>
          <w:p w14:paraId="58844F37" w14:textId="77777777" w:rsidR="003D5CA5" w:rsidRPr="008226ED" w:rsidRDefault="003D5CA5" w:rsidP="003D5CA5">
            <w:pPr>
              <w:jc w:val="right"/>
              <w:rPr>
                <w:rFonts w:ascii="Times New Roman" w:eastAsia="Times New Roman" w:hAnsi="Times New Roman" w:cs="Times New Roman"/>
                <w:b/>
                <w:bCs/>
                <w:sz w:val="24"/>
                <w:szCs w:val="24"/>
                <w:lang w:eastAsia="en-GB"/>
              </w:rPr>
            </w:pPr>
            <w:r w:rsidRPr="008226ED">
              <w:rPr>
                <w:rFonts w:ascii="Times New Roman" w:eastAsia="Times New Roman" w:hAnsi="Times New Roman" w:cs="Times New Roman"/>
                <w:b/>
                <w:bCs/>
                <w:sz w:val="24"/>
                <w:szCs w:val="24"/>
                <w:lang w:eastAsia="en-GB"/>
              </w:rPr>
              <w:t>Оторизирани средства</w:t>
            </w:r>
          </w:p>
        </w:tc>
        <w:tc>
          <w:tcPr>
            <w:tcW w:w="2160" w:type="pct"/>
            <w:hideMark/>
          </w:tcPr>
          <w:p w14:paraId="66DFD53C" w14:textId="77777777" w:rsidR="003D5CA5" w:rsidRPr="008226ED" w:rsidRDefault="003D5CA5" w:rsidP="003D5CA5">
            <w:pPr>
              <w:jc w:val="right"/>
              <w:rPr>
                <w:rFonts w:ascii="Times New Roman" w:eastAsia="Times New Roman" w:hAnsi="Times New Roman" w:cs="Times New Roman"/>
                <w:b/>
                <w:bCs/>
                <w:sz w:val="24"/>
                <w:szCs w:val="24"/>
                <w:lang w:eastAsia="en-GB"/>
              </w:rPr>
            </w:pPr>
            <w:r w:rsidRPr="008226ED">
              <w:rPr>
                <w:rFonts w:ascii="Times New Roman" w:eastAsia="Times New Roman" w:hAnsi="Times New Roman" w:cs="Times New Roman"/>
                <w:b/>
                <w:bCs/>
                <w:sz w:val="24"/>
                <w:szCs w:val="24"/>
                <w:lang w:eastAsia="en-GB"/>
              </w:rPr>
              <w:t>Изразходвани (cash out)</w:t>
            </w:r>
          </w:p>
        </w:tc>
      </w:tr>
      <w:tr w:rsidR="003D5CA5" w:rsidRPr="008226ED" w14:paraId="6FBF4590" w14:textId="77777777" w:rsidTr="003D5CA5">
        <w:tc>
          <w:tcPr>
            <w:tcW w:w="776" w:type="pct"/>
            <w:hideMark/>
          </w:tcPr>
          <w:p w14:paraId="21315490" w14:textId="77777777" w:rsidR="003D5CA5" w:rsidRPr="008226ED" w:rsidRDefault="003D5CA5" w:rsidP="003D5CA5">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2014</w:t>
            </w:r>
          </w:p>
        </w:tc>
        <w:tc>
          <w:tcPr>
            <w:tcW w:w="2064" w:type="pct"/>
            <w:hideMark/>
          </w:tcPr>
          <w:p w14:paraId="7C85CDE2"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2160" w:type="pct"/>
            <w:hideMark/>
          </w:tcPr>
          <w:p w14:paraId="3438526F"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r>
      <w:tr w:rsidR="003D5CA5" w:rsidRPr="008226ED" w14:paraId="427D95D2" w14:textId="77777777" w:rsidTr="003D5CA5">
        <w:tc>
          <w:tcPr>
            <w:tcW w:w="776" w:type="pct"/>
            <w:hideMark/>
          </w:tcPr>
          <w:p w14:paraId="17DC8BF8" w14:textId="77777777" w:rsidR="003D5CA5" w:rsidRPr="008226ED" w:rsidRDefault="003D5CA5" w:rsidP="003D5CA5">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2015</w:t>
            </w:r>
          </w:p>
        </w:tc>
        <w:tc>
          <w:tcPr>
            <w:tcW w:w="2064" w:type="pct"/>
            <w:hideMark/>
          </w:tcPr>
          <w:p w14:paraId="02F256E1"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2160" w:type="pct"/>
            <w:hideMark/>
          </w:tcPr>
          <w:p w14:paraId="25FBA88B"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r>
      <w:tr w:rsidR="003D5CA5" w:rsidRPr="008226ED" w14:paraId="3AE9D504" w14:textId="77777777" w:rsidTr="003D5CA5">
        <w:tc>
          <w:tcPr>
            <w:tcW w:w="776" w:type="pct"/>
            <w:hideMark/>
          </w:tcPr>
          <w:p w14:paraId="66E9620B" w14:textId="77777777" w:rsidR="003D5CA5" w:rsidRPr="008226ED" w:rsidRDefault="003D5CA5" w:rsidP="003D5CA5">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2016</w:t>
            </w:r>
          </w:p>
        </w:tc>
        <w:tc>
          <w:tcPr>
            <w:tcW w:w="2064" w:type="pct"/>
            <w:hideMark/>
          </w:tcPr>
          <w:p w14:paraId="22632826"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365 701 315,15</w:t>
            </w:r>
          </w:p>
        </w:tc>
        <w:tc>
          <w:tcPr>
            <w:tcW w:w="2160" w:type="pct"/>
            <w:hideMark/>
          </w:tcPr>
          <w:p w14:paraId="5107FFB6"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r>
      <w:tr w:rsidR="003D5CA5" w:rsidRPr="008226ED" w14:paraId="5527CBA5" w14:textId="77777777" w:rsidTr="003D5CA5">
        <w:tc>
          <w:tcPr>
            <w:tcW w:w="776" w:type="pct"/>
            <w:hideMark/>
          </w:tcPr>
          <w:p w14:paraId="379DC382" w14:textId="77777777" w:rsidR="003D5CA5" w:rsidRPr="008226ED" w:rsidRDefault="003D5CA5" w:rsidP="003D5CA5">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2017</w:t>
            </w:r>
          </w:p>
        </w:tc>
        <w:tc>
          <w:tcPr>
            <w:tcW w:w="2064" w:type="pct"/>
            <w:hideMark/>
          </w:tcPr>
          <w:p w14:paraId="3A622FE3"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488 639 627,71</w:t>
            </w:r>
          </w:p>
        </w:tc>
        <w:tc>
          <w:tcPr>
            <w:tcW w:w="2160" w:type="pct"/>
            <w:hideMark/>
          </w:tcPr>
          <w:p w14:paraId="63D3F340"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r>
      <w:tr w:rsidR="003D5CA5" w:rsidRPr="008226ED" w14:paraId="19342D87" w14:textId="77777777" w:rsidTr="003D5CA5">
        <w:tc>
          <w:tcPr>
            <w:tcW w:w="776" w:type="pct"/>
            <w:hideMark/>
          </w:tcPr>
          <w:p w14:paraId="72BC5A45" w14:textId="77777777" w:rsidR="003D5CA5" w:rsidRPr="008226ED" w:rsidRDefault="003D5CA5" w:rsidP="003D5CA5">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2018</w:t>
            </w:r>
          </w:p>
        </w:tc>
        <w:tc>
          <w:tcPr>
            <w:tcW w:w="2064" w:type="pct"/>
            <w:hideMark/>
          </w:tcPr>
          <w:p w14:paraId="3EE00765"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2160" w:type="pct"/>
            <w:hideMark/>
          </w:tcPr>
          <w:p w14:paraId="3388911F"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582 882 035,88</w:t>
            </w:r>
          </w:p>
        </w:tc>
      </w:tr>
      <w:tr w:rsidR="003D5CA5" w:rsidRPr="008226ED" w14:paraId="2FDAD8F1" w14:textId="77777777" w:rsidTr="003D5CA5">
        <w:tc>
          <w:tcPr>
            <w:tcW w:w="776" w:type="pct"/>
            <w:hideMark/>
          </w:tcPr>
          <w:p w14:paraId="01C350AA" w14:textId="77777777" w:rsidR="003D5CA5" w:rsidRPr="008226ED" w:rsidRDefault="003D5CA5" w:rsidP="003D5CA5">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2019</w:t>
            </w:r>
          </w:p>
        </w:tc>
        <w:tc>
          <w:tcPr>
            <w:tcW w:w="2064" w:type="pct"/>
            <w:hideMark/>
          </w:tcPr>
          <w:p w14:paraId="3CFA3B36"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844 520 062,11</w:t>
            </w:r>
          </w:p>
        </w:tc>
        <w:tc>
          <w:tcPr>
            <w:tcW w:w="2160" w:type="pct"/>
            <w:hideMark/>
          </w:tcPr>
          <w:p w14:paraId="66BE5BF6"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844 340 088,00</w:t>
            </w:r>
          </w:p>
        </w:tc>
      </w:tr>
      <w:tr w:rsidR="003D5CA5" w:rsidRPr="008226ED" w14:paraId="09E4A517" w14:textId="77777777" w:rsidTr="003D5CA5">
        <w:tc>
          <w:tcPr>
            <w:tcW w:w="776" w:type="pct"/>
            <w:hideMark/>
          </w:tcPr>
          <w:p w14:paraId="79C15097" w14:textId="77777777" w:rsidR="003D5CA5" w:rsidRPr="008226ED" w:rsidRDefault="003D5CA5" w:rsidP="003D5CA5">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2020</w:t>
            </w:r>
          </w:p>
        </w:tc>
        <w:tc>
          <w:tcPr>
            <w:tcW w:w="2064" w:type="pct"/>
            <w:hideMark/>
          </w:tcPr>
          <w:p w14:paraId="083DB628"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815 785 957,01</w:t>
            </w:r>
          </w:p>
        </w:tc>
        <w:tc>
          <w:tcPr>
            <w:tcW w:w="2160" w:type="pct"/>
            <w:hideMark/>
          </w:tcPr>
          <w:p w14:paraId="4281D567" w14:textId="77777777" w:rsidR="003D5CA5" w:rsidRPr="008226ED" w:rsidRDefault="003D5CA5" w:rsidP="003D5CA5">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815 200 421,00</w:t>
            </w:r>
          </w:p>
        </w:tc>
      </w:tr>
    </w:tbl>
    <w:p w14:paraId="622383DD" w14:textId="77777777" w:rsidR="003D5CA5" w:rsidRPr="008226ED" w:rsidRDefault="003D5CA5" w:rsidP="00410DD4">
      <w:pPr>
        <w:spacing w:line="360" w:lineRule="auto"/>
        <w:ind w:firstLine="720"/>
        <w:jc w:val="center"/>
        <w:rPr>
          <w:rFonts w:ascii="Times New Roman" w:hAnsi="Times New Roman" w:cs="Times New Roman"/>
          <w:sz w:val="24"/>
          <w:szCs w:val="24"/>
          <w:lang w:val="bg-BG"/>
        </w:rPr>
      </w:pPr>
    </w:p>
    <w:p w14:paraId="61A8C666" w14:textId="01D03ACB" w:rsidR="00B3159B" w:rsidRPr="008226ED" w:rsidRDefault="00B3159B" w:rsidP="00AD3D7F">
      <w:pPr>
        <w:spacing w:line="360" w:lineRule="auto"/>
        <w:ind w:firstLine="720"/>
        <w:jc w:val="center"/>
        <w:rPr>
          <w:rFonts w:ascii="Times New Roman" w:hAnsi="Times New Roman" w:cs="Times New Roman"/>
          <w:sz w:val="24"/>
          <w:szCs w:val="24"/>
          <w:lang w:val="bg-BG"/>
        </w:rPr>
      </w:pPr>
      <w:r w:rsidRPr="008226ED">
        <w:rPr>
          <w:rFonts w:ascii="Times New Roman" w:hAnsi="Times New Roman" w:cs="Times New Roman"/>
          <w:noProof/>
          <w:sz w:val="24"/>
          <w:szCs w:val="24"/>
          <w:lang w:val="bg-BG"/>
        </w:rPr>
        <w:drawing>
          <wp:inline distT="0" distB="0" distL="0" distR="0" wp14:anchorId="5333C727" wp14:editId="06FD7AF8">
            <wp:extent cx="4865082" cy="2813393"/>
            <wp:effectExtent l="0" t="0" r="0" b="6350"/>
            <wp:docPr id="2087438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86714" cy="2825903"/>
                    </a:xfrm>
                    <a:prstGeom prst="rect">
                      <a:avLst/>
                    </a:prstGeom>
                    <a:noFill/>
                  </pic:spPr>
                </pic:pic>
              </a:graphicData>
            </a:graphic>
          </wp:inline>
        </w:drawing>
      </w:r>
    </w:p>
    <w:p w14:paraId="65ABA6ED" w14:textId="328E930B" w:rsidR="00B3159B" w:rsidRPr="008226ED" w:rsidRDefault="00B3159B" w:rsidP="00AD3D7F">
      <w:pPr>
        <w:spacing w:line="360" w:lineRule="auto"/>
        <w:ind w:firstLine="720"/>
        <w:jc w:val="center"/>
        <w:rPr>
          <w:rFonts w:ascii="Times New Roman" w:hAnsi="Times New Roman" w:cs="Times New Roman"/>
          <w:sz w:val="24"/>
          <w:szCs w:val="24"/>
          <w:lang w:val="bg-BG"/>
        </w:rPr>
      </w:pPr>
      <w:r w:rsidRPr="008226ED">
        <w:rPr>
          <w:rFonts w:ascii="Times New Roman" w:hAnsi="Times New Roman" w:cs="Times New Roman"/>
          <w:sz w:val="24"/>
          <w:szCs w:val="24"/>
          <w:lang w:val="bg-BG"/>
        </w:rPr>
        <w:t>Фигура 1. ПРСР 2014-2020. Изразходвани средства по години</w:t>
      </w:r>
    </w:p>
    <w:p w14:paraId="3456B8DC" w14:textId="73AC6529" w:rsidR="00B3159B" w:rsidRPr="008226ED" w:rsidRDefault="00B3159B" w:rsidP="00AD3D7F">
      <w:pPr>
        <w:spacing w:line="360" w:lineRule="auto"/>
        <w:ind w:firstLine="720"/>
        <w:jc w:val="center"/>
        <w:rPr>
          <w:rFonts w:ascii="Times New Roman" w:hAnsi="Times New Roman" w:cs="Times New Roman"/>
          <w:sz w:val="24"/>
          <w:szCs w:val="24"/>
          <w:lang w:val="bg-BG"/>
        </w:rPr>
      </w:pPr>
      <w:r w:rsidRPr="008226ED">
        <w:rPr>
          <w:rFonts w:ascii="Times New Roman" w:hAnsi="Times New Roman" w:cs="Times New Roman"/>
          <w:sz w:val="24"/>
          <w:szCs w:val="24"/>
          <w:lang w:val="bg-BG"/>
        </w:rPr>
        <w:t>Иточник: дФЗ</w:t>
      </w:r>
    </w:p>
    <w:p w14:paraId="1E7561B8" w14:textId="59D1D36C" w:rsidR="00410DD4" w:rsidRPr="008226ED" w:rsidRDefault="00AD3D7F" w:rsidP="00AD3D7F">
      <w:pPr>
        <w:spacing w:line="360" w:lineRule="auto"/>
        <w:ind w:firstLine="720"/>
        <w:jc w:val="center"/>
        <w:rPr>
          <w:rFonts w:ascii="Times New Roman" w:hAnsi="Times New Roman" w:cs="Times New Roman"/>
          <w:sz w:val="24"/>
          <w:szCs w:val="24"/>
          <w:lang w:val="bg-BG"/>
        </w:rPr>
      </w:pPr>
      <w:r w:rsidRPr="008226ED">
        <w:rPr>
          <w:rFonts w:ascii="Times New Roman" w:hAnsi="Times New Roman" w:cs="Times New Roman"/>
          <w:sz w:val="24"/>
          <w:szCs w:val="24"/>
          <w:lang w:val="bg-BG"/>
        </w:rPr>
        <w:t>Таблица 2. Изразходвани суми по мерки и подмерки</w:t>
      </w:r>
    </w:p>
    <w:p w14:paraId="5C63407F" w14:textId="514E1A52" w:rsidR="00AD3D7F" w:rsidRPr="008226ED" w:rsidRDefault="00AD3D7F" w:rsidP="00AD3D7F">
      <w:pPr>
        <w:spacing w:line="360" w:lineRule="auto"/>
        <w:ind w:firstLine="720"/>
        <w:jc w:val="center"/>
        <w:rPr>
          <w:rFonts w:ascii="Times New Roman" w:hAnsi="Times New Roman" w:cs="Times New Roman"/>
          <w:sz w:val="24"/>
          <w:szCs w:val="24"/>
          <w:lang w:val="bg-BG"/>
        </w:rPr>
      </w:pPr>
      <w:r w:rsidRPr="008226ED">
        <w:rPr>
          <w:rFonts w:ascii="Times New Roman" w:hAnsi="Times New Roman" w:cs="Times New Roman"/>
          <w:sz w:val="24"/>
          <w:szCs w:val="24"/>
          <w:lang w:val="bg-BG"/>
        </w:rPr>
        <w:t>Източник: ДФЗ</w:t>
      </w:r>
    </w:p>
    <w:tbl>
      <w:tblPr>
        <w:tblStyle w:val="TableGridLight"/>
        <w:tblW w:w="0" w:type="auto"/>
        <w:tblLook w:val="04A0" w:firstRow="1" w:lastRow="0" w:firstColumn="1" w:lastColumn="0" w:noHBand="0" w:noVBand="1"/>
      </w:tblPr>
      <w:tblGrid>
        <w:gridCol w:w="3508"/>
        <w:gridCol w:w="1142"/>
        <w:gridCol w:w="1142"/>
        <w:gridCol w:w="1186"/>
        <w:gridCol w:w="1186"/>
        <w:gridCol w:w="1186"/>
      </w:tblGrid>
      <w:tr w:rsidR="00AD3D7F" w:rsidRPr="008226ED" w14:paraId="4CC321DA" w14:textId="77777777" w:rsidTr="00AD3D7F">
        <w:tc>
          <w:tcPr>
            <w:tcW w:w="0" w:type="auto"/>
            <w:hideMark/>
          </w:tcPr>
          <w:p w14:paraId="6F92E9F8" w14:textId="77777777" w:rsidR="00AD3D7F" w:rsidRPr="008226ED" w:rsidRDefault="00AD3D7F" w:rsidP="00AD3D7F">
            <w:pPr>
              <w:jc w:val="center"/>
              <w:rPr>
                <w:rFonts w:ascii="Times New Roman" w:eastAsia="Times New Roman" w:hAnsi="Times New Roman" w:cs="Times New Roman"/>
                <w:b/>
                <w:bCs/>
                <w:sz w:val="24"/>
                <w:szCs w:val="24"/>
                <w:lang w:eastAsia="en-GB"/>
              </w:rPr>
            </w:pPr>
            <w:r w:rsidRPr="008226ED">
              <w:rPr>
                <w:rFonts w:ascii="Times New Roman" w:eastAsia="Times New Roman" w:hAnsi="Times New Roman" w:cs="Times New Roman"/>
                <w:b/>
                <w:bCs/>
                <w:sz w:val="24"/>
                <w:szCs w:val="24"/>
                <w:lang w:eastAsia="en-GB"/>
              </w:rPr>
              <w:t>Мярка / Подмярка</w:t>
            </w:r>
          </w:p>
        </w:tc>
        <w:tc>
          <w:tcPr>
            <w:tcW w:w="0" w:type="auto"/>
            <w:hideMark/>
          </w:tcPr>
          <w:p w14:paraId="7226C75A" w14:textId="77777777" w:rsidR="00AD3D7F" w:rsidRPr="008226ED" w:rsidRDefault="00AD3D7F" w:rsidP="00AD3D7F">
            <w:pPr>
              <w:jc w:val="right"/>
              <w:rPr>
                <w:rFonts w:ascii="Times New Roman" w:eastAsia="Times New Roman" w:hAnsi="Times New Roman" w:cs="Times New Roman"/>
                <w:b/>
                <w:bCs/>
                <w:sz w:val="24"/>
                <w:szCs w:val="24"/>
                <w:lang w:eastAsia="en-GB"/>
              </w:rPr>
            </w:pPr>
            <w:r w:rsidRPr="008226ED">
              <w:rPr>
                <w:rFonts w:ascii="Times New Roman" w:eastAsia="Times New Roman" w:hAnsi="Times New Roman" w:cs="Times New Roman"/>
                <w:b/>
                <w:bCs/>
                <w:sz w:val="24"/>
                <w:szCs w:val="24"/>
                <w:lang w:eastAsia="en-GB"/>
              </w:rPr>
              <w:t>2016</w:t>
            </w:r>
          </w:p>
        </w:tc>
        <w:tc>
          <w:tcPr>
            <w:tcW w:w="0" w:type="auto"/>
            <w:hideMark/>
          </w:tcPr>
          <w:p w14:paraId="54BAB610" w14:textId="77777777" w:rsidR="00AD3D7F" w:rsidRPr="008226ED" w:rsidRDefault="00AD3D7F" w:rsidP="00AD3D7F">
            <w:pPr>
              <w:jc w:val="right"/>
              <w:rPr>
                <w:rFonts w:ascii="Times New Roman" w:eastAsia="Times New Roman" w:hAnsi="Times New Roman" w:cs="Times New Roman"/>
                <w:b/>
                <w:bCs/>
                <w:sz w:val="24"/>
                <w:szCs w:val="24"/>
                <w:lang w:eastAsia="en-GB"/>
              </w:rPr>
            </w:pPr>
            <w:r w:rsidRPr="008226ED">
              <w:rPr>
                <w:rFonts w:ascii="Times New Roman" w:eastAsia="Times New Roman" w:hAnsi="Times New Roman" w:cs="Times New Roman"/>
                <w:b/>
                <w:bCs/>
                <w:sz w:val="24"/>
                <w:szCs w:val="24"/>
                <w:lang w:eastAsia="en-GB"/>
              </w:rPr>
              <w:t>2017</w:t>
            </w:r>
          </w:p>
        </w:tc>
        <w:tc>
          <w:tcPr>
            <w:tcW w:w="0" w:type="auto"/>
            <w:hideMark/>
          </w:tcPr>
          <w:p w14:paraId="19E77315" w14:textId="77777777" w:rsidR="00AD3D7F" w:rsidRPr="008226ED" w:rsidRDefault="00AD3D7F" w:rsidP="00AD3D7F">
            <w:pPr>
              <w:jc w:val="right"/>
              <w:rPr>
                <w:rFonts w:ascii="Times New Roman" w:eastAsia="Times New Roman" w:hAnsi="Times New Roman" w:cs="Times New Roman"/>
                <w:b/>
                <w:bCs/>
                <w:sz w:val="24"/>
                <w:szCs w:val="24"/>
                <w:lang w:eastAsia="en-GB"/>
              </w:rPr>
            </w:pPr>
            <w:r w:rsidRPr="008226ED">
              <w:rPr>
                <w:rFonts w:ascii="Times New Roman" w:eastAsia="Times New Roman" w:hAnsi="Times New Roman" w:cs="Times New Roman"/>
                <w:b/>
                <w:bCs/>
                <w:sz w:val="24"/>
                <w:szCs w:val="24"/>
                <w:lang w:eastAsia="en-GB"/>
              </w:rPr>
              <w:t>2018</w:t>
            </w:r>
          </w:p>
        </w:tc>
        <w:tc>
          <w:tcPr>
            <w:tcW w:w="0" w:type="auto"/>
            <w:hideMark/>
          </w:tcPr>
          <w:p w14:paraId="5F36BC5A" w14:textId="77777777" w:rsidR="00AD3D7F" w:rsidRPr="008226ED" w:rsidRDefault="00AD3D7F" w:rsidP="00AD3D7F">
            <w:pPr>
              <w:jc w:val="right"/>
              <w:rPr>
                <w:rFonts w:ascii="Times New Roman" w:eastAsia="Times New Roman" w:hAnsi="Times New Roman" w:cs="Times New Roman"/>
                <w:b/>
                <w:bCs/>
                <w:sz w:val="24"/>
                <w:szCs w:val="24"/>
                <w:lang w:eastAsia="en-GB"/>
              </w:rPr>
            </w:pPr>
            <w:r w:rsidRPr="008226ED">
              <w:rPr>
                <w:rFonts w:ascii="Times New Roman" w:eastAsia="Times New Roman" w:hAnsi="Times New Roman" w:cs="Times New Roman"/>
                <w:b/>
                <w:bCs/>
                <w:sz w:val="24"/>
                <w:szCs w:val="24"/>
                <w:lang w:eastAsia="en-GB"/>
              </w:rPr>
              <w:t>2019</w:t>
            </w:r>
          </w:p>
        </w:tc>
        <w:tc>
          <w:tcPr>
            <w:tcW w:w="0" w:type="auto"/>
            <w:hideMark/>
          </w:tcPr>
          <w:p w14:paraId="51E4ACB9" w14:textId="77777777" w:rsidR="00AD3D7F" w:rsidRPr="008226ED" w:rsidRDefault="00AD3D7F" w:rsidP="00AD3D7F">
            <w:pPr>
              <w:jc w:val="right"/>
              <w:rPr>
                <w:rFonts w:ascii="Times New Roman" w:eastAsia="Times New Roman" w:hAnsi="Times New Roman" w:cs="Times New Roman"/>
                <w:b/>
                <w:bCs/>
                <w:sz w:val="24"/>
                <w:szCs w:val="24"/>
                <w:lang w:eastAsia="en-GB"/>
              </w:rPr>
            </w:pPr>
            <w:r w:rsidRPr="008226ED">
              <w:rPr>
                <w:rFonts w:ascii="Times New Roman" w:eastAsia="Times New Roman" w:hAnsi="Times New Roman" w:cs="Times New Roman"/>
                <w:b/>
                <w:bCs/>
                <w:sz w:val="24"/>
                <w:szCs w:val="24"/>
                <w:lang w:eastAsia="en-GB"/>
              </w:rPr>
              <w:t>2020</w:t>
            </w:r>
          </w:p>
        </w:tc>
      </w:tr>
      <w:tr w:rsidR="00AD3D7F" w:rsidRPr="008226ED" w14:paraId="3E807D05" w14:textId="77777777" w:rsidTr="00AD3D7F">
        <w:tc>
          <w:tcPr>
            <w:tcW w:w="0" w:type="auto"/>
            <w:hideMark/>
          </w:tcPr>
          <w:p w14:paraId="74F69091"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 Консултантски услуги</w:t>
            </w:r>
          </w:p>
        </w:tc>
        <w:tc>
          <w:tcPr>
            <w:tcW w:w="0" w:type="auto"/>
            <w:hideMark/>
          </w:tcPr>
          <w:p w14:paraId="32150BDA"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6C7489BA"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4DD4951D"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4 263 640,39</w:t>
            </w:r>
          </w:p>
        </w:tc>
        <w:tc>
          <w:tcPr>
            <w:tcW w:w="0" w:type="auto"/>
            <w:hideMark/>
          </w:tcPr>
          <w:p w14:paraId="6F694CC7"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35B366EE"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r>
      <w:tr w:rsidR="00AD3D7F" w:rsidRPr="008226ED" w14:paraId="5DBE1A8F" w14:textId="77777777" w:rsidTr="00AD3D7F">
        <w:tc>
          <w:tcPr>
            <w:tcW w:w="0" w:type="auto"/>
            <w:hideMark/>
          </w:tcPr>
          <w:p w14:paraId="62490A5F"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lastRenderedPageBreak/>
              <w:t>4 Инвестиции в материални активи (общо)</w:t>
            </w:r>
          </w:p>
        </w:tc>
        <w:tc>
          <w:tcPr>
            <w:tcW w:w="0" w:type="auto"/>
            <w:hideMark/>
          </w:tcPr>
          <w:p w14:paraId="271FCB62"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09CA4586"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2FD9CDC5"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168 204 924,16</w:t>
            </w:r>
          </w:p>
        </w:tc>
        <w:tc>
          <w:tcPr>
            <w:tcW w:w="0" w:type="auto"/>
            <w:hideMark/>
          </w:tcPr>
          <w:p w14:paraId="51B7B8DC"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113 904 939,00</w:t>
            </w:r>
          </w:p>
        </w:tc>
        <w:tc>
          <w:tcPr>
            <w:tcW w:w="0" w:type="auto"/>
            <w:hideMark/>
          </w:tcPr>
          <w:p w14:paraId="103BB5E7"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90 775 435,00</w:t>
            </w:r>
          </w:p>
        </w:tc>
      </w:tr>
      <w:tr w:rsidR="00AD3D7F" w:rsidRPr="008226ED" w14:paraId="07645B2F" w14:textId="77777777" w:rsidTr="00AD3D7F">
        <w:tc>
          <w:tcPr>
            <w:tcW w:w="0" w:type="auto"/>
            <w:hideMark/>
          </w:tcPr>
          <w:p w14:paraId="610DD044"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4.1 Инвестиции в земеделски стопанства</w:t>
            </w:r>
          </w:p>
        </w:tc>
        <w:tc>
          <w:tcPr>
            <w:tcW w:w="0" w:type="auto"/>
            <w:hideMark/>
          </w:tcPr>
          <w:p w14:paraId="69FBA541"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64 582 848,19</w:t>
            </w:r>
          </w:p>
        </w:tc>
        <w:tc>
          <w:tcPr>
            <w:tcW w:w="0" w:type="auto"/>
            <w:hideMark/>
          </w:tcPr>
          <w:p w14:paraId="75FFA5AC"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90 230 298,48</w:t>
            </w:r>
          </w:p>
        </w:tc>
        <w:tc>
          <w:tcPr>
            <w:tcW w:w="0" w:type="auto"/>
            <w:hideMark/>
          </w:tcPr>
          <w:p w14:paraId="6B83A95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122 768 449,25</w:t>
            </w:r>
          </w:p>
        </w:tc>
        <w:tc>
          <w:tcPr>
            <w:tcW w:w="0" w:type="auto"/>
            <w:hideMark/>
          </w:tcPr>
          <w:p w14:paraId="3505A550"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113 904 939,00</w:t>
            </w:r>
          </w:p>
        </w:tc>
        <w:tc>
          <w:tcPr>
            <w:tcW w:w="0" w:type="auto"/>
            <w:hideMark/>
          </w:tcPr>
          <w:p w14:paraId="34A3B505"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90 775 434,56</w:t>
            </w:r>
          </w:p>
        </w:tc>
      </w:tr>
      <w:tr w:rsidR="00AD3D7F" w:rsidRPr="008226ED" w14:paraId="36932FA6" w14:textId="77777777" w:rsidTr="00AD3D7F">
        <w:tc>
          <w:tcPr>
            <w:tcW w:w="0" w:type="auto"/>
            <w:hideMark/>
          </w:tcPr>
          <w:p w14:paraId="300ACFCD"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4.2 Инвестиции в преработка/маркетинг</w:t>
            </w:r>
          </w:p>
        </w:tc>
        <w:tc>
          <w:tcPr>
            <w:tcW w:w="0" w:type="auto"/>
            <w:hideMark/>
          </w:tcPr>
          <w:p w14:paraId="29D2A804"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5 107 108,82</w:t>
            </w:r>
          </w:p>
        </w:tc>
        <w:tc>
          <w:tcPr>
            <w:tcW w:w="0" w:type="auto"/>
            <w:hideMark/>
          </w:tcPr>
          <w:p w14:paraId="1184724E"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45 262 681,69</w:t>
            </w:r>
          </w:p>
        </w:tc>
        <w:tc>
          <w:tcPr>
            <w:tcW w:w="0" w:type="auto"/>
            <w:hideMark/>
          </w:tcPr>
          <w:p w14:paraId="2121CD70"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45 436 474,91</w:t>
            </w:r>
          </w:p>
        </w:tc>
        <w:tc>
          <w:tcPr>
            <w:tcW w:w="0" w:type="auto"/>
            <w:hideMark/>
          </w:tcPr>
          <w:p w14:paraId="28D316E2"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48 728 133,00</w:t>
            </w:r>
          </w:p>
        </w:tc>
        <w:tc>
          <w:tcPr>
            <w:tcW w:w="0" w:type="auto"/>
            <w:hideMark/>
          </w:tcPr>
          <w:p w14:paraId="4521A3BC"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65 415 551,45</w:t>
            </w:r>
          </w:p>
        </w:tc>
      </w:tr>
      <w:tr w:rsidR="00AD3D7F" w:rsidRPr="008226ED" w14:paraId="295C681F" w14:textId="77777777" w:rsidTr="00AD3D7F">
        <w:tc>
          <w:tcPr>
            <w:tcW w:w="0" w:type="auto"/>
            <w:hideMark/>
          </w:tcPr>
          <w:p w14:paraId="4797D0AA"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6 Развитие на стопанства и предприятия</w:t>
            </w:r>
          </w:p>
        </w:tc>
        <w:tc>
          <w:tcPr>
            <w:tcW w:w="0" w:type="auto"/>
            <w:hideMark/>
          </w:tcPr>
          <w:p w14:paraId="262CF009"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250160CA"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40EADEDA"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42 336 631,18</w:t>
            </w:r>
          </w:p>
        </w:tc>
        <w:tc>
          <w:tcPr>
            <w:tcW w:w="0" w:type="auto"/>
            <w:hideMark/>
          </w:tcPr>
          <w:p w14:paraId="0D743740"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3E7854DD"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r>
      <w:tr w:rsidR="00AD3D7F" w:rsidRPr="008226ED" w14:paraId="2F7AE190" w14:textId="77777777" w:rsidTr="00AD3D7F">
        <w:tc>
          <w:tcPr>
            <w:tcW w:w="0" w:type="auto"/>
            <w:hideMark/>
          </w:tcPr>
          <w:p w14:paraId="59132BD3"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7 Основни услуги и обновяване на селата (общо)</w:t>
            </w:r>
          </w:p>
        </w:tc>
        <w:tc>
          <w:tcPr>
            <w:tcW w:w="0" w:type="auto"/>
            <w:hideMark/>
          </w:tcPr>
          <w:p w14:paraId="4F853131"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43BD0216"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4505E54D"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56 621 398,69</w:t>
            </w:r>
          </w:p>
        </w:tc>
        <w:tc>
          <w:tcPr>
            <w:tcW w:w="0" w:type="auto"/>
            <w:hideMark/>
          </w:tcPr>
          <w:p w14:paraId="0E3A969D"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277 981 002,00</w:t>
            </w:r>
          </w:p>
        </w:tc>
        <w:tc>
          <w:tcPr>
            <w:tcW w:w="0" w:type="auto"/>
            <w:hideMark/>
          </w:tcPr>
          <w:p w14:paraId="78B0BE21"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286 916 639,00</w:t>
            </w:r>
          </w:p>
        </w:tc>
      </w:tr>
      <w:tr w:rsidR="00AD3D7F" w:rsidRPr="008226ED" w14:paraId="1500BA02" w14:textId="77777777" w:rsidTr="00AD3D7F">
        <w:tc>
          <w:tcPr>
            <w:tcW w:w="0" w:type="auto"/>
            <w:hideMark/>
          </w:tcPr>
          <w:p w14:paraId="182C289B"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7.2 Малка по мащаби инфраструктура</w:t>
            </w:r>
          </w:p>
        </w:tc>
        <w:tc>
          <w:tcPr>
            <w:tcW w:w="0" w:type="auto"/>
            <w:hideMark/>
          </w:tcPr>
          <w:p w14:paraId="711E8D3C"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3C1D2937"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45C2E48B"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43 829 978,17</w:t>
            </w:r>
          </w:p>
        </w:tc>
        <w:tc>
          <w:tcPr>
            <w:tcW w:w="0" w:type="auto"/>
            <w:hideMark/>
          </w:tcPr>
          <w:p w14:paraId="60C67FDC"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277 981 002,00</w:t>
            </w:r>
          </w:p>
        </w:tc>
        <w:tc>
          <w:tcPr>
            <w:tcW w:w="0" w:type="auto"/>
            <w:hideMark/>
          </w:tcPr>
          <w:p w14:paraId="3A24132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286 916 639,31</w:t>
            </w:r>
          </w:p>
        </w:tc>
      </w:tr>
      <w:tr w:rsidR="00AD3D7F" w:rsidRPr="008226ED" w14:paraId="2D4BACFB" w14:textId="77777777" w:rsidTr="00AD3D7F">
        <w:tc>
          <w:tcPr>
            <w:tcW w:w="0" w:type="auto"/>
            <w:hideMark/>
          </w:tcPr>
          <w:p w14:paraId="57ECA096"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7.6 Културно и природно наследство</w:t>
            </w:r>
          </w:p>
        </w:tc>
        <w:tc>
          <w:tcPr>
            <w:tcW w:w="0" w:type="auto"/>
            <w:hideMark/>
          </w:tcPr>
          <w:p w14:paraId="2BD98DBC"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541F26B5"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6 443 889,69</w:t>
            </w:r>
          </w:p>
        </w:tc>
        <w:tc>
          <w:tcPr>
            <w:tcW w:w="0" w:type="auto"/>
            <w:hideMark/>
          </w:tcPr>
          <w:p w14:paraId="4A1CDD8C"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12 791 420,52</w:t>
            </w:r>
          </w:p>
        </w:tc>
        <w:tc>
          <w:tcPr>
            <w:tcW w:w="0" w:type="auto"/>
            <w:hideMark/>
          </w:tcPr>
          <w:p w14:paraId="506C1DF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16 432 424,00</w:t>
            </w:r>
          </w:p>
        </w:tc>
        <w:tc>
          <w:tcPr>
            <w:tcW w:w="0" w:type="auto"/>
            <w:hideMark/>
          </w:tcPr>
          <w:p w14:paraId="5EC7AD2E"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6 025 954,30</w:t>
            </w:r>
          </w:p>
        </w:tc>
      </w:tr>
      <w:tr w:rsidR="00AD3D7F" w:rsidRPr="008226ED" w14:paraId="0A31B8E0" w14:textId="77777777" w:rsidTr="00AD3D7F">
        <w:tc>
          <w:tcPr>
            <w:tcW w:w="0" w:type="auto"/>
            <w:hideMark/>
          </w:tcPr>
          <w:p w14:paraId="4B37E8E8"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8 Гори</w:t>
            </w:r>
          </w:p>
        </w:tc>
        <w:tc>
          <w:tcPr>
            <w:tcW w:w="0" w:type="auto"/>
            <w:hideMark/>
          </w:tcPr>
          <w:p w14:paraId="3AEEF050"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7B85F358"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5CD55F58"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201 755,14</w:t>
            </w:r>
          </w:p>
        </w:tc>
        <w:tc>
          <w:tcPr>
            <w:tcW w:w="0" w:type="auto"/>
            <w:hideMark/>
          </w:tcPr>
          <w:p w14:paraId="00B78DDC"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1CC9F110"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r>
      <w:tr w:rsidR="00AD3D7F" w:rsidRPr="008226ED" w14:paraId="43D11BE2" w14:textId="77777777" w:rsidTr="00AD3D7F">
        <w:tc>
          <w:tcPr>
            <w:tcW w:w="0" w:type="auto"/>
            <w:hideMark/>
          </w:tcPr>
          <w:p w14:paraId="308E21FC"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9 Групи и организации на производители</w:t>
            </w:r>
          </w:p>
        </w:tc>
        <w:tc>
          <w:tcPr>
            <w:tcW w:w="0" w:type="auto"/>
            <w:hideMark/>
          </w:tcPr>
          <w:p w14:paraId="57BA9002"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2B337B8D"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711791B5"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248 259,42</w:t>
            </w:r>
          </w:p>
        </w:tc>
        <w:tc>
          <w:tcPr>
            <w:tcW w:w="0" w:type="auto"/>
            <w:hideMark/>
          </w:tcPr>
          <w:p w14:paraId="303DC384"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4C82750C"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99 998,47</w:t>
            </w:r>
          </w:p>
        </w:tc>
      </w:tr>
      <w:tr w:rsidR="00AD3D7F" w:rsidRPr="008226ED" w14:paraId="73722233" w14:textId="77777777" w:rsidTr="00AD3D7F">
        <w:tc>
          <w:tcPr>
            <w:tcW w:w="0" w:type="auto"/>
            <w:hideMark/>
          </w:tcPr>
          <w:p w14:paraId="482794BA"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10 Агроекология и климат</w:t>
            </w:r>
          </w:p>
        </w:tc>
        <w:tc>
          <w:tcPr>
            <w:tcW w:w="0" w:type="auto"/>
            <w:hideMark/>
          </w:tcPr>
          <w:p w14:paraId="3181856E"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50E888FA"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03DBCB9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83 847 779,46</w:t>
            </w:r>
          </w:p>
        </w:tc>
        <w:tc>
          <w:tcPr>
            <w:tcW w:w="0" w:type="auto"/>
            <w:hideMark/>
          </w:tcPr>
          <w:p w14:paraId="221F3C59"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59 020 361,00</w:t>
            </w:r>
          </w:p>
        </w:tc>
        <w:tc>
          <w:tcPr>
            <w:tcW w:w="0" w:type="auto"/>
            <w:hideMark/>
          </w:tcPr>
          <w:p w14:paraId="235AF4E8"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62 104 971,00</w:t>
            </w:r>
          </w:p>
        </w:tc>
      </w:tr>
      <w:tr w:rsidR="00AD3D7F" w:rsidRPr="008226ED" w14:paraId="39C24114" w14:textId="77777777" w:rsidTr="00AD3D7F">
        <w:tc>
          <w:tcPr>
            <w:tcW w:w="0" w:type="auto"/>
            <w:hideMark/>
          </w:tcPr>
          <w:p w14:paraId="7C96E806"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11 Биологично земеделие</w:t>
            </w:r>
          </w:p>
        </w:tc>
        <w:tc>
          <w:tcPr>
            <w:tcW w:w="0" w:type="auto"/>
            <w:hideMark/>
          </w:tcPr>
          <w:p w14:paraId="445024CB"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51A047E7"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0CF33FB0"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66 023 984,31</w:t>
            </w:r>
          </w:p>
        </w:tc>
        <w:tc>
          <w:tcPr>
            <w:tcW w:w="0" w:type="auto"/>
            <w:hideMark/>
          </w:tcPr>
          <w:p w14:paraId="6ADF0373"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44 003 140,00</w:t>
            </w:r>
          </w:p>
        </w:tc>
        <w:tc>
          <w:tcPr>
            <w:tcW w:w="0" w:type="auto"/>
            <w:hideMark/>
          </w:tcPr>
          <w:p w14:paraId="08943BAE"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42 176 363,00</w:t>
            </w:r>
          </w:p>
        </w:tc>
      </w:tr>
      <w:tr w:rsidR="00AD3D7F" w:rsidRPr="008226ED" w14:paraId="255F6887" w14:textId="77777777" w:rsidTr="00AD3D7F">
        <w:tc>
          <w:tcPr>
            <w:tcW w:w="0" w:type="auto"/>
            <w:hideMark/>
          </w:tcPr>
          <w:p w14:paraId="6C475EF3"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12 Натура 2000 / РДВ</w:t>
            </w:r>
          </w:p>
        </w:tc>
        <w:tc>
          <w:tcPr>
            <w:tcW w:w="0" w:type="auto"/>
            <w:hideMark/>
          </w:tcPr>
          <w:p w14:paraId="09128372"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264966E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68FEB357"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44 589 790,38</w:t>
            </w:r>
          </w:p>
        </w:tc>
        <w:tc>
          <w:tcPr>
            <w:tcW w:w="0" w:type="auto"/>
            <w:hideMark/>
          </w:tcPr>
          <w:p w14:paraId="0E330C9D"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45 767 637,00</w:t>
            </w:r>
          </w:p>
        </w:tc>
        <w:tc>
          <w:tcPr>
            <w:tcW w:w="0" w:type="auto"/>
            <w:hideMark/>
          </w:tcPr>
          <w:p w14:paraId="5777AE1D"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45 658 186,00</w:t>
            </w:r>
          </w:p>
        </w:tc>
      </w:tr>
      <w:tr w:rsidR="00AD3D7F" w:rsidRPr="008226ED" w14:paraId="0218B722" w14:textId="77777777" w:rsidTr="00AD3D7F">
        <w:tc>
          <w:tcPr>
            <w:tcW w:w="0" w:type="auto"/>
            <w:hideMark/>
          </w:tcPr>
          <w:p w14:paraId="5839BC49"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13 Плащания за райони с ограничения</w:t>
            </w:r>
          </w:p>
        </w:tc>
        <w:tc>
          <w:tcPr>
            <w:tcW w:w="0" w:type="auto"/>
            <w:hideMark/>
          </w:tcPr>
          <w:p w14:paraId="39F93408"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284DE5E2"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4F78D3C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94 571 995,25</w:t>
            </w:r>
          </w:p>
        </w:tc>
        <w:tc>
          <w:tcPr>
            <w:tcW w:w="0" w:type="auto"/>
            <w:hideMark/>
          </w:tcPr>
          <w:p w14:paraId="69629BB1"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182 671 403,00</w:t>
            </w:r>
          </w:p>
        </w:tc>
        <w:tc>
          <w:tcPr>
            <w:tcW w:w="0" w:type="auto"/>
            <w:hideMark/>
          </w:tcPr>
          <w:p w14:paraId="06FBB9E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101 717 440,00</w:t>
            </w:r>
          </w:p>
        </w:tc>
      </w:tr>
      <w:tr w:rsidR="00AD3D7F" w:rsidRPr="008226ED" w14:paraId="4949BAB8" w14:textId="77777777" w:rsidTr="00AD3D7F">
        <w:tc>
          <w:tcPr>
            <w:tcW w:w="0" w:type="auto"/>
            <w:hideMark/>
          </w:tcPr>
          <w:p w14:paraId="09363466"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14 Хуманно отношение към животните</w:t>
            </w:r>
          </w:p>
        </w:tc>
        <w:tc>
          <w:tcPr>
            <w:tcW w:w="0" w:type="auto"/>
            <w:hideMark/>
          </w:tcPr>
          <w:p w14:paraId="7F84E480"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283F0338"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146B484C"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3 885 416,83</w:t>
            </w:r>
          </w:p>
        </w:tc>
        <w:tc>
          <w:tcPr>
            <w:tcW w:w="0" w:type="auto"/>
            <w:hideMark/>
          </w:tcPr>
          <w:p w14:paraId="72C153FD"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7DBFFC94"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r>
      <w:tr w:rsidR="00AD3D7F" w:rsidRPr="008226ED" w14:paraId="3B117823" w14:textId="77777777" w:rsidTr="00AD3D7F">
        <w:tc>
          <w:tcPr>
            <w:tcW w:w="0" w:type="auto"/>
            <w:hideMark/>
          </w:tcPr>
          <w:p w14:paraId="2C8CEF8C"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19 ВОМР / LEADER (общо)</w:t>
            </w:r>
          </w:p>
        </w:tc>
        <w:tc>
          <w:tcPr>
            <w:tcW w:w="0" w:type="auto"/>
            <w:hideMark/>
          </w:tcPr>
          <w:p w14:paraId="35CEAB5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5491295C"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5FECA40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8 058 164,55</w:t>
            </w:r>
          </w:p>
        </w:tc>
        <w:tc>
          <w:tcPr>
            <w:tcW w:w="0" w:type="auto"/>
            <w:hideMark/>
          </w:tcPr>
          <w:p w14:paraId="145EB409"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~9–10 млн.</w:t>
            </w:r>
          </w:p>
        </w:tc>
        <w:tc>
          <w:tcPr>
            <w:tcW w:w="0" w:type="auto"/>
            <w:hideMark/>
          </w:tcPr>
          <w:p w14:paraId="102D75EB"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11 700 190,00</w:t>
            </w:r>
          </w:p>
        </w:tc>
      </w:tr>
      <w:tr w:rsidR="00AD3D7F" w:rsidRPr="008226ED" w14:paraId="5630C498" w14:textId="77777777" w:rsidTr="00AD3D7F">
        <w:tc>
          <w:tcPr>
            <w:tcW w:w="0" w:type="auto"/>
            <w:hideMark/>
          </w:tcPr>
          <w:p w14:paraId="283AA04C"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20 Техническа помощ</w:t>
            </w:r>
          </w:p>
        </w:tc>
        <w:tc>
          <w:tcPr>
            <w:tcW w:w="0" w:type="auto"/>
            <w:hideMark/>
          </w:tcPr>
          <w:p w14:paraId="6C244552"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7 152 567,26</w:t>
            </w:r>
          </w:p>
        </w:tc>
        <w:tc>
          <w:tcPr>
            <w:tcW w:w="0" w:type="auto"/>
            <w:hideMark/>
          </w:tcPr>
          <w:p w14:paraId="46844018"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7 662 190,35</w:t>
            </w:r>
          </w:p>
        </w:tc>
        <w:tc>
          <w:tcPr>
            <w:tcW w:w="0" w:type="auto"/>
            <w:hideMark/>
          </w:tcPr>
          <w:p w14:paraId="5A9BA25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10 028 296,12</w:t>
            </w:r>
          </w:p>
        </w:tc>
        <w:tc>
          <w:tcPr>
            <w:tcW w:w="0" w:type="auto"/>
            <w:hideMark/>
          </w:tcPr>
          <w:p w14:paraId="1FB1058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8 217 834,00</w:t>
            </w:r>
          </w:p>
        </w:tc>
        <w:tc>
          <w:tcPr>
            <w:tcW w:w="0" w:type="auto"/>
            <w:hideMark/>
          </w:tcPr>
          <w:p w14:paraId="652EF9C4"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9 848 344,00</w:t>
            </w:r>
          </w:p>
        </w:tc>
      </w:tr>
      <w:tr w:rsidR="00AD3D7F" w:rsidRPr="008226ED" w14:paraId="7B922B29" w14:textId="77777777" w:rsidTr="00AD3D7F">
        <w:tc>
          <w:tcPr>
            <w:tcW w:w="0" w:type="auto"/>
            <w:hideMark/>
          </w:tcPr>
          <w:p w14:paraId="27F2E6BE" w14:textId="77777777" w:rsidR="00AD3D7F" w:rsidRPr="008226ED" w:rsidRDefault="00AD3D7F" w:rsidP="00AD3D7F">
            <w:pPr>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21 COVID-19 (въведена 2020)</w:t>
            </w:r>
          </w:p>
        </w:tc>
        <w:tc>
          <w:tcPr>
            <w:tcW w:w="0" w:type="auto"/>
            <w:hideMark/>
          </w:tcPr>
          <w:p w14:paraId="2C8AD39A"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64E486D9"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2E160CBF"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1EF3D407"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w:t>
            </w:r>
          </w:p>
        </w:tc>
        <w:tc>
          <w:tcPr>
            <w:tcW w:w="0" w:type="auto"/>
            <w:hideMark/>
          </w:tcPr>
          <w:p w14:paraId="0B19E5D1" w14:textId="77777777" w:rsidR="00AD3D7F" w:rsidRPr="008226ED" w:rsidRDefault="00AD3D7F" w:rsidP="00AD3D7F">
            <w:pPr>
              <w:jc w:val="right"/>
              <w:rPr>
                <w:rFonts w:ascii="Times New Roman" w:eastAsia="Times New Roman" w:hAnsi="Times New Roman" w:cs="Times New Roman"/>
                <w:sz w:val="24"/>
                <w:szCs w:val="24"/>
                <w:lang w:eastAsia="en-GB"/>
              </w:rPr>
            </w:pPr>
            <w:r w:rsidRPr="008226ED">
              <w:rPr>
                <w:rFonts w:ascii="Times New Roman" w:eastAsia="Times New Roman" w:hAnsi="Times New Roman" w:cs="Times New Roman"/>
                <w:sz w:val="24"/>
                <w:szCs w:val="24"/>
                <w:lang w:eastAsia="en-GB"/>
              </w:rPr>
              <w:t>72 123 393,00</w:t>
            </w:r>
          </w:p>
        </w:tc>
      </w:tr>
    </w:tbl>
    <w:p w14:paraId="144D8F8B" w14:textId="77777777" w:rsidR="00AD3D7F" w:rsidRPr="008226ED" w:rsidRDefault="00AD3D7F" w:rsidP="00AD3D7F">
      <w:pPr>
        <w:spacing w:line="360" w:lineRule="auto"/>
        <w:ind w:firstLine="720"/>
        <w:jc w:val="center"/>
        <w:rPr>
          <w:rFonts w:ascii="Times New Roman" w:hAnsi="Times New Roman" w:cs="Times New Roman"/>
          <w:sz w:val="24"/>
          <w:szCs w:val="24"/>
          <w:lang w:val="bg-BG"/>
        </w:rPr>
      </w:pPr>
    </w:p>
    <w:p w14:paraId="3A5E66A0" w14:textId="47718825" w:rsidR="00B3159B" w:rsidRPr="008226ED" w:rsidRDefault="00B3159B" w:rsidP="00AD3D7F">
      <w:pPr>
        <w:spacing w:line="360" w:lineRule="auto"/>
        <w:ind w:firstLine="720"/>
        <w:jc w:val="center"/>
        <w:rPr>
          <w:rFonts w:ascii="Times New Roman" w:hAnsi="Times New Roman" w:cs="Times New Roman"/>
          <w:sz w:val="24"/>
          <w:szCs w:val="24"/>
          <w:lang w:val="bg-BG"/>
        </w:rPr>
      </w:pPr>
      <w:r w:rsidRPr="008226ED">
        <w:rPr>
          <w:rFonts w:ascii="Times New Roman" w:hAnsi="Times New Roman" w:cs="Times New Roman"/>
          <w:noProof/>
          <w:sz w:val="24"/>
          <w:szCs w:val="24"/>
          <w:lang w:val="bg-BG"/>
        </w:rPr>
        <w:lastRenderedPageBreak/>
        <w:drawing>
          <wp:inline distT="0" distB="0" distL="0" distR="0" wp14:anchorId="0DF1B6AC" wp14:editId="53F8B325">
            <wp:extent cx="5695053" cy="3295015"/>
            <wp:effectExtent l="0" t="0" r="1270" b="635"/>
            <wp:docPr id="60020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04765" cy="3300634"/>
                    </a:xfrm>
                    <a:prstGeom prst="rect">
                      <a:avLst/>
                    </a:prstGeom>
                    <a:noFill/>
                  </pic:spPr>
                </pic:pic>
              </a:graphicData>
            </a:graphic>
          </wp:inline>
        </w:drawing>
      </w:r>
    </w:p>
    <w:p w14:paraId="0F24072B" w14:textId="4640C27C" w:rsidR="00B3159B" w:rsidRPr="008226ED" w:rsidRDefault="00B3159B" w:rsidP="00AD3D7F">
      <w:pPr>
        <w:spacing w:line="360" w:lineRule="auto"/>
        <w:ind w:firstLine="720"/>
        <w:jc w:val="center"/>
        <w:rPr>
          <w:rFonts w:ascii="Times New Roman" w:hAnsi="Times New Roman" w:cs="Times New Roman"/>
          <w:sz w:val="24"/>
          <w:szCs w:val="24"/>
          <w:lang w:val="bg-BG"/>
        </w:rPr>
      </w:pPr>
      <w:r w:rsidRPr="008226ED">
        <w:rPr>
          <w:rFonts w:ascii="Times New Roman" w:hAnsi="Times New Roman" w:cs="Times New Roman"/>
          <w:sz w:val="24"/>
          <w:szCs w:val="24"/>
          <w:lang w:val="bg-BG"/>
        </w:rPr>
        <w:t>Фигура 2. ПРСР 2014-2020: Изразходвани средства по мерки</w:t>
      </w:r>
    </w:p>
    <w:p w14:paraId="55060963" w14:textId="38178CCD" w:rsidR="00B3159B" w:rsidRPr="008226ED" w:rsidRDefault="00B3159B" w:rsidP="00AD3D7F">
      <w:pPr>
        <w:spacing w:line="360" w:lineRule="auto"/>
        <w:ind w:firstLine="720"/>
        <w:jc w:val="center"/>
        <w:rPr>
          <w:rFonts w:ascii="Times New Roman" w:hAnsi="Times New Roman" w:cs="Times New Roman"/>
          <w:sz w:val="24"/>
          <w:szCs w:val="24"/>
          <w:lang w:val="bg-BG"/>
        </w:rPr>
      </w:pPr>
      <w:r w:rsidRPr="008226ED">
        <w:rPr>
          <w:rFonts w:ascii="Times New Roman" w:hAnsi="Times New Roman" w:cs="Times New Roman"/>
          <w:sz w:val="24"/>
          <w:szCs w:val="24"/>
          <w:lang w:val="bg-BG"/>
        </w:rPr>
        <w:t>Източник; ДФЗ</w:t>
      </w:r>
    </w:p>
    <w:p w14:paraId="20323791" w14:textId="77777777" w:rsidR="00410DD4" w:rsidRPr="008226ED" w:rsidRDefault="00410DD4" w:rsidP="00410DD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2014 е подготвителна година без фактическо финансово изпълнение по новата ПРСР 2014–2020. Процедурите и нормативната рамка се доустройват, а първите приеми се планират за 2015 г., поради което няма отчетени оторизирани и изплатени средства по мерките на програмата за тази календарна година. Това се потвърждава и от прегледа на реализираните интервенции, където стартовите приеми са позиционирани от 2015 г. нататък. </w:t>
      </w:r>
    </w:p>
    <w:p w14:paraId="760AADAC" w14:textId="77777777" w:rsidR="00410DD4" w:rsidRPr="008226ED" w:rsidRDefault="00410DD4" w:rsidP="00410DD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2015 е година на стартиране на приемите, но с ограничени плащания, тъй като масово административното одобряване на новозаявените ангажименти по компенсаторните мерки и по инвестиционните мерки се изнася към 2016 г. Междинната оценка отбелязва изрично, че към 31.12.2015 г. процесът по одобряване на новите ангажименти по мерки 10, 11, 12 и 13 не е приключил и разплащанията по тях са извършени през 2016 г.; същото важи и за част от инвестиционните мерки, при които договори се сключват и авансите тръгват от 2016 г. насетне. </w:t>
      </w:r>
    </w:p>
    <w:p w14:paraId="5CDB9356" w14:textId="4D9DFF6C" w:rsidR="00410DD4" w:rsidRPr="008226ED" w:rsidRDefault="00410DD4" w:rsidP="00410DD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2016 е първата година с осезаеми плащания по ПРСР 2014–2020. Оторизираните средства по мерки на програмата достигат 365 701 315,15 лв. общо, като към тази сума влизат както компенсаторни плащания, така и инвестиционни и хоризонтални разходи. По-</w:t>
      </w:r>
      <w:r w:rsidRPr="008226ED">
        <w:rPr>
          <w:rFonts w:ascii="Times New Roman" w:hAnsi="Times New Roman" w:cs="Times New Roman"/>
          <w:sz w:val="24"/>
          <w:szCs w:val="24"/>
        </w:rPr>
        <w:lastRenderedPageBreak/>
        <w:t xml:space="preserve">големите пера са: мярка 13 „Плащания за райони с </w:t>
      </w:r>
      <w:proofErr w:type="gramStart"/>
      <w:r w:rsidRPr="008226ED">
        <w:rPr>
          <w:rFonts w:ascii="Times New Roman" w:hAnsi="Times New Roman" w:cs="Times New Roman"/>
          <w:sz w:val="24"/>
          <w:szCs w:val="24"/>
        </w:rPr>
        <w:t>ограничения“ –</w:t>
      </w:r>
      <w:proofErr w:type="gramEnd"/>
      <w:r w:rsidRPr="008226ED">
        <w:rPr>
          <w:rFonts w:ascii="Times New Roman" w:hAnsi="Times New Roman" w:cs="Times New Roman"/>
          <w:sz w:val="24"/>
          <w:szCs w:val="24"/>
        </w:rPr>
        <w:t xml:space="preserve"> 85 185 934,03 лв.; мярка 4 „Инвестиции в материални </w:t>
      </w:r>
      <w:proofErr w:type="gramStart"/>
      <w:r w:rsidRPr="008226ED">
        <w:rPr>
          <w:rFonts w:ascii="Times New Roman" w:hAnsi="Times New Roman" w:cs="Times New Roman"/>
          <w:sz w:val="24"/>
          <w:szCs w:val="24"/>
        </w:rPr>
        <w:t>активи“ –</w:t>
      </w:r>
      <w:proofErr w:type="gramEnd"/>
      <w:r w:rsidRPr="008226ED">
        <w:rPr>
          <w:rFonts w:ascii="Times New Roman" w:hAnsi="Times New Roman" w:cs="Times New Roman"/>
          <w:sz w:val="24"/>
          <w:szCs w:val="24"/>
        </w:rPr>
        <w:t xml:space="preserve"> 69 689 957,01 лв.; мярка 11 „Биологично </w:t>
      </w:r>
      <w:proofErr w:type="gramStart"/>
      <w:r w:rsidRPr="008226ED">
        <w:rPr>
          <w:rFonts w:ascii="Times New Roman" w:hAnsi="Times New Roman" w:cs="Times New Roman"/>
          <w:sz w:val="24"/>
          <w:szCs w:val="24"/>
        </w:rPr>
        <w:t>земеделие“ –</w:t>
      </w:r>
      <w:proofErr w:type="gramEnd"/>
      <w:r w:rsidRPr="008226ED">
        <w:rPr>
          <w:rFonts w:ascii="Times New Roman" w:hAnsi="Times New Roman" w:cs="Times New Roman"/>
          <w:sz w:val="24"/>
          <w:szCs w:val="24"/>
        </w:rPr>
        <w:t xml:space="preserve"> 28 852 153,40 лв.; мярка 10 „Агроекология и </w:t>
      </w:r>
      <w:proofErr w:type="gramStart"/>
      <w:r w:rsidRPr="008226ED">
        <w:rPr>
          <w:rFonts w:ascii="Times New Roman" w:hAnsi="Times New Roman" w:cs="Times New Roman"/>
          <w:sz w:val="24"/>
          <w:szCs w:val="24"/>
        </w:rPr>
        <w:t>климат“ –</w:t>
      </w:r>
      <w:proofErr w:type="gramEnd"/>
      <w:r w:rsidRPr="008226ED">
        <w:rPr>
          <w:rFonts w:ascii="Times New Roman" w:hAnsi="Times New Roman" w:cs="Times New Roman"/>
          <w:sz w:val="24"/>
          <w:szCs w:val="24"/>
        </w:rPr>
        <w:t xml:space="preserve"> 40 446 758,12 лв. плюс преходни плащания по мярка 214 от стария период; мярка 12 „Натура 2000/Рамкова директива за </w:t>
      </w:r>
      <w:proofErr w:type="gramStart"/>
      <w:r w:rsidRPr="008226ED">
        <w:rPr>
          <w:rFonts w:ascii="Times New Roman" w:hAnsi="Times New Roman" w:cs="Times New Roman"/>
          <w:sz w:val="24"/>
          <w:szCs w:val="24"/>
        </w:rPr>
        <w:t>водите“ –</w:t>
      </w:r>
      <w:proofErr w:type="gramEnd"/>
      <w:r w:rsidRPr="008226ED">
        <w:rPr>
          <w:rFonts w:ascii="Times New Roman" w:hAnsi="Times New Roman" w:cs="Times New Roman"/>
          <w:sz w:val="24"/>
          <w:szCs w:val="24"/>
        </w:rPr>
        <w:t xml:space="preserve"> 48 203 273,65 лв.; мярка 6 „Развитие на стопанства и </w:t>
      </w:r>
      <w:proofErr w:type="gramStart"/>
      <w:r w:rsidRPr="008226ED">
        <w:rPr>
          <w:rFonts w:ascii="Times New Roman" w:hAnsi="Times New Roman" w:cs="Times New Roman"/>
          <w:sz w:val="24"/>
          <w:szCs w:val="24"/>
        </w:rPr>
        <w:t>предприятия“ –</w:t>
      </w:r>
      <w:proofErr w:type="gramEnd"/>
      <w:r w:rsidRPr="008226ED">
        <w:rPr>
          <w:rFonts w:ascii="Times New Roman" w:hAnsi="Times New Roman" w:cs="Times New Roman"/>
          <w:sz w:val="24"/>
          <w:szCs w:val="24"/>
        </w:rPr>
        <w:t xml:space="preserve"> 66 399 698,89 лв.; мярка 20 „Техническа </w:t>
      </w:r>
      <w:proofErr w:type="gramStart"/>
      <w:r w:rsidRPr="008226ED">
        <w:rPr>
          <w:rFonts w:ascii="Times New Roman" w:hAnsi="Times New Roman" w:cs="Times New Roman"/>
          <w:sz w:val="24"/>
          <w:szCs w:val="24"/>
        </w:rPr>
        <w:t>помощ“ –</w:t>
      </w:r>
      <w:proofErr w:type="gramEnd"/>
      <w:r w:rsidRPr="008226ED">
        <w:rPr>
          <w:rFonts w:ascii="Times New Roman" w:hAnsi="Times New Roman" w:cs="Times New Roman"/>
          <w:sz w:val="24"/>
          <w:szCs w:val="24"/>
        </w:rPr>
        <w:t xml:space="preserve"> 7 152 567,26 лв. </w:t>
      </w:r>
    </w:p>
    <w:p w14:paraId="27DC6867" w14:textId="77777777" w:rsidR="00410DD4" w:rsidRPr="008226ED" w:rsidRDefault="00410DD4" w:rsidP="00410DD4">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2017 бележи ускоряване на разплащанията и изтегля най-голям дотогавашен годишен обем. Оторизираните средства по мерки на ПРСР възлизат на 488 639 627,71 лв. Сумата се формира от комбинация на инвестиционни, компенсаторни и хоризонтални разходи. При инвестиционните мерки мярка 4 достига 135 492 980,17 лв., а мярка 6 – 44 596 198,20 лв. При компенсаторните мерки мярка 10 „Агроекология и </w:t>
      </w:r>
      <w:proofErr w:type="gramStart"/>
      <w:r w:rsidRPr="008226ED">
        <w:rPr>
          <w:rFonts w:ascii="Times New Roman" w:hAnsi="Times New Roman" w:cs="Times New Roman"/>
          <w:sz w:val="24"/>
          <w:szCs w:val="24"/>
        </w:rPr>
        <w:t>климат“ е</w:t>
      </w:r>
      <w:proofErr w:type="gramEnd"/>
      <w:r w:rsidRPr="008226ED">
        <w:rPr>
          <w:rFonts w:ascii="Times New Roman" w:hAnsi="Times New Roman" w:cs="Times New Roman"/>
          <w:sz w:val="24"/>
          <w:szCs w:val="24"/>
        </w:rPr>
        <w:t xml:space="preserve"> с 82 032 660,01 лв., мярка 11 „Биологично </w:t>
      </w:r>
      <w:proofErr w:type="gramStart"/>
      <w:r w:rsidRPr="008226ED">
        <w:rPr>
          <w:rFonts w:ascii="Times New Roman" w:hAnsi="Times New Roman" w:cs="Times New Roman"/>
          <w:sz w:val="24"/>
          <w:szCs w:val="24"/>
        </w:rPr>
        <w:t>земеделие“ –</w:t>
      </w:r>
      <w:proofErr w:type="gramEnd"/>
      <w:r w:rsidRPr="008226ED">
        <w:rPr>
          <w:rFonts w:ascii="Times New Roman" w:hAnsi="Times New Roman" w:cs="Times New Roman"/>
          <w:sz w:val="24"/>
          <w:szCs w:val="24"/>
        </w:rPr>
        <w:t xml:space="preserve"> 68 946 579,23 лв., мярка 12 „Натура 2000/Рамкова директива за </w:t>
      </w:r>
      <w:proofErr w:type="gramStart"/>
      <w:r w:rsidRPr="008226ED">
        <w:rPr>
          <w:rFonts w:ascii="Times New Roman" w:hAnsi="Times New Roman" w:cs="Times New Roman"/>
          <w:sz w:val="24"/>
          <w:szCs w:val="24"/>
        </w:rPr>
        <w:t>водите“ –</w:t>
      </w:r>
      <w:proofErr w:type="gramEnd"/>
      <w:r w:rsidRPr="008226ED">
        <w:rPr>
          <w:rFonts w:ascii="Times New Roman" w:hAnsi="Times New Roman" w:cs="Times New Roman"/>
          <w:sz w:val="24"/>
          <w:szCs w:val="24"/>
        </w:rPr>
        <w:t xml:space="preserve"> 43 380 579,32 лв., и мярка 13 „Планински и други райони с </w:t>
      </w:r>
      <w:proofErr w:type="gramStart"/>
      <w:r w:rsidRPr="008226ED">
        <w:rPr>
          <w:rFonts w:ascii="Times New Roman" w:hAnsi="Times New Roman" w:cs="Times New Roman"/>
          <w:sz w:val="24"/>
          <w:szCs w:val="24"/>
        </w:rPr>
        <w:t>ограничения“ –</w:t>
      </w:r>
      <w:proofErr w:type="gramEnd"/>
      <w:r w:rsidRPr="008226ED">
        <w:rPr>
          <w:rFonts w:ascii="Times New Roman" w:hAnsi="Times New Roman" w:cs="Times New Roman"/>
          <w:sz w:val="24"/>
          <w:szCs w:val="24"/>
        </w:rPr>
        <w:t xml:space="preserve"> 88 528 502,34 лв. За местното развитие по мярка 19 са отчетени 6 649 377,17 лв., а техническата помощ по мярка 20 – 7 662 190,35 лв. Таблиците „Оторизирани средства по </w:t>
      </w:r>
      <w:proofErr w:type="gramStart"/>
      <w:r w:rsidRPr="008226ED">
        <w:rPr>
          <w:rFonts w:ascii="Times New Roman" w:hAnsi="Times New Roman" w:cs="Times New Roman"/>
          <w:sz w:val="24"/>
          <w:szCs w:val="24"/>
        </w:rPr>
        <w:t>мерки“ и</w:t>
      </w:r>
      <w:proofErr w:type="gramEnd"/>
      <w:r w:rsidRPr="008226ED">
        <w:rPr>
          <w:rFonts w:ascii="Times New Roman" w:hAnsi="Times New Roman" w:cs="Times New Roman"/>
          <w:sz w:val="24"/>
          <w:szCs w:val="24"/>
        </w:rPr>
        <w:t xml:space="preserve"> „Изразходвани </w:t>
      </w:r>
      <w:proofErr w:type="gramStart"/>
      <w:r w:rsidRPr="008226ED">
        <w:rPr>
          <w:rFonts w:ascii="Times New Roman" w:hAnsi="Times New Roman" w:cs="Times New Roman"/>
          <w:sz w:val="24"/>
          <w:szCs w:val="24"/>
        </w:rPr>
        <w:t>суми“ в</w:t>
      </w:r>
      <w:proofErr w:type="gramEnd"/>
      <w:r w:rsidRPr="008226ED">
        <w:rPr>
          <w:rFonts w:ascii="Times New Roman" w:hAnsi="Times New Roman" w:cs="Times New Roman"/>
          <w:sz w:val="24"/>
          <w:szCs w:val="24"/>
        </w:rPr>
        <w:t xml:space="preserve"> годишния отчет на ДФЗ за 2017 г. дават и детайли по подмерки и съотношение ЕЗФРСР/национално съфинансиране. </w:t>
      </w:r>
    </w:p>
    <w:p w14:paraId="775F200C" w14:textId="35235764" w:rsidR="00410DD4" w:rsidRPr="008226ED" w:rsidRDefault="00410DD4" w:rsidP="00410DD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2018 е трета поред силна година на плащания, с отчетени изразходвани суми по ПРСР 2014–2020 в размер на 582 882 035,88 лв. общо, от които 466 778 841,75 лв. от ЕЗФРСР и 116 103 194,13 лв. национално съфинансиране. По мерки годишните суми са: мярка 4 „Инвестиции в материални активи“ – 168 204 924,16 лв.; мярка 6 „Развитие на стопанства и предприятия“ – 42 336 631,18 лв.; мярка 7 „Основни услуги и обновяване на селата“ – 56 621 398,69 лв.; мярка 8 „Гори“ – 201 755,14 лв.; мярка 9 „Групи и организации на производители“ – 248 259,42 лв.; мярка 10 „Агроекология и климат“ – 83 847 779,46 лв.; мярка 11 „Биологично земеделие“ – 66 023 984,31 лв.; мярка 12 „Натура 2000/Рамкова директива за водите“ – 44 589 790,38 лв.; мярка 13 „Райони с ограничения“ – 94 571 995,25 лв.; мярка 14 „Хуманно отношение към животните“ – 3 885 416,83 лв.; мярка 19 „ВОМР/ЛИДЕР“ – 8 058 164,55 лв.; мярка 20 „Техническа помощ“ – 10 028 296,12 лв.; мярка 2 „Консултантски услуги“ – 4 263 640,39 лв. Сумите са видими едновременно в обобщената таблица по мерки и в детайлизираната разбивка по подмерки и източник на финансиране за 2018 г. </w:t>
      </w:r>
    </w:p>
    <w:p w14:paraId="5E04A288" w14:textId="77777777" w:rsidR="00410DD4" w:rsidRPr="008226ED" w:rsidRDefault="00410DD4" w:rsidP="00410DD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 xml:space="preserve">За 2019 г. общо изразходваните средства по ПРСР са 844 340 088 лв., от които 681 918 727 лв. от ЕЗФРСР и 162 421 361 лв. национално съфинансиране. Оторизираните през годината плащания по мерки са 844 520 062,11 лв. Най-големи плащания са по мярка 7 „Основни услуги и обновяване на селата в селските </w:t>
      </w:r>
      <w:proofErr w:type="gramStart"/>
      <w:r w:rsidRPr="008226ED">
        <w:rPr>
          <w:rFonts w:ascii="Times New Roman" w:hAnsi="Times New Roman" w:cs="Times New Roman"/>
          <w:sz w:val="24"/>
          <w:szCs w:val="24"/>
        </w:rPr>
        <w:t>райони“ –</w:t>
      </w:r>
      <w:proofErr w:type="gramEnd"/>
      <w:r w:rsidRPr="008226ED">
        <w:rPr>
          <w:rFonts w:ascii="Times New Roman" w:hAnsi="Times New Roman" w:cs="Times New Roman"/>
          <w:sz w:val="24"/>
          <w:szCs w:val="24"/>
        </w:rPr>
        <w:t xml:space="preserve"> 277 981 002 лв. изразходвани (оторизирани 294 413 425,16 лв.), мярка 4 „Инвестиции в материални </w:t>
      </w:r>
      <w:proofErr w:type="gramStart"/>
      <w:r w:rsidRPr="008226ED">
        <w:rPr>
          <w:rFonts w:ascii="Times New Roman" w:hAnsi="Times New Roman" w:cs="Times New Roman"/>
          <w:sz w:val="24"/>
          <w:szCs w:val="24"/>
        </w:rPr>
        <w:t>активи“ –</w:t>
      </w:r>
      <w:proofErr w:type="gramEnd"/>
      <w:r w:rsidRPr="008226ED">
        <w:rPr>
          <w:rFonts w:ascii="Times New Roman" w:hAnsi="Times New Roman" w:cs="Times New Roman"/>
          <w:sz w:val="24"/>
          <w:szCs w:val="24"/>
        </w:rPr>
        <w:t xml:space="preserve"> 113 904 939 лв. изразходвани (оторизирани 162 633 226,82 лв.), мярка 13 „Плащания за райони с природни </w:t>
      </w:r>
      <w:proofErr w:type="gramStart"/>
      <w:r w:rsidRPr="008226ED">
        <w:rPr>
          <w:rFonts w:ascii="Times New Roman" w:hAnsi="Times New Roman" w:cs="Times New Roman"/>
          <w:sz w:val="24"/>
          <w:szCs w:val="24"/>
        </w:rPr>
        <w:t>ограничения“ –</w:t>
      </w:r>
      <w:proofErr w:type="gramEnd"/>
      <w:r w:rsidRPr="008226ED">
        <w:rPr>
          <w:rFonts w:ascii="Times New Roman" w:hAnsi="Times New Roman" w:cs="Times New Roman"/>
          <w:sz w:val="24"/>
          <w:szCs w:val="24"/>
        </w:rPr>
        <w:t xml:space="preserve"> 182 671 403 лв. изразходвани (оторизирани 182 698 673,86 лв.), мярка 12 „Натура </w:t>
      </w:r>
      <w:proofErr w:type="gramStart"/>
      <w:r w:rsidRPr="008226ED">
        <w:rPr>
          <w:rFonts w:ascii="Times New Roman" w:hAnsi="Times New Roman" w:cs="Times New Roman"/>
          <w:sz w:val="24"/>
          <w:szCs w:val="24"/>
        </w:rPr>
        <w:t>2000“ –</w:t>
      </w:r>
      <w:proofErr w:type="gramEnd"/>
      <w:r w:rsidRPr="008226ED">
        <w:rPr>
          <w:rFonts w:ascii="Times New Roman" w:hAnsi="Times New Roman" w:cs="Times New Roman"/>
          <w:sz w:val="24"/>
          <w:szCs w:val="24"/>
        </w:rPr>
        <w:t xml:space="preserve"> 45 767 637 лв. изразходвани (оторизирани 45 779 391,06 лв.), мярка 10 „Агроекология и </w:t>
      </w:r>
      <w:proofErr w:type="gramStart"/>
      <w:r w:rsidRPr="008226ED">
        <w:rPr>
          <w:rFonts w:ascii="Times New Roman" w:hAnsi="Times New Roman" w:cs="Times New Roman"/>
          <w:sz w:val="24"/>
          <w:szCs w:val="24"/>
        </w:rPr>
        <w:t>климат“ –</w:t>
      </w:r>
      <w:proofErr w:type="gramEnd"/>
      <w:r w:rsidRPr="008226ED">
        <w:rPr>
          <w:rFonts w:ascii="Times New Roman" w:hAnsi="Times New Roman" w:cs="Times New Roman"/>
          <w:sz w:val="24"/>
          <w:szCs w:val="24"/>
        </w:rPr>
        <w:t xml:space="preserve"> 59 020 361 лв. изразходвани (оторизирани 58 999 669,95 лв.), мярка 11 „Биологично </w:t>
      </w:r>
      <w:proofErr w:type="gramStart"/>
      <w:r w:rsidRPr="008226ED">
        <w:rPr>
          <w:rFonts w:ascii="Times New Roman" w:hAnsi="Times New Roman" w:cs="Times New Roman"/>
          <w:sz w:val="24"/>
          <w:szCs w:val="24"/>
        </w:rPr>
        <w:t>земеделие“ –</w:t>
      </w:r>
      <w:proofErr w:type="gramEnd"/>
      <w:r w:rsidRPr="008226ED">
        <w:rPr>
          <w:rFonts w:ascii="Times New Roman" w:hAnsi="Times New Roman" w:cs="Times New Roman"/>
          <w:sz w:val="24"/>
          <w:szCs w:val="24"/>
        </w:rPr>
        <w:t xml:space="preserve"> 44 003 140 лв. изразходвани (оторизирани 43 971 850,78 лв.), мярка 20 „Техническа </w:t>
      </w:r>
      <w:proofErr w:type="gramStart"/>
      <w:r w:rsidRPr="008226ED">
        <w:rPr>
          <w:rFonts w:ascii="Times New Roman" w:hAnsi="Times New Roman" w:cs="Times New Roman"/>
          <w:sz w:val="24"/>
          <w:szCs w:val="24"/>
        </w:rPr>
        <w:t>помощ“ –</w:t>
      </w:r>
      <w:proofErr w:type="gramEnd"/>
      <w:r w:rsidRPr="008226ED">
        <w:rPr>
          <w:rFonts w:ascii="Times New Roman" w:hAnsi="Times New Roman" w:cs="Times New Roman"/>
          <w:sz w:val="24"/>
          <w:szCs w:val="24"/>
        </w:rPr>
        <w:t xml:space="preserve"> 8 217 834 лв., и мярка 19 (ВОМР/LEADER) – общо 9 - 10 млн. лв. в рамките на подмерките 19.1 и 19.4. Цифрите по мерки и общите суми са посочени в табл. 2 (оторизации) и табл. 3 (изразходвани суми) на отчета за 2019 г. </w:t>
      </w:r>
    </w:p>
    <w:p w14:paraId="72DC18B0" w14:textId="77777777" w:rsidR="00410DD4" w:rsidRPr="008226ED" w:rsidRDefault="00410DD4" w:rsidP="00410DD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За 2020 г. общо изразходваните средства по ПРСР са 815 200 421 лв., от които 663 396 610 лв. от ЕЗФРСР и 151 803 811 лв. национално съфинансиране. Оторизираните през годината плащания по мерки са 815 785 957,01 лв. Най-големи са по мярка 7 – 286 916 639 лв. изразходвани (оторизирани 292 942 593,61 лв.), мярка 4 – 90 775 435 лв. изразходвани (оторизирани 163 669 044,83 лв.; включително подмерки 4.1 и 4.2), мярка 13 – 101 717 440 лв. изразходвани (оторизирани 100 902 230 лв.), мярка 12 – 45 658 186 лв. изразходвани (оторизирани 45 928 968 лв.), мярка 10 – 62 104 971 лв. изразходвани (оторизирани 62 190 853 лв.), мярка 11 – 42 176 363 лв. изразходвани (оторизирани 41 854 847 лв.), мярка 19 (ВОМР/LEADER) – 11 700 190 лв. изразходвани и оторизирани, мярка 20 „Техническа </w:t>
      </w:r>
      <w:proofErr w:type="gramStart"/>
      <w:r w:rsidRPr="008226ED">
        <w:rPr>
          <w:rFonts w:ascii="Times New Roman" w:hAnsi="Times New Roman" w:cs="Times New Roman"/>
          <w:sz w:val="24"/>
          <w:szCs w:val="24"/>
        </w:rPr>
        <w:t>помощ“ –</w:t>
      </w:r>
      <w:proofErr w:type="gramEnd"/>
      <w:r w:rsidRPr="008226ED">
        <w:rPr>
          <w:rFonts w:ascii="Times New Roman" w:hAnsi="Times New Roman" w:cs="Times New Roman"/>
          <w:sz w:val="24"/>
          <w:szCs w:val="24"/>
        </w:rPr>
        <w:t xml:space="preserve"> 9 848 344 лв., както и въведената през 2020 г. мярка 21 „COVID-</w:t>
      </w:r>
      <w:proofErr w:type="gramStart"/>
      <w:r w:rsidRPr="008226ED">
        <w:rPr>
          <w:rFonts w:ascii="Times New Roman" w:hAnsi="Times New Roman" w:cs="Times New Roman"/>
          <w:sz w:val="24"/>
          <w:szCs w:val="24"/>
        </w:rPr>
        <w:t>19“ с</w:t>
      </w:r>
      <w:proofErr w:type="gramEnd"/>
      <w:r w:rsidRPr="008226ED">
        <w:rPr>
          <w:rFonts w:ascii="Times New Roman" w:hAnsi="Times New Roman" w:cs="Times New Roman"/>
          <w:sz w:val="24"/>
          <w:szCs w:val="24"/>
        </w:rPr>
        <w:t xml:space="preserve"> 72 123 393 лв. оторизирани и 72 123 393 лв. изразходвани. Данните са в табл. 2 (оторизации) и табл. 3 (изразходвани суми) на отчета за 2020 г. </w:t>
      </w:r>
    </w:p>
    <w:p w14:paraId="3AEE67BB" w14:textId="77777777" w:rsidR="00AD3D7F" w:rsidRPr="008226ED" w:rsidRDefault="00AD3D7F" w:rsidP="00AD3D7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Данните показват отчетливо ускоряване на разходването след 2018 г., с два силни пика през 2019 г. и 2020 г. Сумите по мерките са силно концентрирани в инфраструктурните интервенции по мярка 7 и в компенсаторните плащания по мярка 13, като стабилен принос имат и площно базираните екологични ангажименти по мерки 10, 11 и 12. През 2018 г. общото изразходване е 582,9 млн. лв., от които 28,9% са по мярка 4, 16,2% по мярка 13, </w:t>
      </w:r>
      <w:r w:rsidRPr="008226ED">
        <w:rPr>
          <w:rFonts w:ascii="Times New Roman" w:hAnsi="Times New Roman" w:cs="Times New Roman"/>
          <w:sz w:val="24"/>
          <w:szCs w:val="24"/>
        </w:rPr>
        <w:lastRenderedPageBreak/>
        <w:t>14,4% по мярка 10, 11,3% по мярка 11 и 9,7% по мярка 7; останалите мерки имат по-малък относителен дял. През 2019 г. общата сума нараства до 844,3 млн. лв., водена от мярка 7 с 277,98 млн. лв. и мярка 13 със 182,67 млн. лв.; делът на мярка 7 достига около 32,9%, а на мярка 13 – 21,6%, докато мярка 4 свива относителния си дял до 13,5%. През 2020 г. общото изразходване е 815,2 млн. лв., като мярка 7 продължава да е доминираща с 286,92 млн. лв. и приблизително 35,2% дял, мярка 13 намалява до 101,72 млн. лв. и 12,5% дял, а извънредната мярка 21 „COVID-</w:t>
      </w:r>
      <w:proofErr w:type="gramStart"/>
      <w:r w:rsidRPr="008226ED">
        <w:rPr>
          <w:rFonts w:ascii="Times New Roman" w:hAnsi="Times New Roman" w:cs="Times New Roman"/>
          <w:sz w:val="24"/>
          <w:szCs w:val="24"/>
        </w:rPr>
        <w:t>19“ добавя</w:t>
      </w:r>
      <w:proofErr w:type="gramEnd"/>
      <w:r w:rsidRPr="008226ED">
        <w:rPr>
          <w:rFonts w:ascii="Times New Roman" w:hAnsi="Times New Roman" w:cs="Times New Roman"/>
          <w:sz w:val="24"/>
          <w:szCs w:val="24"/>
        </w:rPr>
        <w:t xml:space="preserve"> 72,12 млн. лв., или 8,9% от годишните разходи. Трите екологични мерки 10, 11 и 12 заедно формират приблизително 18,6% от изразходваното през 2019 г. и 20,4% през 2020 г., което подсигурява устойчив екологичен профил на плащанията през късния етап на периода.</w:t>
      </w:r>
    </w:p>
    <w:p w14:paraId="670E3AD0" w14:textId="77777777" w:rsidR="00AD3D7F" w:rsidRPr="008226ED" w:rsidRDefault="00AD3D7F" w:rsidP="00AD3D7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При инвестициите в земеделски стопанства и преработка се вижда типичен „</w:t>
      </w:r>
      <w:proofErr w:type="gramStart"/>
      <w:r w:rsidRPr="008226ED">
        <w:rPr>
          <w:rFonts w:ascii="Times New Roman" w:hAnsi="Times New Roman" w:cs="Times New Roman"/>
          <w:sz w:val="24"/>
          <w:szCs w:val="24"/>
        </w:rPr>
        <w:t>тръбопроводен“ ефект</w:t>
      </w:r>
      <w:proofErr w:type="gramEnd"/>
      <w:r w:rsidRPr="008226ED">
        <w:rPr>
          <w:rFonts w:ascii="Times New Roman" w:hAnsi="Times New Roman" w:cs="Times New Roman"/>
          <w:sz w:val="24"/>
          <w:szCs w:val="24"/>
        </w:rPr>
        <w:t>. Подмярка 4.1 достига пик на плащанията през 2018 г. със 122,77 млн. лв., след което намалява до 113,90 млн. лв. през 2019 г. и 90,78 млн. лв. през 2020 г., сигнализирайки, че голяма част от договорите от първите приеми са преминали към окончателни плащания и проектният пул се изчерпва. Подмярка 4.2 расте от 45,44 млн. лв. през 2018 г. през 48,73 млн. лв. през 2019 г. до 65,42 млн. лв. през 2020 г., което подсказва ускорено навлизане на проекти за преработка в етап на реални разходи и финализиране. Като цяло мярка 4 свива относителния си принос в годишните разходи от 28,9% през 2018 г. до 11,1% през 2020 г., но това по-скоро отразява завършване на цикъла по 4.1, отколкото системно изоставане.</w:t>
      </w:r>
    </w:p>
    <w:p w14:paraId="27F31B26" w14:textId="77777777" w:rsidR="00AD3D7F" w:rsidRPr="008226ED" w:rsidRDefault="00AD3D7F" w:rsidP="00AD3D7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Инфраструктурните интервенции под мярка 7, и по-специално подмярка 7.2, са двигателят на усвояването през 2019–2020 г. Подмярка 7.2 нараства от 43,83 млн. лв. през 2018 г. до 277,98 млн. лв. през 2019 г. и 286,92 млн. лв. през 2020 г., което е съвместимо с профила на големи общински проекти, при които по-късните години концентрират междинни и окончателни плащания. Подмярка 7.6 е по-колеблива – 12,79 млн. лв. през 2018 г., 16,43 млн. лв. през 2019 г. и 6,03 млн. лв. през 2020 г. – вероятно поради по-малки по мащаб обекти и чувствителност към процедурни срокове.</w:t>
      </w:r>
    </w:p>
    <w:p w14:paraId="346555A0" w14:textId="77777777" w:rsidR="00AD3D7F" w:rsidRPr="008226ED" w:rsidRDefault="00AD3D7F" w:rsidP="00AD3D7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Площните екологични мерки поддържат стабилен, предвидим ритъм. Мярка 10 се движи от 83,85 млн. лв. през 2018 г. до 59,02 млн. лв. през 2019 г. и 62,10 млн. лв. през 2020 г.; мярка 11 съответно 66,02 млн., 44,00 млн. и 42,18 млн. лв.; мярка 12 – 44,59 млн., 45,77 млн. и 45,66 млн. лв. Тази устойчивост е индикативна за зрели портфейли от ангажименти </w:t>
      </w:r>
      <w:r w:rsidRPr="008226ED">
        <w:rPr>
          <w:rFonts w:ascii="Times New Roman" w:hAnsi="Times New Roman" w:cs="Times New Roman"/>
          <w:sz w:val="24"/>
          <w:szCs w:val="24"/>
        </w:rPr>
        <w:lastRenderedPageBreak/>
        <w:t>и добър административен ритъм на кампаниите, като вариациите отразяват както изтичане/вход на ангажименти, така и насочващи корекции в обхвата и ставките.</w:t>
      </w:r>
    </w:p>
    <w:p w14:paraId="2E92A648" w14:textId="77777777" w:rsidR="00AD3D7F" w:rsidRPr="008226ED" w:rsidRDefault="00AD3D7F" w:rsidP="00AD3D7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Компенсаторните плащания за райони с ограничения по мярка 13 са силно циклични – 94,57 млн. лв. през 2018 г., рязък пик до 182,67 млн. лв. през 2019 г. и спад до 101,72 млн. лв. през 2020 г. Пикът през 2019 г. повишава общия дял на мярката до 21,6% от годишните разходи и вероятно е функция от календар на кампании, обхват на допустимост и административни темпове на обработка; спадът през 2020 г. редуцира натиска върху бюджета за следващите години.</w:t>
      </w:r>
    </w:p>
    <w:p w14:paraId="4B01D2C0" w14:textId="77777777" w:rsidR="00AD3D7F" w:rsidRPr="008226ED" w:rsidRDefault="00AD3D7F" w:rsidP="00AD3D7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ВОМР/ЛИДЕР остава с малък, но нарастващ финансов принос: от 8,06 млн. лв. през 2018 г. към приблизително 9–10 млн. лв. през 2019 г. и 11,70 млн. лв. през 2020 г. Ниската база е очаквана за инструмент със сложен цикъл на одобрение на стратегии и местни проекти, но нарастването подсказва навлизане в фаза на по-системни плащания. Техническата помощ под мярка 20 е стабилна между 7,15–10,03 млн. лв. годишно, което е в рамките на типичните 1–2% от общите годишни разходи и осигурява административния капацитет за управление и контрол. Въвеждането на мярка 21 „COVID-</w:t>
      </w:r>
      <w:proofErr w:type="gramStart"/>
      <w:r w:rsidRPr="008226ED">
        <w:rPr>
          <w:rFonts w:ascii="Times New Roman" w:hAnsi="Times New Roman" w:cs="Times New Roman"/>
          <w:sz w:val="24"/>
          <w:szCs w:val="24"/>
        </w:rPr>
        <w:t>19“ през</w:t>
      </w:r>
      <w:proofErr w:type="gramEnd"/>
      <w:r w:rsidRPr="008226ED">
        <w:rPr>
          <w:rFonts w:ascii="Times New Roman" w:hAnsi="Times New Roman" w:cs="Times New Roman"/>
          <w:sz w:val="24"/>
          <w:szCs w:val="24"/>
        </w:rPr>
        <w:t xml:space="preserve"> 2020 г. с 72,12 млн. лв. изиграва роля на антикризисна ликвидна подкрепа, еквивалентна на близо 8,9% от всички плащания за годината, и вероятно е смекчило временни финансови напрежения при бенефициентите.</w:t>
      </w:r>
    </w:p>
    <w:p w14:paraId="1FFEEB3D" w14:textId="77777777" w:rsidR="00AD3D7F" w:rsidRPr="008226ED" w:rsidRDefault="00AD3D7F" w:rsidP="00AD3D7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Ефективността, разглеждана като съотношение между разход и постигнат продукт/резултат, варира по типове интервенции. При площните мерки и мярка 13 профилът на разходите е предвидим и обвързан с ясно дефинирани единични ставки и проверяеми обхвати, което обичайно води до висока административна ефикасност и ниска цена на трансакциите на единица подпомогната площ или стопанство. При инвестиционните мерки 4.1 и 4.2 намаляващият общ дял в разходите не означава по-ниска ефективност; напротив, изтеглянето към 2018–2019 г. и поддържането на релативно висок обем по 4.2 през 2020 г. е консистентно с завършване на проектния цикъл и материализиране на продукти, като реалната ефективност се оценява спрямо продуктовите и резултатни индикатори за модернизация, капацитет и добавена стойност. При мярка 7 много високите разходи през 2019–2020 г. са добър индикатор за усвояемост и напредък по договорите; за да се твърди висока ефективност, трябва да се потвърди, че изградените обекти достигат целевите стойности за обслужено население, километри инфраструктура и </w:t>
      </w:r>
      <w:r w:rsidRPr="008226ED">
        <w:rPr>
          <w:rFonts w:ascii="Times New Roman" w:hAnsi="Times New Roman" w:cs="Times New Roman"/>
          <w:sz w:val="24"/>
          <w:szCs w:val="24"/>
        </w:rPr>
        <w:lastRenderedPageBreak/>
        <w:t>качествени подобрения на услугите, иначе съществува риск от висока цена на продукт при забавяне на въвеждане в експлоатация. Мярка 21 е ефективна по замисъл за краткосрочен ликвиден ефект и изпълнява целта си именно чрез бърз разплащателен профил; тук ефективността се оценява не толкова по класически продуктови показатели, колкото по стабилизиращия ефект върху доходите и продължаването на дейността.</w:t>
      </w:r>
    </w:p>
    <w:p w14:paraId="119354AF" w14:textId="77777777" w:rsidR="00AD3D7F" w:rsidRPr="008226ED" w:rsidRDefault="00AD3D7F" w:rsidP="00AD3D7F">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 обобщение профилът на разходите през 2018–2020 г. е консистентен със зрялост на портфейла: инвестициите по 4.1 постепенно се приключват, 4.2 се ускорява, инфраструктурата по 7.2 доминира усвояването в края на периода, а екологичните и компенсаторните схеми осигуряват стабилна основа на плащанията. Ефективността изглежда най-висока там, където има стандартизирани единични ставки и директен продукт на единица разход, и по-зависима от оперативното изпълнение при инфраструктурните и сложните инвестиционни проекти; окончателната преценка за стойност за пари следва да стъпи на съпоставка с продуктовите и резултатни индикатори за всяка мярка през същите години.</w:t>
      </w:r>
    </w:p>
    <w:p w14:paraId="6E39488B" w14:textId="77777777"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3.2. Основни резултати и въздействие върху селското стопанство и селските райони</w:t>
      </w:r>
    </w:p>
    <w:p w14:paraId="1FA275D6" w14:textId="77777777" w:rsidR="0059184E" w:rsidRPr="008226ED" w:rsidRDefault="0059184E" w:rsidP="0059184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До края на 2018 г. програмата показва отчетливи междинни резултати по приоритет 2, измерими чрез преизпълнение на индикатора за модернизация и навлизане на млади и малки стопанства. Междинната цел за броя на стопанствата с подкрепа е преизпълнена до 201%: 3 294 стопанства са получили плащания по 4.1, 6.1, 6.3 и втори плащания по „млад </w:t>
      </w:r>
      <w:proofErr w:type="gramStart"/>
      <w:r w:rsidRPr="008226ED">
        <w:rPr>
          <w:rFonts w:ascii="Times New Roman" w:hAnsi="Times New Roman" w:cs="Times New Roman"/>
          <w:sz w:val="24"/>
          <w:szCs w:val="24"/>
        </w:rPr>
        <w:t>фермер“ от</w:t>
      </w:r>
      <w:proofErr w:type="gramEnd"/>
      <w:r w:rsidRPr="008226ED">
        <w:rPr>
          <w:rFonts w:ascii="Times New Roman" w:hAnsi="Times New Roman" w:cs="Times New Roman"/>
          <w:sz w:val="24"/>
          <w:szCs w:val="24"/>
        </w:rPr>
        <w:t xml:space="preserve"> предходния период. Конкретизирани са и обеми по подцели: 1 132 стопанства с подкрепа по 4.1 в област 2А и 289 по 4.1 plus 1 323 по 6.1 в област 2В, а делът на стопанствата с бизнес план за млади фермери достига 73%. Тези резултати се реализират на фона на неблагоприятен секторен цикъл през 2018 г. с понижение на брутната добавена стойност в селското стопанство с 9,5% и на нетния доход по факторни разходи с 14,8%, което означава, че програмните ефекти действат срещу насрещен макроикономически вятър и не следва да се оценяват единствено чрез едногодишни агрегати (Евростарт 2008 ЕООД, 2019). </w:t>
      </w:r>
    </w:p>
    <w:p w14:paraId="3168E54F" w14:textId="77777777" w:rsidR="0059184E" w:rsidRPr="008226ED" w:rsidRDefault="0059184E" w:rsidP="0059184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По добавена стойност и преработка напредъкът е осезаем, но частичен към края на 2018 г. По 4.2 има 74 приключили проекта с плащане при междинна цел 90, а по финансовия индикатор са реализирани 37,0 млн. евро срещу междинна стойност 63,3 млн. евро, като </w:t>
      </w:r>
      <w:r w:rsidRPr="008226ED">
        <w:rPr>
          <w:rFonts w:ascii="Times New Roman" w:hAnsi="Times New Roman" w:cs="Times New Roman"/>
          <w:sz w:val="24"/>
          <w:szCs w:val="24"/>
        </w:rPr>
        <w:lastRenderedPageBreak/>
        <w:t xml:space="preserve">част от извършените през 2018 г. разходи са декларирани през 2019 г. Това потвърждава очаквания фазов лаг при инвестициите в преработка и маркетинг и подсказва, че приносът към конкурентоспособността и заетостта ще се материализира по-силно след 2018 г. при придвижване на проектния тръбопровод към окончателни плащания (Евростарт 2008 ЕООД, 2019). </w:t>
      </w:r>
    </w:p>
    <w:p w14:paraId="350238AB" w14:textId="77777777" w:rsidR="0059184E" w:rsidRPr="008226ED" w:rsidRDefault="0059184E" w:rsidP="0059184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Екологичните и климатични резултати са най-видими в приоритет 4, където междинният финансов показател е преизпълнен почти двойно, а площният индикатор за земеделска земя под договори по мерки 10, 11 и 12 достига 782 хил. ха при междинна цел 362 хил. ха. В приоритет 5 изпълнението е разнопосочно: индикаторът за площи под управление с цел намаляване на емисии и повишаване на ефективността е почти двойно изпълнен благодарение на ангажименти по мярка 10, но инвестиционните операции за енергийна ефективност и ВЕИ достигат едва 32% от междинната цел, което сигнализира за нужда от прецизиране на стимулите към технологичен преход (Евростарт 2008 ЕООД, 2019; Agrotec S.p.A., 2014).</w:t>
      </w:r>
    </w:p>
    <w:p w14:paraId="3144C0BA" w14:textId="77777777" w:rsidR="0059184E" w:rsidRPr="008226ED" w:rsidRDefault="0059184E" w:rsidP="0059184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В социално-териториален план към 2018 г. подходът ВОМР/ЛИДЕР демонстрира бързо териториално покритие: подписани са 64 споразумения за изпълнение на стратегии с общо финансиране 186,4 млн. евро, а индикаторът за население, обхванато от местни групи за действие, е изпълнен на 120% спрямо междинната цел. Паралелно инфраструктурните мерки 7.2 и 7.6 са още в ранна фаза на реални плащания при над 500 действащи договора за над 470 млн. евро, индикаторът за брой операции по мярка 7 е около 18% от междинната стойност, а финансовият индикатор на приоритет 6 е приблизително 7%, което означава, че въздействието върху основните услуги и качеството на живот ще се прояви в следващите години при въвеждане на обектите в експлоатация (Евростарт 2008 ЕООД, 2019). </w:t>
      </w:r>
    </w:p>
    <w:p w14:paraId="3526E22C" w14:textId="77777777" w:rsidR="0059184E" w:rsidRPr="008226ED" w:rsidRDefault="0059184E" w:rsidP="0059184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По приоритет 3 резултатите са смесени. Показателите за подкрепени стопанства за местни пазари и групи на производители изостават, с около 7,8% изпълнение на целта по мярка 9 към 31.12.2018 г., а мярка 16 не е стартирала, което ограничава краткосрочния ефект върху организацията на веригите и пазарното позициониране. Едновременно с това 4.2 напредва, макар и под междинните нива, а Управляващият орган отчита управление на риска, така че да не бъде застрашен резервът за изпълнение при условния праг от 75% по финансовия индикатор. Очакваното ускоряване на плащанията след 2018 г. предполага </w:t>
      </w:r>
      <w:r w:rsidRPr="008226ED">
        <w:rPr>
          <w:rFonts w:ascii="Times New Roman" w:hAnsi="Times New Roman" w:cs="Times New Roman"/>
          <w:sz w:val="24"/>
          <w:szCs w:val="24"/>
        </w:rPr>
        <w:lastRenderedPageBreak/>
        <w:t xml:space="preserve">усилване на ефектите върху добавената стойност и интеграцията във веригите (Евростарт 2008 ЕООД, 2019). </w:t>
      </w:r>
    </w:p>
    <w:p w14:paraId="5F3C33AA" w14:textId="77777777" w:rsidR="0059184E" w:rsidRPr="008226ED" w:rsidRDefault="0059184E" w:rsidP="0059184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Хоризонталните дейности по знания и консултации подпомагат ефективността на изпълнението. До края на 2018 г. 8 499 бенефициенти са консултирани по подмярка 2.1, което индиректно подкрепя качеството на проектите по инвестиционните и екологичните мерки и намалява транзакционните разходи чрез по-добра информираност. В същото време оценителите отбелязват липса на стартиране на мерки 1, 8 и 16 към 31.12.2018 г. и ограничена база за количествена оценка на иновационния принос, което означава, че тези ефекти са дефицирани към края на междинния период и предстои да се проявят по-късно (Евростарт 2008 ЕООД, 2019). </w:t>
      </w:r>
    </w:p>
    <w:p w14:paraId="6E4CC5BE" w14:textId="77C55CE4" w:rsidR="0059184E" w:rsidRPr="008226ED" w:rsidRDefault="00004488" w:rsidP="0059184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lang w:val="bg-BG"/>
        </w:rPr>
        <w:t xml:space="preserve">Като цяло, </w:t>
      </w:r>
      <w:r w:rsidR="0059184E" w:rsidRPr="008226ED">
        <w:rPr>
          <w:rFonts w:ascii="Times New Roman" w:hAnsi="Times New Roman" w:cs="Times New Roman"/>
          <w:sz w:val="24"/>
          <w:szCs w:val="24"/>
        </w:rPr>
        <w:t>основните резултати до 2018 г. са силна мобилизация на инвестиции и демографско обновяване на стопанствата, масивно въвеждане на природозащитни практики на големи площи, бързо нарастване на териториалното покритие на ВОМР и напредък по преработката с очакван лаг в ефектите. Въздействието върху доходи и добавена стойност е частично маскирано от неблагоприятния пазарен цикъл през 2018 г., но програмните индикатори показват работеща причинно-следствена верига там, където мерките са зрели и обектите навлизат във фази на плащания. Неизпълненията и рисковете са концентрирани в енергийната ефективност/ВЕИ и в ранния етап на инфраструктурните мерки, където въздействието е по-дефазирано и изисква адаптиране на стимулите и процедурите за ускоряване на резултатите (Евростарт 2008 ЕООД, 2019; Agrotec S.p.A., 2014).</w:t>
      </w:r>
    </w:p>
    <w:p w14:paraId="638D9DC5" w14:textId="26BE0910" w:rsidR="00004488" w:rsidRPr="008226ED" w:rsidRDefault="00004488" w:rsidP="00004488">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През 2019–2020 г. изпълнението на ПРСР 2014–2020 преминава във „висока </w:t>
      </w:r>
      <w:proofErr w:type="gramStart"/>
      <w:r w:rsidRPr="008226ED">
        <w:rPr>
          <w:rFonts w:ascii="Times New Roman" w:hAnsi="Times New Roman" w:cs="Times New Roman"/>
          <w:sz w:val="24"/>
          <w:szCs w:val="24"/>
        </w:rPr>
        <w:t>предавка“</w:t>
      </w:r>
      <w:proofErr w:type="gramEnd"/>
      <w:r w:rsidRPr="008226ED">
        <w:rPr>
          <w:rFonts w:ascii="Times New Roman" w:hAnsi="Times New Roman" w:cs="Times New Roman"/>
          <w:sz w:val="24"/>
          <w:szCs w:val="24"/>
        </w:rPr>
        <w:t>: годишните изразходвани средства достигат 844,34 млн. лв. през 2019 г. и 815,20 млн. лв. през 2020 г., като гръбнакът на усвояването са инфраструктурните инвестиции по мярка 7 и компенсаторните плащания по мярка 13. Само по мярка 7 са разплатени 277,98 млн. лв. през 2019 г. и 286,92 млн. лв. през 2020 г., докато по мярка 13 са разплатени съответно 182,67 млн. лв. и 101,72 млн. лв. Устойчив ритъм поддържат и площно базираните екологични ангажименти: по мярка 10 са изразходвани 59,02 млн. лв. през 2019 г. и 62,10 млн. лв. през 2020 г., по мярка 11 – 44,00 млн. лв. и 42,18 млн. лв., а по мярка 12 – 45,77 млн. лв. и 45,66 млн. лв. Инвестиционният пакет по мярка 4 се „</w:t>
      </w:r>
      <w:proofErr w:type="gramStart"/>
      <w:r w:rsidRPr="008226ED">
        <w:rPr>
          <w:rFonts w:ascii="Times New Roman" w:hAnsi="Times New Roman" w:cs="Times New Roman"/>
          <w:sz w:val="24"/>
          <w:szCs w:val="24"/>
        </w:rPr>
        <w:t>прибира“ по</w:t>
      </w:r>
      <w:proofErr w:type="gramEnd"/>
      <w:r w:rsidRPr="008226ED">
        <w:rPr>
          <w:rFonts w:ascii="Times New Roman" w:hAnsi="Times New Roman" w:cs="Times New Roman"/>
          <w:sz w:val="24"/>
          <w:szCs w:val="24"/>
        </w:rPr>
        <w:t xml:space="preserve"> естеството на проектния цикъл: 113,90 млн. лв. през 2019 г. и 90,78 млн. лв. през 2020 г., </w:t>
      </w:r>
      <w:r w:rsidRPr="008226ED">
        <w:rPr>
          <w:rFonts w:ascii="Times New Roman" w:hAnsi="Times New Roman" w:cs="Times New Roman"/>
          <w:sz w:val="24"/>
          <w:szCs w:val="24"/>
        </w:rPr>
        <w:lastRenderedPageBreak/>
        <w:t>като подмярка 4.2 продължава да ускорява профила си и достига 65,42 млн. лв. през 2020 г.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2020a;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xml:space="preserve">, 2020b). </w:t>
      </w:r>
    </w:p>
    <w:p w14:paraId="4AEA699B" w14:textId="1CA2324D" w:rsidR="00004488" w:rsidRPr="008226ED" w:rsidRDefault="00004488" w:rsidP="00004488">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Въздействието върху инфраструктурата и качеството на живот в селските райони се проявява именно през този двугодишен прозорец. Концентрацията на междинни и окончателни плащания по 7.2 обяснява рязкото изтегляне на публичния разход в общинските проекти през 2019–2020 г., което е типично за големи строителни интервенции с дълги срокове и каскадно фактуриране. Ефектът върху достъпността на услуги и базовата инфраструктура се материализира с въвеждането на обектите в експлоатация именно в тези години и изпреварващо повлиява индикаторите за обслужено население, километри обновена инфраструктура и културно-природно наследство, макар последният компонент да остава по-колеблив по 7.6 с 12,79 млн. лв. през 2018 г., 16,43 млн. лв. през 2019 г. и 6,03 млн. лв. през 2020 г.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2020a;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xml:space="preserve">, 2020b). </w:t>
      </w:r>
    </w:p>
    <w:p w14:paraId="1DE22D63" w14:textId="039A8CE4" w:rsidR="00004488" w:rsidRPr="008226ED" w:rsidRDefault="00004488" w:rsidP="00004488">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В аграрната икономика общият тон е на стабилизация при външни шокове. Пандемичната 2020 г. носи оперативни рискове в снабдяване, пазари и ликвидност, но селското стопанство като сектор остава относително устойчиво в националната макрорамка, а изпълнението на ПРСР добавя предвидим паричен поток през площни плащания и договорирани инвестиции. В този контекст извънредната мярка 21 „COVID-</w:t>
      </w:r>
      <w:proofErr w:type="gramStart"/>
      <w:r w:rsidRPr="008226ED">
        <w:rPr>
          <w:rFonts w:ascii="Times New Roman" w:hAnsi="Times New Roman" w:cs="Times New Roman"/>
          <w:sz w:val="24"/>
          <w:szCs w:val="24"/>
        </w:rPr>
        <w:t>19“ изпълнява</w:t>
      </w:r>
      <w:proofErr w:type="gramEnd"/>
      <w:r w:rsidRPr="008226ED">
        <w:rPr>
          <w:rFonts w:ascii="Times New Roman" w:hAnsi="Times New Roman" w:cs="Times New Roman"/>
          <w:sz w:val="24"/>
          <w:szCs w:val="24"/>
        </w:rPr>
        <w:t xml:space="preserve"> ясно дефинирана антикризисна функция с 72,12 млн. лв. разплатени средства през 2020 г., насочени към бързо смекчаване на ликвидния натиск в първичното производство и преработката; нейният ефект се оценява чрез стабилизиране на доходите и непрекъснатост на дейността, а не чрез класически „</w:t>
      </w:r>
      <w:proofErr w:type="gramStart"/>
      <w:r w:rsidRPr="008226ED">
        <w:rPr>
          <w:rFonts w:ascii="Times New Roman" w:hAnsi="Times New Roman" w:cs="Times New Roman"/>
          <w:sz w:val="24"/>
          <w:szCs w:val="24"/>
        </w:rPr>
        <w:t>инфраструктурни“ продукти</w:t>
      </w:r>
      <w:proofErr w:type="gramEnd"/>
      <w:r w:rsidRPr="008226ED">
        <w:rPr>
          <w:rFonts w:ascii="Times New Roman" w:hAnsi="Times New Roman" w:cs="Times New Roman"/>
          <w:sz w:val="24"/>
          <w:szCs w:val="24"/>
        </w:rPr>
        <w:t xml:space="preserve">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xml:space="preserve">, 2020b; Сметна палата на Република България, 2022; МЗХГ, 2020). </w:t>
      </w:r>
    </w:p>
    <w:p w14:paraId="08F3ECC9" w14:textId="1F841ED5" w:rsidR="00004488" w:rsidRPr="008226ED" w:rsidRDefault="00004488" w:rsidP="00004488">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Резултатите по веригите на стойност и модернизацията на предприятията се проявяват с логичен лаг, но посоката е положителна. Нарастването на плащанията по 4.2 през 2020 г. е индикативно за навлизане на проекти за преработка в етап на реални разходи и придобиване на активи, което подкрепя добавената стойност и работните места в селскостопанско-хранителния комплекс. Успоредно с това 4.1 постепенно „</w:t>
      </w:r>
      <w:proofErr w:type="gramStart"/>
      <w:r w:rsidRPr="008226ED">
        <w:rPr>
          <w:rFonts w:ascii="Times New Roman" w:hAnsi="Times New Roman" w:cs="Times New Roman"/>
          <w:sz w:val="24"/>
          <w:szCs w:val="24"/>
        </w:rPr>
        <w:t>затваря“ първата</w:t>
      </w:r>
      <w:proofErr w:type="gramEnd"/>
      <w:r w:rsidRPr="008226ED">
        <w:rPr>
          <w:rFonts w:ascii="Times New Roman" w:hAnsi="Times New Roman" w:cs="Times New Roman"/>
          <w:sz w:val="24"/>
          <w:szCs w:val="24"/>
        </w:rPr>
        <w:t xml:space="preserve"> вълна от договори, което намалява годишния ѝ финансов отпечатък, но увеличава вероятността за отчетими продукти и резултати по индикаторите за капацитет, производителност и технологично обновяване при бенефициентите, наблюдавани в </w:t>
      </w:r>
      <w:r w:rsidRPr="008226ED">
        <w:rPr>
          <w:rFonts w:ascii="Times New Roman" w:hAnsi="Times New Roman" w:cs="Times New Roman"/>
          <w:sz w:val="24"/>
          <w:szCs w:val="24"/>
        </w:rPr>
        <w:lastRenderedPageBreak/>
        <w:t>годишните доклади на Разплащателната агенция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2020a;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xml:space="preserve">, 2020b). </w:t>
      </w:r>
    </w:p>
    <w:p w14:paraId="10CF88E1" w14:textId="5A11C1B9" w:rsidR="00004488" w:rsidRPr="008226ED" w:rsidRDefault="00004488" w:rsidP="00004488">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Екологичният профил на изпълнението остава равномерен и предвидим, благодарение на мерките 10, 11 и 12, които осигуряват ежегодно покритие на практики за опазване на почви, биоразнообразие и водни ресурси върху значими площи, и така „закотвят“ устойчивостта на селскостопанската дейност през кризисната 2020 г. В комбинация с компенсаторните плащания по мярка 13 този поток стабилизира доходите в чувствителни територии и намалява междугодишната волатилност на бенефициентите, което е особено важно при смущения във външната среда (ДФ „Земеделие“, 2020a; ДФ „Земеделие“, 2020b; МЗХГ, 2020). </w:t>
      </w:r>
    </w:p>
    <w:p w14:paraId="04C2D983" w14:textId="29AD974F" w:rsidR="00004488" w:rsidRPr="008226ED" w:rsidRDefault="00004488" w:rsidP="00004488">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В обобщение 2019–2020 г. донасят съчетание от високо финансово изпълнение, материализирани инфраструктурни ефекти и целенасочено антикризисно действие. Усвояването по мярка 7 трансформира инвестиции в конкретни обекти и услуги; екологичните и компенсаторните схеми поддържат устойчивост и предсказуемост на доходите и практиките; а инвестициите по мярка 4, особено 4.2, конвертират договорирания ресурс в активи и капацитет, които изтеглят конкурентоспособността напред. Пандемичната мярка 21 добавя бърз, таргетиран ефект върху ликвидността, който подпомага запазването на производството и заетостта при минимални закъснения в плащането, което се вижда в разходния профил на 2020 г. и в одитните констатации за антикризисните инструменти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2020a;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xml:space="preserve">, 2020b; Сметна палата на Република България, 2022). </w:t>
      </w:r>
    </w:p>
    <w:p w14:paraId="26A0F941" w14:textId="77777777" w:rsidR="006C1F23" w:rsidRPr="008226ED" w:rsidRDefault="006C1F23" w:rsidP="006C1F23">
      <w:pPr>
        <w:spacing w:line="360" w:lineRule="auto"/>
        <w:ind w:firstLine="720"/>
        <w:jc w:val="both"/>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t>3.3. Сравнение с други държави и изведени добри практики</w:t>
      </w:r>
    </w:p>
    <w:p w14:paraId="31B5D531" w14:textId="66C5E6A7" w:rsidR="006D0E13" w:rsidRPr="008226ED" w:rsidRDefault="006D0E13" w:rsidP="006D0E1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Съпоставката на ПРСР 2014–2020 в България с практиките в други държави членки очертава няколко устойчиви модела, от които могат да се извлекат приложими уроци. При агроекологичните схеми Австрия поддържа дългогодишната програма ÖPUL с ясна логика на интервенциите и последователна оценъчна култура: още в Годишния доклад за изпълнение 2019 националната придружаваща оценка анализира ефектите по биоразнообразие, вода, почви, климат и хуманно отношение към животните, използвайки стабилни масиви за мониторинг и устойчиви методи за атрибуция. Добрата практика, която си струва да се пренесе, е „оценъчна </w:t>
      </w:r>
      <w:proofErr w:type="gramStart"/>
      <w:r w:rsidRPr="008226ED">
        <w:rPr>
          <w:rFonts w:ascii="Times New Roman" w:hAnsi="Times New Roman" w:cs="Times New Roman"/>
          <w:sz w:val="24"/>
          <w:szCs w:val="24"/>
        </w:rPr>
        <w:t>инфраструктура“</w:t>
      </w:r>
      <w:proofErr w:type="gramEnd"/>
      <w:r w:rsidRPr="008226ED">
        <w:rPr>
          <w:rFonts w:ascii="Times New Roman" w:hAnsi="Times New Roman" w:cs="Times New Roman"/>
          <w:sz w:val="24"/>
          <w:szCs w:val="24"/>
        </w:rPr>
        <w:t xml:space="preserve">: стандартизирани индикатори, </w:t>
      </w:r>
      <w:r w:rsidRPr="008226ED">
        <w:rPr>
          <w:rFonts w:ascii="Times New Roman" w:hAnsi="Times New Roman" w:cs="Times New Roman"/>
          <w:sz w:val="24"/>
          <w:szCs w:val="24"/>
        </w:rPr>
        <w:lastRenderedPageBreak/>
        <w:t xml:space="preserve">редовни контрафактически проверки и публични синтези, които правят причинно-следствените връзки видими отвъд площите под договори (EU CAP Network, 2021). </w:t>
      </w:r>
    </w:p>
    <w:p w14:paraId="72B11C3E"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Австрийската програма ÖPUL е изградена като всеобхватен пакет от агроекологични ангажименти, който покрива цялата верига от дефиниране на практики до измерване на ефекти. Логиката на интервенциите се структурира около ясно артикувани цели по тематични направления – биоразнообразие, вода, почви, климат и хуманно отношение към животните – като за всяка цел има дефинирани практики на стопанско ниво, допустими изисквания, единични ставки и контролни процедури. От самото програмиране са заложени проследими връзки между входове, продукти и резултати: от брой и дял участващи стопанства и площи под ангажименти, през промени в управленските практики и покривност на елементи от ландшафта, до агрегирани индикатори за състояние на екосистемите и емисии на парникови газове. Така ежегодният мониторинг директно захранва оценяването, а оценяването се връща към настройката на мерките и ставките (EU CAP Network, 2021).</w:t>
      </w:r>
    </w:p>
    <w:p w14:paraId="0F955E74"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Оценъчната инфраструктура стъпва на стабилни административни и научни източници, които са технологично и методически интегрирани. На административно ниво се използват регистрите IACS/LPIS за геореференциране на парцелите и верификация на допустимостта, допълнени от данни за стопанствата и финансови потоци; това позволява прецизно измерване на обхват, интензитет на участието и продължителност на ангажиментите във времето. Към тях се прикачват национални масиви за наблюдение на биоразнообразието, почвен мониторинг с периодични пробонабирания и индикатори за натиск върху водите, както и извадки от счетоводни данни на стопанствата. Интеграцията е уредена чрез стандартизирани идентификатори и протоколи за качество на данните, което минимизира липси и грешки при свързване на слоевете и подготвя почвата за надграждане с аналитични модели в оценката (EU CAP Network, 2021).</w:t>
      </w:r>
    </w:p>
    <w:p w14:paraId="70553937"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Контрафактическата проверка е заложена като стандарт, а не като еднократен „</w:t>
      </w:r>
      <w:proofErr w:type="gramStart"/>
      <w:r w:rsidRPr="008226ED">
        <w:rPr>
          <w:rFonts w:ascii="Times New Roman" w:hAnsi="Times New Roman" w:cs="Times New Roman"/>
          <w:sz w:val="24"/>
          <w:szCs w:val="24"/>
        </w:rPr>
        <w:t>проект“</w:t>
      </w:r>
      <w:proofErr w:type="gramEnd"/>
      <w:r w:rsidRPr="008226ED">
        <w:rPr>
          <w:rFonts w:ascii="Times New Roman" w:hAnsi="Times New Roman" w:cs="Times New Roman"/>
          <w:sz w:val="24"/>
          <w:szCs w:val="24"/>
        </w:rPr>
        <w:t xml:space="preserve">. Оценителите прилагат съпоставяне на участници и неучастници по ключови характеристики на стопанствата и терена, анализ на разлики-в-разликите за панели от стопанства през години, регресии с фиксирани ефекти и пространствени контролни променливи при индикатори, чувствителни към ландшафтен контекст. При екологични резултати, където директното причиняване е трудно, се използват утвърдени прокси и </w:t>
      </w:r>
      <w:r w:rsidRPr="008226ED">
        <w:rPr>
          <w:rFonts w:ascii="Times New Roman" w:hAnsi="Times New Roman" w:cs="Times New Roman"/>
          <w:sz w:val="24"/>
          <w:szCs w:val="24"/>
        </w:rPr>
        <w:lastRenderedPageBreak/>
        <w:t>модели на пренос, например промени в индексите на растително биоразнообразие, в риска от ерозия или в азотния баланс, като се валидират срещу независими проби и теренни обследвания. Резултатите се представят с доверителни интервали и тестове за чувствителност към алтернативни спецификации, за да се гарантира, че заключенията са устойчиви на допусканията на модела (EU CAP Network, 2021).</w:t>
      </w:r>
    </w:p>
    <w:p w14:paraId="1080F236"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Публичността и повторяемостта на оценяването са част от дизайна. Ежегодно, заедно с доклада за изпълнение, се публикуват синтези с табла и методически приложения: дефиниции и формули на индикаторите, източници и периодичност, правила за третиране на липсващи данни, както и описание на използваните контрафактически техники. Това позволява на заинтересованите страни да проследят как участието в конкретни схеми – като късно косене на ливади, поддържане на елементи от зелената инфраструктура или намалена употреба на торове – се превежда в измерими промени в състоянието на екосистемите и натиска върху климата. На тази база се правят корекции на таргетите, ставките и допустимите изисквания за следващия цикъл, което затваря цикъла „данни – анализ – </w:t>
      </w:r>
      <w:proofErr w:type="gramStart"/>
      <w:r w:rsidRPr="008226ED">
        <w:rPr>
          <w:rFonts w:ascii="Times New Roman" w:hAnsi="Times New Roman" w:cs="Times New Roman"/>
          <w:sz w:val="24"/>
          <w:szCs w:val="24"/>
        </w:rPr>
        <w:t>действие“ и</w:t>
      </w:r>
      <w:proofErr w:type="gramEnd"/>
      <w:r w:rsidRPr="008226ED">
        <w:rPr>
          <w:rFonts w:ascii="Times New Roman" w:hAnsi="Times New Roman" w:cs="Times New Roman"/>
          <w:sz w:val="24"/>
          <w:szCs w:val="24"/>
        </w:rPr>
        <w:t xml:space="preserve"> поддържа висока управленска употребяемост на оценката (EU CAP Network, 2021).</w:t>
      </w:r>
    </w:p>
    <w:p w14:paraId="27C07E43" w14:textId="40E0EF0C" w:rsidR="006D0E13" w:rsidRPr="008226ED" w:rsidRDefault="0062220E" w:rsidP="006D0E1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 xml:space="preserve">Друга добра практика, която може да се посочи е от </w:t>
      </w:r>
      <w:r w:rsidR="006D0E13" w:rsidRPr="008226ED">
        <w:rPr>
          <w:rFonts w:ascii="Times New Roman" w:hAnsi="Times New Roman" w:cs="Times New Roman"/>
          <w:sz w:val="24"/>
          <w:szCs w:val="24"/>
        </w:rPr>
        <w:t>Ирландия</w:t>
      </w:r>
      <w:r w:rsidRPr="008226ED">
        <w:rPr>
          <w:rFonts w:ascii="Times New Roman" w:hAnsi="Times New Roman" w:cs="Times New Roman"/>
          <w:sz w:val="24"/>
          <w:szCs w:val="24"/>
          <w:lang w:val="bg-BG"/>
        </w:rPr>
        <w:t>, която</w:t>
      </w:r>
      <w:r w:rsidR="006D0E13" w:rsidRPr="008226ED">
        <w:rPr>
          <w:rFonts w:ascii="Times New Roman" w:hAnsi="Times New Roman" w:cs="Times New Roman"/>
          <w:sz w:val="24"/>
          <w:szCs w:val="24"/>
        </w:rPr>
        <w:t xml:space="preserve"> структурира тригодишните Knowledge Transfer Groups като комбинира групово обучение, индивидуални планове за стопанствата и прозрачни плащания по опростени разходи. Програмата приключва третата си година през юли 2019 г., а публичните факти посочват около 25 000 участващи фермери, обхванати в тематични групи с равномерно териториално покритие. Тук добрата практика е оперативната яснота: ясен дизайн, отчетна простота, плътна връзка между посещенията, консултациите и измерими промени в поведението—модел, който би подсилил ефективността на българските мерки 1 и 2 (Department of Agriculture, Food and the Marine, 2019; European Commission, 2025). </w:t>
      </w:r>
    </w:p>
    <w:p w14:paraId="1AE732D1"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Ирландските Knowledge Transfer Groups са конструирани като трогодишен, цикличен механизъм за промяна на поведението в стопанствата, който съчетава колективно учене с индивидуално планиране и ясни правила за отчитане. В основата са тематични групи по подсектори като млечно и месодайно говедовъдство, овцевъдство, полски култури и други, като всяка група се води от акредитиран консултант и следва годишен график от регулярни срещи, допълнен от минимум едно посещение във всяко стопанство. На тези </w:t>
      </w:r>
      <w:r w:rsidRPr="008226ED">
        <w:rPr>
          <w:rFonts w:ascii="Times New Roman" w:hAnsi="Times New Roman" w:cs="Times New Roman"/>
          <w:sz w:val="24"/>
          <w:szCs w:val="24"/>
        </w:rPr>
        <w:lastRenderedPageBreak/>
        <w:t>срещи се разглеждат конкретни технологични и управленски теми, а посещенията на място се използват за диагностика и за актуализиране на индивидуалните планове на стопанствата, така че колективното знание да се превежда в конкретни решения на ниво ферма (Department of Agriculture, Food and the Marine, 2019; European Commission, 2025).</w:t>
      </w:r>
    </w:p>
    <w:p w14:paraId="32954B20"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Административният дизайн е целенасочено опростен, за да минимизира транзакционните разходи и да насърчи участие в цялата страна. Отчитането стъпва на стандартизирани шаблони за присъствие, дневници на срещи и кратки формуляри за напредък по ключови практики, като плащането към участниците е по опростени разходи при изпълнение на ясно изброени дейности и минимален брой участия. Консултантите подават консолидирани отчети през централизирана система, където се проверяват базови изисквания като проведени посещения, попълнени индивидуални планове и изпълнени обучителни модули. Тази отчетна простота е съчетана с достатъчна „</w:t>
      </w:r>
      <w:proofErr w:type="gramStart"/>
      <w:r w:rsidRPr="008226ED">
        <w:rPr>
          <w:rFonts w:ascii="Times New Roman" w:hAnsi="Times New Roman" w:cs="Times New Roman"/>
          <w:sz w:val="24"/>
          <w:szCs w:val="24"/>
        </w:rPr>
        <w:t>следа“ от</w:t>
      </w:r>
      <w:proofErr w:type="gramEnd"/>
      <w:r w:rsidRPr="008226ED">
        <w:rPr>
          <w:rFonts w:ascii="Times New Roman" w:hAnsi="Times New Roman" w:cs="Times New Roman"/>
          <w:sz w:val="24"/>
          <w:szCs w:val="24"/>
        </w:rPr>
        <w:t xml:space="preserve"> данни, за да се проследят промените във времето на равнище стопанство и група, включително приемане на добри практики, показатели за здравен статус на стадата или агрономични решения, когато това е релевантно за тематиката (Department of Agriculture, Food and the Marine, 2019; European Commission, 2025).</w:t>
      </w:r>
    </w:p>
    <w:p w14:paraId="246FE43E"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Съдържателно програмата работи с ядрото на управленските решения в стопанството: хранене и продуктивност, здраве и биосигурност, фертилитет, качество на фуражите, управление на пасищата и почвите, финансово планиране и устойчивост. Индивидуалният план на стопанството служи като „</w:t>
      </w:r>
      <w:proofErr w:type="gramStart"/>
      <w:r w:rsidRPr="008226ED">
        <w:rPr>
          <w:rFonts w:ascii="Times New Roman" w:hAnsi="Times New Roman" w:cs="Times New Roman"/>
          <w:sz w:val="24"/>
          <w:szCs w:val="24"/>
        </w:rPr>
        <w:t>гръбнак“ за</w:t>
      </w:r>
      <w:proofErr w:type="gramEnd"/>
      <w:r w:rsidRPr="008226ED">
        <w:rPr>
          <w:rFonts w:ascii="Times New Roman" w:hAnsi="Times New Roman" w:cs="Times New Roman"/>
          <w:sz w:val="24"/>
          <w:szCs w:val="24"/>
        </w:rPr>
        <w:t xml:space="preserve"> персонализация: след първоначална диагностика се залагат конкретни малки, измерими промени — например промяна в режима на торене, въвеждане на ротация на пасищата, оптимизация на дажбите или внедряване на записи за производството — които се проследяват на следващите срещи. Именно това свързване на груповото съдържание с индивидуални задачи прави възможно отчетен напредък при голям брой участници в рамките на тригодишен цикъл и обяснява широкия обхват от приблизително 25 000 фермери до юли 2019 г. (Department of Agriculture, Food and the Marine, 2019; European Commission, 2025).</w:t>
      </w:r>
    </w:p>
    <w:p w14:paraId="7393DB4A"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Ефектът върху поведенческата промяна се усилва от редовността и предсказуемостта на цикъла „среща — домашна задача — посещение — обратна </w:t>
      </w:r>
      <w:proofErr w:type="gramStart"/>
      <w:r w:rsidRPr="008226ED">
        <w:rPr>
          <w:rFonts w:ascii="Times New Roman" w:hAnsi="Times New Roman" w:cs="Times New Roman"/>
          <w:sz w:val="24"/>
          <w:szCs w:val="24"/>
        </w:rPr>
        <w:t>връзка“</w:t>
      </w:r>
      <w:proofErr w:type="gramEnd"/>
      <w:r w:rsidRPr="008226ED">
        <w:rPr>
          <w:rFonts w:ascii="Times New Roman" w:hAnsi="Times New Roman" w:cs="Times New Roman"/>
          <w:sz w:val="24"/>
          <w:szCs w:val="24"/>
        </w:rPr>
        <w:t xml:space="preserve">, както и от териториалното покритие, което позволява на групите да функционират близо до фермите и да адресират локални агроекологични и пазарни условия. Включването на </w:t>
      </w:r>
      <w:r w:rsidRPr="008226ED">
        <w:rPr>
          <w:rFonts w:ascii="Times New Roman" w:hAnsi="Times New Roman" w:cs="Times New Roman"/>
          <w:sz w:val="24"/>
          <w:szCs w:val="24"/>
        </w:rPr>
        <w:lastRenderedPageBreak/>
        <w:t>опростени разходи намалява административния риск и ускорява плащанията, а стандартизираните формуляри и годишните синтези улесняват оценяването на резултатите на равнище програма. Тази комбинация от ясна логика, отчетна простота и силна връзка между обучение и действие е причината моделът да се посочва като добра практика, приложима и в българските мерки за знания и консултации — с потенциал да повиши ефективността на разхода чрез по-добра усвояемост на съдържанието и по-висока степен на реално прилагане в стопанствата (Department of Agriculture, Food and the Marine, 2019; European Commission, 2025).</w:t>
      </w:r>
    </w:p>
    <w:p w14:paraId="1EB8926E" w14:textId="27292F5E" w:rsidR="006D0E13" w:rsidRPr="008226ED" w:rsidRDefault="006D0E13" w:rsidP="006D0E1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В иновациите Европейското партньорство за иновации (ЕПИ-АГРИ) показва, че ранното и масово създаване на Оперативни групи, плюс публична „</w:t>
      </w:r>
      <w:proofErr w:type="gramStart"/>
      <w:r w:rsidRPr="008226ED">
        <w:rPr>
          <w:rFonts w:ascii="Times New Roman" w:hAnsi="Times New Roman" w:cs="Times New Roman"/>
          <w:sz w:val="24"/>
          <w:szCs w:val="24"/>
        </w:rPr>
        <w:t>витрина“ на</w:t>
      </w:r>
      <w:proofErr w:type="gramEnd"/>
      <w:r w:rsidRPr="008226ED">
        <w:rPr>
          <w:rFonts w:ascii="Times New Roman" w:hAnsi="Times New Roman" w:cs="Times New Roman"/>
          <w:sz w:val="24"/>
          <w:szCs w:val="24"/>
        </w:rPr>
        <w:t xml:space="preserve"> проектите, ускорява разпространението на решения и прави видими ефектите. Добрата практика за заимстване е публичен регистър с еднакви описания и базов набор от индикатори за приемане и дифузия, така че приносът към производителността и устойчивостта да може да се доказва последователно (EIP-AGRI, 2016/2019). </w:t>
      </w:r>
    </w:p>
    <w:p w14:paraId="29D64161" w14:textId="2AC7EDCC" w:rsidR="006D0E13" w:rsidRPr="008226ED" w:rsidRDefault="006D0E13" w:rsidP="006D0E1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LEADER/ВОМР е област, в която европейските уроци са особено конкретни. Към края на 2018 г. в ЕС работят приблизително 2 800 местни инициативни групи с покритие на 61% от селското население. Държавите с най-стабилен напредък одобряват ранно стратегиите, поддържат централизирани помощни звена и ползват опростени разходи за малките проекти, което съкращава времето до плащане и намалява разминаването между договориране и реализация. За България това се превежда като „едно </w:t>
      </w:r>
      <w:proofErr w:type="gramStart"/>
      <w:r w:rsidRPr="008226ED">
        <w:rPr>
          <w:rFonts w:ascii="Times New Roman" w:hAnsi="Times New Roman" w:cs="Times New Roman"/>
          <w:sz w:val="24"/>
          <w:szCs w:val="24"/>
        </w:rPr>
        <w:t>гише“ за</w:t>
      </w:r>
      <w:proofErr w:type="gramEnd"/>
      <w:r w:rsidRPr="008226ED">
        <w:rPr>
          <w:rFonts w:ascii="Times New Roman" w:hAnsi="Times New Roman" w:cs="Times New Roman"/>
          <w:sz w:val="24"/>
          <w:szCs w:val="24"/>
        </w:rPr>
        <w:t xml:space="preserve"> ЛИГ, широко приложение на опростени разходи и ясно разграничени процедури при многофондово прилагане (ENRD/ЕU CAP Network, 2021). </w:t>
      </w:r>
    </w:p>
    <w:p w14:paraId="1B9701A7" w14:textId="6BD75D78" w:rsidR="006D0E13" w:rsidRPr="008226ED" w:rsidRDefault="006D0E13" w:rsidP="006D0E1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При инвестициите в напояване и ресурсна ефективност Португалия комбинира национални програми за модернизация на напоителните системи с външно финансиране: Европейската инвестиционна банка и Съветът на Европа Банка предоставят общо 280 млн. евро за разширяване и обновяване на напоителна инфраструктура, което се синхронизира с мерките на ПРСР. Добрата практика е двустепенното планиране—визия на ниво система и инструменти на ниво стопанство (мониторинг на водоползване, сензори, дистанционно наблюдение)—така че икономиите на вода и устойчивостта към суши да са доказуеми и аудитируеми (EIB, 2018; CEB, 2018). </w:t>
      </w:r>
    </w:p>
    <w:p w14:paraId="40569952"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 xml:space="preserve">Португалският модел стъпва на ясно разграничени два пласта на планиране и управление, които се зацепват един в друг. На равнище система националната програма за модернизация дефинира „какво, къде и </w:t>
      </w:r>
      <w:proofErr w:type="gramStart"/>
      <w:r w:rsidRPr="008226ED">
        <w:rPr>
          <w:rFonts w:ascii="Times New Roman" w:hAnsi="Times New Roman" w:cs="Times New Roman"/>
          <w:sz w:val="24"/>
          <w:szCs w:val="24"/>
        </w:rPr>
        <w:t>колко“</w:t>
      </w:r>
      <w:proofErr w:type="gramEnd"/>
      <w:r w:rsidRPr="008226ED">
        <w:rPr>
          <w:rFonts w:ascii="Times New Roman" w:hAnsi="Times New Roman" w:cs="Times New Roman"/>
          <w:sz w:val="24"/>
          <w:szCs w:val="24"/>
        </w:rPr>
        <w:t>: приоритизират се схеми и под-схеми според дефицит на вода, техническо състояние, загуби по мрежата и потенциал за икономии, а инвестиционният пакет обхваща рехабилитация на канали, облицоване и покриване на открити участъци, преминаване към тръбни разпределителни мрежи, реконфигурация на помпени станции и внедряване на SCADA/телеметрия за оперативен контрол. На равнище стопанство мерките са съвместими и допълващи: водомери по вход, сензори за почвена влага, климатични станции, автоматизирано капково/микронапояване с регулатори на налягане и графици за напояване, изчислени на база култури, етапи на развитие и метеорологични прогнози. Двете нива са синхронизирани финансово: инфраструктурата и „</w:t>
      </w:r>
      <w:proofErr w:type="gramStart"/>
      <w:r w:rsidRPr="008226ED">
        <w:rPr>
          <w:rFonts w:ascii="Times New Roman" w:hAnsi="Times New Roman" w:cs="Times New Roman"/>
          <w:sz w:val="24"/>
          <w:szCs w:val="24"/>
        </w:rPr>
        <w:t>твърдите“ активи</w:t>
      </w:r>
      <w:proofErr w:type="gramEnd"/>
      <w:r w:rsidRPr="008226ED">
        <w:rPr>
          <w:rFonts w:ascii="Times New Roman" w:hAnsi="Times New Roman" w:cs="Times New Roman"/>
          <w:sz w:val="24"/>
          <w:szCs w:val="24"/>
        </w:rPr>
        <w:t xml:space="preserve"> на системата са обект на дългосрочно, външно финансиране, а стопанските инвестиции се подпомагат по мерки на ПРСР с грантов компонент и ясни критерии за допустимост и измерим ефект (EIB, 2018; CEB, 2018).</w:t>
      </w:r>
    </w:p>
    <w:p w14:paraId="5544C165"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Ключов принцип е водният баланс и доказуемостта на икономиите. Преди интервенция се установяват базови линии за доставена, разпределена и реално използвана вода по сектори, включително оценка на загуби по преноса и разпределението. След модернизацията същите величини се измерват в сравним времеви прозорци, а разликата се отчита като „</w:t>
      </w:r>
      <w:proofErr w:type="gramStart"/>
      <w:r w:rsidRPr="008226ED">
        <w:rPr>
          <w:rFonts w:ascii="Times New Roman" w:hAnsi="Times New Roman" w:cs="Times New Roman"/>
          <w:sz w:val="24"/>
          <w:szCs w:val="24"/>
        </w:rPr>
        <w:t>твърда“ икономия</w:t>
      </w:r>
      <w:proofErr w:type="gramEnd"/>
      <w:r w:rsidRPr="008226ED">
        <w:rPr>
          <w:rFonts w:ascii="Times New Roman" w:hAnsi="Times New Roman" w:cs="Times New Roman"/>
          <w:sz w:val="24"/>
          <w:szCs w:val="24"/>
        </w:rPr>
        <w:t xml:space="preserve"> само ако е подкрепена от метериране и независима верификация. На стопанско ниво графиците за напояване се валидират чрез данни от сензори и контролни полета, а прилагането на дефицитно напояване се проследява чрез дистанционно наблюдение и индекси на воден стрес. Водомерите и SCADA записват почасови/дневни профили, което позволява изчисляване на показатели като ефективност на пренос и разпределение, енергия на единица подаден обем и производителност на водата (kg продукция/м³), за да се докаже, че „по-малко вода за същия или по-висок </w:t>
      </w:r>
      <w:proofErr w:type="gramStart"/>
      <w:r w:rsidRPr="008226ED">
        <w:rPr>
          <w:rFonts w:ascii="Times New Roman" w:hAnsi="Times New Roman" w:cs="Times New Roman"/>
          <w:sz w:val="24"/>
          <w:szCs w:val="24"/>
        </w:rPr>
        <w:t>резултат“ е</w:t>
      </w:r>
      <w:proofErr w:type="gramEnd"/>
      <w:r w:rsidRPr="008226ED">
        <w:rPr>
          <w:rFonts w:ascii="Times New Roman" w:hAnsi="Times New Roman" w:cs="Times New Roman"/>
          <w:sz w:val="24"/>
          <w:szCs w:val="24"/>
        </w:rPr>
        <w:t xml:space="preserve"> реално постигната, а не само теоретично очаквана (EIB, 2018; CEB, 2018).</w:t>
      </w:r>
    </w:p>
    <w:p w14:paraId="49BC1B07"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Финансовото моделиране комбинира дългосрочни заемни линии за системните активи с грантово съфинансиране и регулаторни стимули за крайните ползватели. За разпределителните дружества и операторите на системи модернизацията се подрежда в многоетапни пакети с ясни етапни цели и отчетни индикатори, което позволява траншово усвояване и контрол от кредиторите. На ниво стопанства ПРСР инструментите се насочват </w:t>
      </w:r>
      <w:r w:rsidRPr="008226ED">
        <w:rPr>
          <w:rFonts w:ascii="Times New Roman" w:hAnsi="Times New Roman" w:cs="Times New Roman"/>
          <w:sz w:val="24"/>
          <w:szCs w:val="24"/>
        </w:rPr>
        <w:lastRenderedPageBreak/>
        <w:t>към „</w:t>
      </w:r>
      <w:proofErr w:type="gramStart"/>
      <w:r w:rsidRPr="008226ED">
        <w:rPr>
          <w:rFonts w:ascii="Times New Roman" w:hAnsi="Times New Roman" w:cs="Times New Roman"/>
          <w:sz w:val="24"/>
          <w:szCs w:val="24"/>
        </w:rPr>
        <w:t>умни“ технологии</w:t>
      </w:r>
      <w:proofErr w:type="gramEnd"/>
      <w:r w:rsidRPr="008226ED">
        <w:rPr>
          <w:rFonts w:ascii="Times New Roman" w:hAnsi="Times New Roman" w:cs="Times New Roman"/>
          <w:sz w:val="24"/>
          <w:szCs w:val="24"/>
        </w:rPr>
        <w:t xml:space="preserve"> и замяна на неефективни решения, но при условия: наличен водомер, валидиран план за икономии, съответствие с планове за управление на речните басейни и без увеличение на нетния водочерпеж. Така грантовата помощ не „</w:t>
      </w:r>
      <w:proofErr w:type="gramStart"/>
      <w:r w:rsidRPr="008226ED">
        <w:rPr>
          <w:rFonts w:ascii="Times New Roman" w:hAnsi="Times New Roman" w:cs="Times New Roman"/>
          <w:sz w:val="24"/>
          <w:szCs w:val="24"/>
        </w:rPr>
        <w:t>наказва“ ефективността</w:t>
      </w:r>
      <w:proofErr w:type="gramEnd"/>
      <w:r w:rsidRPr="008226ED">
        <w:rPr>
          <w:rFonts w:ascii="Times New Roman" w:hAnsi="Times New Roman" w:cs="Times New Roman"/>
          <w:sz w:val="24"/>
          <w:szCs w:val="24"/>
        </w:rPr>
        <w:t>, а работи като катализатор за внедряване на оборудване, което става икономично и при по-нисък воден и енергиен интензитет (EIB, 2018; CEB, 2018).</w:t>
      </w:r>
    </w:p>
    <w:p w14:paraId="5065C57E"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Управлението на риска от суша и променливостта на ресурсите е интегрирано в дизайна. Съществуват предварително дефинирани режими за приоритизация на ползвателите при недостиг, сценарии за редукция на подаваемите обеми и механизми за бърза пренастройка на графиците за напояване. Водните потребители се организират в асоциации с договорирани права и задължения, включително участие в поддръжката и правомощия за съвместен контрол върху ползването. Тарифите се структурират двукомпонентно, с фиксиран елемент за поддръжка и променлив, обвързан с действително измерените количества, което редуцира стимулите за разточително потребление и подпомага устойчивото финансиране на системата. При големи схеми модернизацията се придружава от енергийни одити, вследствие на които се подменят помпи, оптимизират се налягания и се намаляват загубите на енергия, така че икономиите на вода да не се „</w:t>
      </w:r>
      <w:proofErr w:type="gramStart"/>
      <w:r w:rsidRPr="008226ED">
        <w:rPr>
          <w:rFonts w:ascii="Times New Roman" w:hAnsi="Times New Roman" w:cs="Times New Roman"/>
          <w:sz w:val="24"/>
          <w:szCs w:val="24"/>
        </w:rPr>
        <w:t>изяждат“ от</w:t>
      </w:r>
      <w:proofErr w:type="gramEnd"/>
      <w:r w:rsidRPr="008226ED">
        <w:rPr>
          <w:rFonts w:ascii="Times New Roman" w:hAnsi="Times New Roman" w:cs="Times New Roman"/>
          <w:sz w:val="24"/>
          <w:szCs w:val="24"/>
        </w:rPr>
        <w:t xml:space="preserve"> по-високи разходи за електроенергия (EIB, 2018; CEB, 2018).</w:t>
      </w:r>
    </w:p>
    <w:p w14:paraId="6B564677"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Проследимостта и одитируемостта са гарантирани чрез пакет от процедурни и технически изисквания. Критичните измервателни средства подлежат на първоначална и периодична калибрация, данните се съхраняват в централизирани бази за определен срок и се подлагат на автоматични проверки за аномалии и несъответствия. Провеждат се независими проверки на терен по извадка, включително кръстосани инспекции с дистанционно наблюдение, за да се минимизират грешки от измерване и отчет. На равнище проект се изисква „логика на </w:t>
      </w:r>
      <w:proofErr w:type="gramStart"/>
      <w:r w:rsidRPr="008226ED">
        <w:rPr>
          <w:rFonts w:ascii="Times New Roman" w:hAnsi="Times New Roman" w:cs="Times New Roman"/>
          <w:sz w:val="24"/>
          <w:szCs w:val="24"/>
        </w:rPr>
        <w:t>резултатите“</w:t>
      </w:r>
      <w:proofErr w:type="gramEnd"/>
      <w:r w:rsidRPr="008226ED">
        <w:rPr>
          <w:rFonts w:ascii="Times New Roman" w:hAnsi="Times New Roman" w:cs="Times New Roman"/>
          <w:sz w:val="24"/>
          <w:szCs w:val="24"/>
        </w:rPr>
        <w:t>: за всяко заявление се посочват изходни стойности, целеви икономии и начин на верификация, а след въвеждане в експлоатация се представят отчетни стойности и доказателства за постигането им. Това прави ефекта проследим в реално време и намалява риска от наддеклариране на ползи (EIB, 2018; CEB, 2018).</w:t>
      </w:r>
    </w:p>
    <w:p w14:paraId="67DA3F4F"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Синхронизацията с мерките на ПРСР е в детайла. Когато системата се модернизира с външно заемно финансиране, мерките към фермерите се отварят със съвместими изисквания и графици, за да има едновременен ефект „отгоре </w:t>
      </w:r>
      <w:proofErr w:type="gramStart"/>
      <w:r w:rsidRPr="008226ED">
        <w:rPr>
          <w:rFonts w:ascii="Times New Roman" w:hAnsi="Times New Roman" w:cs="Times New Roman"/>
          <w:sz w:val="24"/>
          <w:szCs w:val="24"/>
        </w:rPr>
        <w:t>надолу“ и</w:t>
      </w:r>
      <w:proofErr w:type="gramEnd"/>
      <w:r w:rsidRPr="008226ED">
        <w:rPr>
          <w:rFonts w:ascii="Times New Roman" w:hAnsi="Times New Roman" w:cs="Times New Roman"/>
          <w:sz w:val="24"/>
          <w:szCs w:val="24"/>
        </w:rPr>
        <w:t xml:space="preserve"> „отдолу </w:t>
      </w:r>
      <w:proofErr w:type="gramStart"/>
      <w:r w:rsidRPr="008226ED">
        <w:rPr>
          <w:rFonts w:ascii="Times New Roman" w:hAnsi="Times New Roman" w:cs="Times New Roman"/>
          <w:sz w:val="24"/>
          <w:szCs w:val="24"/>
        </w:rPr>
        <w:t>нагоре“</w:t>
      </w:r>
      <w:proofErr w:type="gramEnd"/>
      <w:r w:rsidRPr="008226ED">
        <w:rPr>
          <w:rFonts w:ascii="Times New Roman" w:hAnsi="Times New Roman" w:cs="Times New Roman"/>
          <w:sz w:val="24"/>
          <w:szCs w:val="24"/>
        </w:rPr>
        <w:t xml:space="preserve">. </w:t>
      </w:r>
      <w:r w:rsidRPr="008226ED">
        <w:rPr>
          <w:rFonts w:ascii="Times New Roman" w:hAnsi="Times New Roman" w:cs="Times New Roman"/>
          <w:sz w:val="24"/>
          <w:szCs w:val="24"/>
        </w:rPr>
        <w:lastRenderedPageBreak/>
        <w:t>Пример е съчетаването на нова тръбна мрежа и налягания, пригодни за капково напояване, с грантова подкрепа за преминаване от дъждуване към капково и внедряване на поливен контрол, базиран на сензори. Това сваля загубите по веригата от източника до корена и позволява на управленските органи да докажат кумулативен ефект от инвестициите — по-нисък нетен водочерпеж, по-висока надеждност на доставките и по-добра производителност на водата в ключови култури (EIB, 2018; CEB, 2018).</w:t>
      </w:r>
    </w:p>
    <w:p w14:paraId="3ABBB21C" w14:textId="77777777" w:rsidR="0062220E" w:rsidRPr="008226ED" w:rsidRDefault="0062220E" w:rsidP="0062220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В резултат добрата практика се изразява не само в модернизирана инфраструктура, а в цялостна схема на управление, в която целите за вода и енергия са измерими, отчетни и подлежащи на независима проверка. Това прави възможно оценката „стойност срещу </w:t>
      </w:r>
      <w:proofErr w:type="gramStart"/>
      <w:r w:rsidRPr="008226ED">
        <w:rPr>
          <w:rFonts w:ascii="Times New Roman" w:hAnsi="Times New Roman" w:cs="Times New Roman"/>
          <w:sz w:val="24"/>
          <w:szCs w:val="24"/>
        </w:rPr>
        <w:t>пари“ както</w:t>
      </w:r>
      <w:proofErr w:type="gramEnd"/>
      <w:r w:rsidRPr="008226ED">
        <w:rPr>
          <w:rFonts w:ascii="Times New Roman" w:hAnsi="Times New Roman" w:cs="Times New Roman"/>
          <w:sz w:val="24"/>
          <w:szCs w:val="24"/>
        </w:rPr>
        <w:t xml:space="preserve"> на равнище система, така и на равнище стопанство, намалява регулаторната несигурност и подпомага устойчивото мащабиране на ефективните решения в следващите програмни периоди (EIB, 2018; CEB, 2018).</w:t>
      </w:r>
    </w:p>
    <w:p w14:paraId="0B272E3A" w14:textId="4029BD27" w:rsidR="006D0E13" w:rsidRPr="008226ED" w:rsidRDefault="006D0E13" w:rsidP="006D0E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Финансовите инструменти по ЕЗФРСР работят най-добре, когато са тясно съобразени с пазара на кредит, управлявани от специализирани посредници и предшествани от качествена ex-ante оценка на пазарните неуспехи. Прегледите на fi-compass за 2014–2020 и насоките на Комисията подчертават, че гаранции и заеми ускоряват договарянето при по-нисък грантов интензитет, особено в преработката и навлизането на млади фермери. За България реалистичен път е пилотен, ограничен по обхват инструмент със смесено финансиране и опростени допустими разходи там, където грантовете срещат търсене, но не винаги постигат оптимална ефективност (fi-compass, 2018; European Commission, 2016). </w:t>
      </w:r>
    </w:p>
    <w:p w14:paraId="79251047" w14:textId="6D135C11" w:rsidR="006D0E13" w:rsidRPr="008226ED" w:rsidRDefault="006D0E13" w:rsidP="006D0E1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Накрая, държавите, които постигат най-висока „</w:t>
      </w:r>
      <w:proofErr w:type="gramStart"/>
      <w:r w:rsidRPr="008226ED">
        <w:rPr>
          <w:rFonts w:ascii="Times New Roman" w:hAnsi="Times New Roman" w:cs="Times New Roman"/>
          <w:sz w:val="24"/>
          <w:szCs w:val="24"/>
        </w:rPr>
        <w:t>видимост“ на</w:t>
      </w:r>
      <w:proofErr w:type="gramEnd"/>
      <w:r w:rsidRPr="008226ED">
        <w:rPr>
          <w:rFonts w:ascii="Times New Roman" w:hAnsi="Times New Roman" w:cs="Times New Roman"/>
          <w:sz w:val="24"/>
          <w:szCs w:val="24"/>
        </w:rPr>
        <w:t xml:space="preserve"> резултатите, системно поддържат публични фишове за напредъка по финансови и целеви индикатори и уеднаквяват оценъчните подходи чрез насоки и работни срещи, което намалява вариациите между програмите. Общата рамка за мониторинг и оценка на ОСП и двата обобщаващи доклада за изпълнение през 2018 и 2021 г. препоръчват именно такъв цикъл „данни → анализ → </w:t>
      </w:r>
      <w:proofErr w:type="gramStart"/>
      <w:r w:rsidRPr="008226ED">
        <w:rPr>
          <w:rFonts w:ascii="Times New Roman" w:hAnsi="Times New Roman" w:cs="Times New Roman"/>
          <w:sz w:val="24"/>
          <w:szCs w:val="24"/>
        </w:rPr>
        <w:t>действие“</w:t>
      </w:r>
      <w:proofErr w:type="gramEnd"/>
      <w:r w:rsidRPr="008226ED">
        <w:rPr>
          <w:rFonts w:ascii="Times New Roman" w:hAnsi="Times New Roman" w:cs="Times New Roman"/>
          <w:sz w:val="24"/>
          <w:szCs w:val="24"/>
        </w:rPr>
        <w:t xml:space="preserve">. В български контекст подобен режим би намалил разминаванията между версии на таблици, би ускорил прегледа на данните и би улеснил използването на квазиекспериментални методи там, където административните данни позволяват (European Commission, 2018, 2021). </w:t>
      </w:r>
    </w:p>
    <w:p w14:paraId="7DEDFCEF" w14:textId="77777777" w:rsidR="00CF7629" w:rsidRPr="008226ED" w:rsidRDefault="00CF7629" w:rsidP="00CF762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Съпоставянето на българското изпълнение на ПРСР 2014–2020 с утвърдените европейски практики показва сходства в общата архитектура и силни страни при площните </w:t>
      </w:r>
      <w:r w:rsidRPr="008226ED">
        <w:rPr>
          <w:rFonts w:ascii="Times New Roman" w:hAnsi="Times New Roman" w:cs="Times New Roman"/>
          <w:sz w:val="24"/>
          <w:szCs w:val="24"/>
        </w:rPr>
        <w:lastRenderedPageBreak/>
        <w:t>плащания и инфраструктурните инвестиции, но и видими разлики в системността на оценяването, в интеграцията на знанията и в технологичната дълбочина на ресурсната ефективност. България поддържа стабилен финансов ритъм след 2018 г., изтегля плащанията по мярка 7 за общинска инфраструктура и поддържа предвидими обеми по мерки 10, 11 и 12, докато инвестициите по 4.2 постепенно навлизат в етап на реални разходи. Това стои близо до модела на „</w:t>
      </w:r>
      <w:proofErr w:type="gramStart"/>
      <w:r w:rsidRPr="008226ED">
        <w:rPr>
          <w:rFonts w:ascii="Times New Roman" w:hAnsi="Times New Roman" w:cs="Times New Roman"/>
          <w:sz w:val="24"/>
          <w:szCs w:val="24"/>
        </w:rPr>
        <w:t>двигатели“ на</w:t>
      </w:r>
      <w:proofErr w:type="gramEnd"/>
      <w:r w:rsidRPr="008226ED">
        <w:rPr>
          <w:rFonts w:ascii="Times New Roman" w:hAnsi="Times New Roman" w:cs="Times New Roman"/>
          <w:sz w:val="24"/>
          <w:szCs w:val="24"/>
        </w:rPr>
        <w:t xml:space="preserve"> усвояването в ЕС, но страната отстъпва по линията на доказуемото въздействие чрез системни контрафактически проверки и публична „</w:t>
      </w:r>
      <w:proofErr w:type="gramStart"/>
      <w:r w:rsidRPr="008226ED">
        <w:rPr>
          <w:rFonts w:ascii="Times New Roman" w:hAnsi="Times New Roman" w:cs="Times New Roman"/>
          <w:sz w:val="24"/>
          <w:szCs w:val="24"/>
        </w:rPr>
        <w:t>видимост“ на</w:t>
      </w:r>
      <w:proofErr w:type="gramEnd"/>
      <w:r w:rsidRPr="008226ED">
        <w:rPr>
          <w:rFonts w:ascii="Times New Roman" w:hAnsi="Times New Roman" w:cs="Times New Roman"/>
          <w:sz w:val="24"/>
          <w:szCs w:val="24"/>
        </w:rPr>
        <w:t xml:space="preserve"> причинно-следствените връзки, където Австрия, чрез ÖPUL, превръща придружаващата оценка в ежегоден и методически последователен процес, стъпил върху IACS/LPIS, екологични мониторинги и устойчиви модели на атрибуция (EU CAP Network, 2021).</w:t>
      </w:r>
    </w:p>
    <w:p w14:paraId="2E0D68DE" w14:textId="77777777" w:rsidR="00CF7629" w:rsidRPr="008226ED" w:rsidRDefault="00CF7629" w:rsidP="00CF762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По екологичните схеми България изпълнява и дори надхвърля междинните площни таргети в приоритет 4, което означава мащабно приемане на практики и висок административен капацитет за кампанияно плащане. Разликата с австрийския подход стои в „оценъчната </w:t>
      </w:r>
      <w:proofErr w:type="gramStart"/>
      <w:r w:rsidRPr="008226ED">
        <w:rPr>
          <w:rFonts w:ascii="Times New Roman" w:hAnsi="Times New Roman" w:cs="Times New Roman"/>
          <w:sz w:val="24"/>
          <w:szCs w:val="24"/>
        </w:rPr>
        <w:t>инфраструктура“</w:t>
      </w:r>
      <w:proofErr w:type="gramEnd"/>
      <w:r w:rsidRPr="008226ED">
        <w:rPr>
          <w:rFonts w:ascii="Times New Roman" w:hAnsi="Times New Roman" w:cs="Times New Roman"/>
          <w:sz w:val="24"/>
          <w:szCs w:val="24"/>
        </w:rPr>
        <w:t>: там стандарт са годишните контрафактически проверки и публичните методически приложения към докладите, които правят доказуеми ефектите върху биоразнообразие, почви, вода и климата. У нас индикаторите за резултат и въздействие са налични и се използват, но връзката между конкретните схеми и екосистемните изходи остава по-слабо атрибуируема и фрагментарно публикувана. Пренасянето на австрийската дисциплина означава да се фиксират стабилни панели от стопанства и територии, да се докарват до рутина разлики-в-разликите и пространствени модели и ежегодно да се публикуват данни и спецификации така, че заключенията да са повторяеми и одитируеми, а не еднократни (EU CAP Network, 2021).</w:t>
      </w:r>
    </w:p>
    <w:p w14:paraId="537CD2DB" w14:textId="77777777" w:rsidR="00CF7629" w:rsidRPr="008226ED" w:rsidRDefault="00CF7629" w:rsidP="00CF762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При знанията и консултациите Ирландия показва как „групово учене + индивидуален план + опростени </w:t>
      </w:r>
      <w:proofErr w:type="gramStart"/>
      <w:r w:rsidRPr="008226ED">
        <w:rPr>
          <w:rFonts w:ascii="Times New Roman" w:hAnsi="Times New Roman" w:cs="Times New Roman"/>
          <w:sz w:val="24"/>
          <w:szCs w:val="24"/>
        </w:rPr>
        <w:t>разходи“ се</w:t>
      </w:r>
      <w:proofErr w:type="gramEnd"/>
      <w:r w:rsidRPr="008226ED">
        <w:rPr>
          <w:rFonts w:ascii="Times New Roman" w:hAnsi="Times New Roman" w:cs="Times New Roman"/>
          <w:sz w:val="24"/>
          <w:szCs w:val="24"/>
        </w:rPr>
        <w:t xml:space="preserve"> превръща в работеща машина за поведенческа промяна. Тригодишният цикъл на Knowledge Transfer Groups, с акредитирани консултанти, стандартен минимум срещи и задължително посещение във всяко стопанство, изгражда обхват от приблизително 25 000 фермери до юли 2019 г., при отчетна простота и бързо плащане по опростени разходи. В България мерки 1 и 2 стартират по-плавно, а консултантската активност до 2018 г. е измерима, но по-ограничена по мащаб. Прехвърлянето на ирландския модел означава да се структурира национална мрежа от </w:t>
      </w:r>
      <w:r w:rsidRPr="008226ED">
        <w:rPr>
          <w:rFonts w:ascii="Times New Roman" w:hAnsi="Times New Roman" w:cs="Times New Roman"/>
          <w:sz w:val="24"/>
          <w:szCs w:val="24"/>
        </w:rPr>
        <w:lastRenderedPageBreak/>
        <w:t>тематични групи, да се въвеждат унифицирани шаблони за планове на стопанствата и да се преминава към опростени разходи, обвързани с фактическо участие и изпълнение на микро-задачи, така че „посещение—задача—обратна връзка“ да се превръща в повтаряем цикъл на промяна и у нас (Department of Agriculture, Food and the Marine, 2019; European Commission, 2025).</w:t>
      </w:r>
    </w:p>
    <w:p w14:paraId="76B1FCF6" w14:textId="77777777" w:rsidR="00CF7629" w:rsidRPr="008226ED" w:rsidRDefault="00CF7629" w:rsidP="00CF762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 напояването и ресурсната ефективност Португалия показва как се подрежда двустепенна система, която едновременно модернизира разпределителната инфраструктура и „</w:t>
      </w:r>
      <w:proofErr w:type="gramStart"/>
      <w:r w:rsidRPr="008226ED">
        <w:rPr>
          <w:rFonts w:ascii="Times New Roman" w:hAnsi="Times New Roman" w:cs="Times New Roman"/>
          <w:sz w:val="24"/>
          <w:szCs w:val="24"/>
        </w:rPr>
        <w:t>въоръжава“ стопанствата</w:t>
      </w:r>
      <w:proofErr w:type="gramEnd"/>
      <w:r w:rsidRPr="008226ED">
        <w:rPr>
          <w:rFonts w:ascii="Times New Roman" w:hAnsi="Times New Roman" w:cs="Times New Roman"/>
          <w:sz w:val="24"/>
          <w:szCs w:val="24"/>
        </w:rPr>
        <w:t xml:space="preserve"> с измервателни и управленски технологии. Външното заемно финансиране от ЕИБ и Съвета на Европа Банка се насочва към системните активи—канали, тръбни мрежи, помпени станции, SCADA—докато грантовете на ПРСР катализират внедряване на водомери, сензори, капково и интелигентни графици на ниво ферма; ключът е доказуемостта на икономиите чрез базови линии, метериране и независима верификация. В българската рамка приоритет 5 постига силно покритие през площните практики, но инвестиционните операции за енергийна ефективност и ВЕИ изостават спрямо междинните цели. Настъпването на изравняване става реалистично, ако се копира португалският механизъм: задължителни водомери и планове за икономии като условие за подкрепа, синхрон между системни проекти и стопански мерки, двукомпонентни тарифи и отчетност през производителност на водата и енергията, а не само през бройки и площи (EIB, 2018; CEB, 2018).</w:t>
      </w:r>
    </w:p>
    <w:p w14:paraId="25426EAB" w14:textId="77777777" w:rsidR="00CF7629" w:rsidRPr="008226ED" w:rsidRDefault="00CF7629" w:rsidP="00CF762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При местното развитие LEADER/ВОМР България бързо постига широко териториално покритие и увеличава плащанията през 2019–2020 г., но исторически наблюдаваното разминаване между договориране и разплащане я поставя зад водещите примери. На равнище ЕС добрата практика е „ранно одобрение на стратегии + централизирано помощно звено + опростени разходи за дребни </w:t>
      </w:r>
      <w:proofErr w:type="gramStart"/>
      <w:r w:rsidRPr="008226ED">
        <w:rPr>
          <w:rFonts w:ascii="Times New Roman" w:hAnsi="Times New Roman" w:cs="Times New Roman"/>
          <w:sz w:val="24"/>
          <w:szCs w:val="24"/>
        </w:rPr>
        <w:t>проекти“</w:t>
      </w:r>
      <w:proofErr w:type="gramEnd"/>
      <w:r w:rsidRPr="008226ED">
        <w:rPr>
          <w:rFonts w:ascii="Times New Roman" w:hAnsi="Times New Roman" w:cs="Times New Roman"/>
          <w:sz w:val="24"/>
          <w:szCs w:val="24"/>
        </w:rPr>
        <w:t>, което съкращава времето до плащане и редуцира административната вариабилност. Прякото приложение за България е унифициран „фронт-</w:t>
      </w:r>
      <w:proofErr w:type="gramStart"/>
      <w:r w:rsidRPr="008226ED">
        <w:rPr>
          <w:rFonts w:ascii="Times New Roman" w:hAnsi="Times New Roman" w:cs="Times New Roman"/>
          <w:sz w:val="24"/>
          <w:szCs w:val="24"/>
        </w:rPr>
        <w:t>офис“ за</w:t>
      </w:r>
      <w:proofErr w:type="gramEnd"/>
      <w:r w:rsidRPr="008226ED">
        <w:rPr>
          <w:rFonts w:ascii="Times New Roman" w:hAnsi="Times New Roman" w:cs="Times New Roman"/>
          <w:sz w:val="24"/>
          <w:szCs w:val="24"/>
        </w:rPr>
        <w:t xml:space="preserve"> МИГ, по-широко използване на опростени разходи и ясно разграничение на процедури при многофондово прилагане, така че местните стратегии да се превръщат по-бързо в реализирани операции и измерими резултати (ENRD/EU CAP Network, 2021).</w:t>
      </w:r>
    </w:p>
    <w:p w14:paraId="009C4EFF" w14:textId="77777777" w:rsidR="00CF7629" w:rsidRPr="008226ED" w:rsidRDefault="00CF7629" w:rsidP="00CF762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В мониторинга и оценката българската практика следва рамката на ЕС и генерира годишни доклади и междинни оценки, но все още страда от версии на таблици, разлики в </w:t>
      </w:r>
      <w:r w:rsidRPr="008226ED">
        <w:rPr>
          <w:rFonts w:ascii="Times New Roman" w:hAnsi="Times New Roman" w:cs="Times New Roman"/>
          <w:sz w:val="24"/>
          <w:szCs w:val="24"/>
        </w:rPr>
        <w:lastRenderedPageBreak/>
        <w:t>дефиниции и ограничена публичност на методите. В държавите с най-добра „</w:t>
      </w:r>
      <w:proofErr w:type="gramStart"/>
      <w:r w:rsidRPr="008226ED">
        <w:rPr>
          <w:rFonts w:ascii="Times New Roman" w:hAnsi="Times New Roman" w:cs="Times New Roman"/>
          <w:sz w:val="24"/>
          <w:szCs w:val="24"/>
        </w:rPr>
        <w:t>видимост“ на</w:t>
      </w:r>
      <w:proofErr w:type="gramEnd"/>
      <w:r w:rsidRPr="008226ED">
        <w:rPr>
          <w:rFonts w:ascii="Times New Roman" w:hAnsi="Times New Roman" w:cs="Times New Roman"/>
          <w:sz w:val="24"/>
          <w:szCs w:val="24"/>
        </w:rPr>
        <w:t xml:space="preserve"> резултатите публичните фишове се обновяват регулярно, методите за изчисляване на индикаторите се публикуват заедно с данните, а оценителите работят по уеднаквени протоколи за контрафактически анализ. За да се изравним, е нужно да се институционализира „отчет с </w:t>
      </w:r>
      <w:proofErr w:type="gramStart"/>
      <w:r w:rsidRPr="008226ED">
        <w:rPr>
          <w:rFonts w:ascii="Times New Roman" w:hAnsi="Times New Roman" w:cs="Times New Roman"/>
          <w:sz w:val="24"/>
          <w:szCs w:val="24"/>
        </w:rPr>
        <w:t>методология“ като</w:t>
      </w:r>
      <w:proofErr w:type="gramEnd"/>
      <w:r w:rsidRPr="008226ED">
        <w:rPr>
          <w:rFonts w:ascii="Times New Roman" w:hAnsi="Times New Roman" w:cs="Times New Roman"/>
          <w:sz w:val="24"/>
          <w:szCs w:val="24"/>
        </w:rPr>
        <w:t xml:space="preserve"> стандарт, да се свържат административните регистри с екологични масиви на ниво парцел и да се планират ежегодни проверки на устойчивостта на изводите, за да се избягват свръхинтерпретации и да се правят ефектите сравними през годините и програмите (European Commission, 2018, 2021; EU CAP Network, 2021).</w:t>
      </w:r>
    </w:p>
    <w:p w14:paraId="078F3AF2" w14:textId="77777777" w:rsidR="00CF7629" w:rsidRPr="008226ED" w:rsidRDefault="00CF7629" w:rsidP="00CF762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Като цяло профилът на България следва доминиращите европейски тенденции—силни площни схеми и инфраструктура, постепенно материализиране на инвестиционни резултати—но наваксва чрез три конкретни преноса: изгражда австрийски тип „оценъчна инфраструктура“ с ежегодни контрафактически проверки, внедрява ирландския цикъл на групово знание с опростени разходи и индивидуални планове и прилага португалската двустепенна логика в напояването, която прави икономиите на вода и енергия измерими и одитируеми в реално време (EU CAP Network, 2021; Department of Agriculture, Food and the Marine, 2019; European Commission, 2025; EIB, 2018; CEB, 2018).</w:t>
      </w:r>
    </w:p>
    <w:p w14:paraId="5D85285F" w14:textId="2347EB54" w:rsidR="00CF7629" w:rsidRPr="008226ED" w:rsidRDefault="00CF7629" w:rsidP="006D0E1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ИЗВОДИ ПО ТРЕТА ГЛАВА</w:t>
      </w:r>
    </w:p>
    <w:p w14:paraId="1F7B5CB1" w14:textId="77777777" w:rsidR="00CF7629" w:rsidRPr="008226ED" w:rsidRDefault="00CF7629" w:rsidP="00CF7629">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ПРСР 2014–2020 в България реализира силно ускорение след 2018 г., с водещ принос на инфраструктурата по мярка 7 и стабилни площни плащания по мерки 10, 11 и 12; компенсаторните по мярка 13 поддържат доходите в чувствителни райони. </w:t>
      </w:r>
    </w:p>
    <w:p w14:paraId="3D002E6D" w14:textId="77777777" w:rsidR="00CF7629" w:rsidRPr="008226ED" w:rsidRDefault="00CF7629" w:rsidP="00CF7629">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Инвестициите по 4.1 в голяма степен се приключват, а 4.2 навлиза в етап на реални разходи, но енергийната ефективност и ВЕИ изостават спрямо целите. </w:t>
      </w:r>
    </w:p>
    <w:p w14:paraId="22A94CEA" w14:textId="77777777" w:rsidR="00CF7629" w:rsidRPr="008226ED" w:rsidRDefault="00CF7629" w:rsidP="00CF7629">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Пандемичната мярка 21 осигурява навременна ликвидност, а историческите забавяния при инфраструктурните проекти постепенно се компенсират. </w:t>
      </w:r>
    </w:p>
    <w:p w14:paraId="103A17AF" w14:textId="4B01E48A" w:rsidR="00CF7629" w:rsidRPr="008226ED" w:rsidRDefault="00CF7629" w:rsidP="00CF7629">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Основните нужди за подобрение са по-силна „оценъчна </w:t>
      </w:r>
      <w:proofErr w:type="gramStart"/>
      <w:r w:rsidRPr="008226ED">
        <w:rPr>
          <w:rFonts w:ascii="Times New Roman" w:hAnsi="Times New Roman" w:cs="Times New Roman"/>
          <w:sz w:val="24"/>
          <w:szCs w:val="24"/>
        </w:rPr>
        <w:t>инфраструктура“</w:t>
      </w:r>
      <w:proofErr w:type="gramEnd"/>
      <w:r w:rsidRPr="008226ED">
        <w:rPr>
          <w:rFonts w:ascii="Times New Roman" w:hAnsi="Times New Roman" w:cs="Times New Roman"/>
          <w:sz w:val="24"/>
          <w:szCs w:val="24"/>
        </w:rPr>
        <w:t>, по-добра интеграция на знанията и консултациите и по-дълбока технологична ориентация на мерките за ресурсна ефективност.</w:t>
      </w:r>
    </w:p>
    <w:p w14:paraId="5D7C4A2E" w14:textId="77777777" w:rsidR="00CF7629" w:rsidRPr="008226ED" w:rsidRDefault="00CF7629" w:rsidP="006D0E13">
      <w:pPr>
        <w:spacing w:line="360" w:lineRule="auto"/>
        <w:ind w:firstLine="720"/>
        <w:jc w:val="both"/>
        <w:rPr>
          <w:rFonts w:ascii="Times New Roman" w:hAnsi="Times New Roman" w:cs="Times New Roman"/>
          <w:sz w:val="24"/>
          <w:szCs w:val="24"/>
          <w:lang w:val="bg-BG"/>
        </w:rPr>
      </w:pPr>
    </w:p>
    <w:p w14:paraId="5A36B002" w14:textId="77777777" w:rsidR="00CF7629" w:rsidRPr="008226ED" w:rsidRDefault="00CF7629" w:rsidP="006D0E13">
      <w:pPr>
        <w:spacing w:line="360" w:lineRule="auto"/>
        <w:ind w:firstLine="720"/>
        <w:jc w:val="both"/>
        <w:rPr>
          <w:rFonts w:ascii="Times New Roman" w:hAnsi="Times New Roman" w:cs="Times New Roman"/>
          <w:sz w:val="24"/>
          <w:szCs w:val="24"/>
          <w:lang w:val="bg-BG"/>
        </w:rPr>
      </w:pPr>
    </w:p>
    <w:p w14:paraId="40F1F9D9" w14:textId="77777777" w:rsidR="00735746" w:rsidRPr="008226ED" w:rsidRDefault="00735746" w:rsidP="006C1F23">
      <w:pPr>
        <w:spacing w:line="360" w:lineRule="auto"/>
        <w:ind w:firstLine="720"/>
        <w:jc w:val="both"/>
        <w:rPr>
          <w:rFonts w:ascii="Times New Roman" w:hAnsi="Times New Roman" w:cs="Times New Roman"/>
          <w:sz w:val="24"/>
          <w:szCs w:val="24"/>
          <w:lang w:val="bg-BG"/>
        </w:rPr>
      </w:pPr>
    </w:p>
    <w:p w14:paraId="0886F6BA" w14:textId="1ABFE8CC" w:rsidR="006C1F23" w:rsidRPr="008226ED" w:rsidRDefault="006C1F23" w:rsidP="006C1F2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b/>
          <w:bCs/>
          <w:sz w:val="24"/>
          <w:szCs w:val="24"/>
          <w:lang w:val="bg-BG"/>
        </w:rPr>
        <w:lastRenderedPageBreak/>
        <w:t>Заключение</w:t>
      </w:r>
    </w:p>
    <w:p w14:paraId="51B3E5ED" w14:textId="0E74C4AA"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lang w:val="bg-BG"/>
        </w:rPr>
        <w:t>Настоящото изследване потвърждава тезата</w:t>
      </w:r>
      <w:r w:rsidRPr="008226ED">
        <w:rPr>
          <w:rFonts w:ascii="Times New Roman" w:hAnsi="Times New Roman" w:cs="Times New Roman"/>
          <w:sz w:val="24"/>
          <w:szCs w:val="24"/>
        </w:rPr>
        <w:t>, че качественият, данни-ориентиран мониторинг е необходимото условие публичните разходи по ОСП да се превръщат в проследими резултати. Проследяването на логическата верига от ресурси и дейности към продукти, резултати и въздействия показва, че там, където индикаторите са ясно дефинирани, източниците на данни са надеждни и отчитането е ритмично, се наблюдава по-голяма управленска дисциплина, по-точно таргетиране и по-висока възвръщаемост на средствата. Когато тези условия отсъстват или са частични, ефективността по мерки варира и трудно се дефинира причинно-следствената връзка между интервенциите и наблюдаваните промени.</w:t>
      </w:r>
    </w:p>
    <w:p w14:paraId="7D889753"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Емпиричните резултати очертават неравномерна, но положителна динамика в края на периода 2014–2020, с ускорение след 2018 г. и отчетлив принос на интервенциите в инфраструктура и услуги за селските райони. Площните екологични и агроекологични плащания стабилизират практиките и осигуряват предвидими стимули, докато мерките за райони с природни ограничения поддържат доходите и намаляват риска от обезземляване и демографско изтъняване. Инвестиционните мерки в първичното производство се материализират по-бързо от тези в преработката, което подсказва различна степен на проектна сложност, регулаторна тежест и пазарни хоризонти. Кризисните инструменти за ликвидност функционират навреме и с високо покритие, но енергийната ефективност и възобновяемите източници остават под очакванията, което сигнализира за нужда от по-силни технологични и финансови мотиватори.</w:t>
      </w:r>
    </w:p>
    <w:p w14:paraId="7C22505F"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Методологичното ядро на изследването демонстрира добавена стойност от комбинирането на административни системи с официална статистика и от системните проверки на качеството на данните. Подходът, базиран на четири групи индикатори и редовно отчитане, показва, че „оценъчната </w:t>
      </w:r>
      <w:proofErr w:type="gramStart"/>
      <w:r w:rsidRPr="008226ED">
        <w:rPr>
          <w:rFonts w:ascii="Times New Roman" w:hAnsi="Times New Roman" w:cs="Times New Roman"/>
          <w:sz w:val="24"/>
          <w:szCs w:val="24"/>
        </w:rPr>
        <w:t>инфраструктура“ не</w:t>
      </w:r>
      <w:proofErr w:type="gramEnd"/>
      <w:r w:rsidRPr="008226ED">
        <w:rPr>
          <w:rFonts w:ascii="Times New Roman" w:hAnsi="Times New Roman" w:cs="Times New Roman"/>
          <w:sz w:val="24"/>
          <w:szCs w:val="24"/>
        </w:rPr>
        <w:t xml:space="preserve"> е спомагателен компонент, а стратегически актив за програмното управление. Съпоставките с други държави-членки подсилват извода, че прозрачни „фишове за </w:t>
      </w:r>
      <w:proofErr w:type="gramStart"/>
      <w:r w:rsidRPr="008226ED">
        <w:rPr>
          <w:rFonts w:ascii="Times New Roman" w:hAnsi="Times New Roman" w:cs="Times New Roman"/>
          <w:sz w:val="24"/>
          <w:szCs w:val="24"/>
        </w:rPr>
        <w:t>напредък“</w:t>
      </w:r>
      <w:proofErr w:type="gramEnd"/>
      <w:r w:rsidRPr="008226ED">
        <w:rPr>
          <w:rFonts w:ascii="Times New Roman" w:hAnsi="Times New Roman" w:cs="Times New Roman"/>
          <w:sz w:val="24"/>
          <w:szCs w:val="24"/>
        </w:rPr>
        <w:t>, публичност на междинните резултати и интегриране на знанията и консултантските услуги увеличават вероятността политиките да бъдат коригирани навреме и да доставят търсеното въздействие.</w:t>
      </w:r>
    </w:p>
    <w:p w14:paraId="4B724B37"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Политико-управленските импликации са ясни. За периода 2023–2027 приоритарно следва да се укрепят индикаторните системи, да се подобри интероперабилността на </w:t>
      </w:r>
      <w:r w:rsidRPr="008226ED">
        <w:rPr>
          <w:rFonts w:ascii="Times New Roman" w:hAnsi="Times New Roman" w:cs="Times New Roman"/>
          <w:sz w:val="24"/>
          <w:szCs w:val="24"/>
        </w:rPr>
        <w:lastRenderedPageBreak/>
        <w:t>масивите данни и да се засили капацитетът за аналитична обработка, включително за контрафактически оценки. Нужно е фино таргетиране към резултати чрез по-умели схеми, обвързани с изпълнение, както и по-добра регионална диференциация там, където хетерогенността на условията е значима. Технологичната дълбочина на интервенциите трябва да се повиши чрез стимули за дигитализация, енергийна ефективност и иновации, подкрепени с адекватна консултантска екосистема. Повече публичност и редовни междинни прегледи биха създали обратна връзка, която дисциплинира изпълнението и позволява адаптивно управление.</w:t>
      </w:r>
    </w:p>
    <w:p w14:paraId="7ABC5CCF"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В същото време изследването разкрива ограничения, които следва да бъдат признати при интерпретацията на резултатите. Качеството и навременността на част от административните данни, затрудненото атрибутиране на ефектите в среда с множество едновременни политики, както и външните шокове като климатична волатилност, ценови цикли и пандемични сътресения ограничават силата на причинните изводи. Това не обезсилва заключенията, а по-скоро очертава пътя към по-строги методи, включително разширено използване на микроданни, квазиекспериментални дизайни и панелни модели за устойчивост на резултатите.</w:t>
      </w:r>
    </w:p>
    <w:p w14:paraId="27417D9E"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Практическата стойност на тезата е в очертаването на конкретни механизми за превръщане на мониторинга от отчетна процедура в управленски инструмент. Препоръките за публични прогрес-фишове, интегрирани информационни платформи, регулярно качество на данните и силни консултантски връзки адресират именно местата, където най-често се губи ефективност. Подкрепени от дисциплина на отчитането и от култура на доказателствено управление, тези механизми биха позволили улавяне на реални, устойчиви ефекти, които са видими както в земеделското производство и селските икономики, така и в екологичните и социалните резултати.</w:t>
      </w:r>
    </w:p>
    <w:p w14:paraId="36A696B5" w14:textId="30A974F1" w:rsidR="00CF7629" w:rsidRPr="008226ED" w:rsidRDefault="006B7CAD" w:rsidP="006B7CAD">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lang w:val="bg-BG"/>
        </w:rPr>
        <w:t>В обобщение</w:t>
      </w:r>
      <w:r w:rsidRPr="008226ED">
        <w:rPr>
          <w:rFonts w:ascii="Times New Roman" w:hAnsi="Times New Roman" w:cs="Times New Roman"/>
          <w:sz w:val="24"/>
          <w:szCs w:val="24"/>
        </w:rPr>
        <w:t xml:space="preserve">, </w:t>
      </w:r>
      <w:r w:rsidRPr="008226ED">
        <w:rPr>
          <w:rFonts w:ascii="Times New Roman" w:hAnsi="Times New Roman" w:cs="Times New Roman"/>
          <w:sz w:val="24"/>
          <w:szCs w:val="24"/>
          <w:lang w:val="bg-BG"/>
        </w:rPr>
        <w:t xml:space="preserve">изследователската теза </w:t>
      </w:r>
      <w:r w:rsidRPr="008226ED">
        <w:rPr>
          <w:rFonts w:ascii="Times New Roman" w:hAnsi="Times New Roman" w:cs="Times New Roman"/>
          <w:sz w:val="24"/>
          <w:szCs w:val="24"/>
        </w:rPr>
        <w:t>устоява на проверката през данните и сравнителните наблюдения: когато мониторингът е качествен, индикаторите са релевантни, данните са надеждни, а обратната връзка е бърза и публична, публичните средства по ОСП по-вероятно се превръщат в конкретни и измерими резултати. Неравномерността по мерки и забавянията в технологично-иновационните компоненти не обезсилват този извод, а подчертават значението на фокусирането върху резултати, на аналитичния капацитет и на прозрачността като двигатели на ефективността в новия програмен период.</w:t>
      </w:r>
    </w:p>
    <w:p w14:paraId="34498F99"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Препоръчително е системата за мониторинг да се развие като управленски инструмент, а не само като отчетна процедура. Необходимо е да се въведат стабилни процеси за валидиране на данните, периодични проверки на консистентността между административните регистри и официалната статистика и ясни правила за актуализация на индикаторите. Това предполага интероперабилност между основните масиви, автоматизирани кръстосани проверки и архив на промените, който позволява проследимост на ревизиите във времето.</w:t>
      </w:r>
    </w:p>
    <w:p w14:paraId="0516AE10"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Индикаторната рамка следва да се прецизира към резултати и въздействия, като се ограничат излишните входно-ориентирани метрики и се въведат показатели, обвързани с изпълнение. За всяка интервенция е необходимо предварително дефиниране на теория на промяната, логическа матрица с измерими целеви стойности и междинни етапи, както и минимален набор от общоизмерими индикатори за сравнимост между мерки и региони. Добра практика е публикуването на „фишове за </w:t>
      </w:r>
      <w:proofErr w:type="gramStart"/>
      <w:r w:rsidRPr="008226ED">
        <w:rPr>
          <w:rFonts w:ascii="Times New Roman" w:hAnsi="Times New Roman" w:cs="Times New Roman"/>
          <w:sz w:val="24"/>
          <w:szCs w:val="24"/>
        </w:rPr>
        <w:t>напредък“ с</w:t>
      </w:r>
      <w:proofErr w:type="gramEnd"/>
      <w:r w:rsidRPr="008226ED">
        <w:rPr>
          <w:rFonts w:ascii="Times New Roman" w:hAnsi="Times New Roman" w:cs="Times New Roman"/>
          <w:sz w:val="24"/>
          <w:szCs w:val="24"/>
        </w:rPr>
        <w:t xml:space="preserve"> кратки аналитични бележки за отклоненията и предприетите корекции.</w:t>
      </w:r>
    </w:p>
    <w:p w14:paraId="5220483F"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Капацитетът за анализ трябва да бъде укрепен чрез създаване на специализирани звена за оценка с достъп до микроданни и инструменти за контрафактически анализ. Препоръчва се обучение по причинно-следствено моделиране, квазиекспериментални дизайни и панелни методи, както и създаване на вътрешни насоки за качество на оценките. На тази основа могат да се планират регулярни тематични оценки, синхронизирани с ключови програмни решения.</w:t>
      </w:r>
    </w:p>
    <w:p w14:paraId="3B8067B6"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Публичността и обратната връзка са критични за дисциплиниране на изпълнението. Препоръчва се въвеждане на отворени табла с данни на проектно и мерково ниво, публикуване на методологични бележки и кодови книги, както и периодични публични прегледи с участието на бенефициенти, научната общност и НПО. Това ще позволи ранно идентифициране на блокажи и по-бързи корекции в дизайна.</w:t>
      </w:r>
    </w:p>
    <w:p w14:paraId="48178E41"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Таргетирането на интервенциите трябва да отчита регионалната хетерогенност и различната проектна сложност. Препоръчва се по-ясно сегментиране на подкрепата за първично производство и преработка с отделни времеви линии и критерии за готовност, както и диференцирани интензитети според риска и обществената добавена стойност. Там, където има системни забавяния, е целесъобразно прилагане на етапно финансиране, свързано с изпълнение, и шаблонизирани проектни пакети за типови инвестиции.</w:t>
      </w:r>
    </w:p>
    <w:p w14:paraId="4AB924FC"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Технологичната дълбочина следва да се увеличи чрез целеви стимули за енергийна ефективност, възобновяеми източници и дигитализация. Необходимо е обвързване на грантовата подкрепа с технически стандарти и измерими спестявания, комбиниране с финансови инструменти за мащабируемост и създаване на консултантска екосистема, която да подпомага проектната подготовка и последващата експлоатация на активите.</w:t>
      </w:r>
    </w:p>
    <w:p w14:paraId="3BCCBB6D"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Кризисните механизми трябва да се институционализират с ясни протоколи за задействане и гъвкави схеми, които да осигуряват ликвидност при ценови и климатични шокове, без да изкривяват дългосрочните стимули. Препоръчва се разработване на предварително одобрени матрици за оценка на въздействието и механизми за излизане, както и интеграция с застрахователни и рискови инструменти.</w:t>
      </w:r>
    </w:p>
    <w:p w14:paraId="383F234F"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Сътрудничеството със знаниевите и консултантските услуги трябва да се превърне в хоризонтална функция на програмното управление. Полезно е изграждането на мрежа от демонстрационни проекти, тематични хъбове и партньорства с научни организации, които да осигуряват трансфер на добри практики и подкрепа за внедряване на иновации, особено в по-слабо развитите райони.</w:t>
      </w:r>
    </w:p>
    <w:p w14:paraId="693A57F3"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Управлението на изпълнението изисква ясни роли, срокове и отговорности. Препоръчва се въвеждане на стандартни операционни процедури за критичните пътеки, сервисни нива за административните процеси и регулярни „оперативни </w:t>
      </w:r>
      <w:proofErr w:type="gramStart"/>
      <w:r w:rsidRPr="008226ED">
        <w:rPr>
          <w:rFonts w:ascii="Times New Roman" w:hAnsi="Times New Roman" w:cs="Times New Roman"/>
          <w:sz w:val="24"/>
          <w:szCs w:val="24"/>
        </w:rPr>
        <w:t>прегледи“ на</w:t>
      </w:r>
      <w:proofErr w:type="gramEnd"/>
      <w:r w:rsidRPr="008226ED">
        <w:rPr>
          <w:rFonts w:ascii="Times New Roman" w:hAnsi="Times New Roman" w:cs="Times New Roman"/>
          <w:sz w:val="24"/>
          <w:szCs w:val="24"/>
        </w:rPr>
        <w:t xml:space="preserve"> портфейла от мерки с фокус върху рисковете. Паралелно с това трябва да се поддържа регистър на уроците, който да захранва цикъла на вземане на решения.</w:t>
      </w:r>
    </w:p>
    <w:p w14:paraId="7E4D05B3" w14:textId="77777777" w:rsidR="006B7CAD" w:rsidRPr="008226ED" w:rsidRDefault="006B7CAD" w:rsidP="006B7CA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Накрая, за да се подобри устойчивостта на изводите и управленските решения, е необходимо планиране на програма за оценка с предварително зададени контрафактически въпроси, базови линии и данни за проследяване. Комбинирането на административни източници с извадкови обследвания и дистанционни измервания ще позволи по-надеждно атрибутиране на ефектите и своевременно пренастройване на интервенциите към резултати и въздействия.</w:t>
      </w:r>
    </w:p>
    <w:p w14:paraId="19B5FA3B" w14:textId="77777777" w:rsidR="006B7CAD" w:rsidRPr="008226ED" w:rsidRDefault="006B7CAD" w:rsidP="006B7CAD">
      <w:pPr>
        <w:spacing w:line="360" w:lineRule="auto"/>
        <w:ind w:firstLine="720"/>
        <w:jc w:val="both"/>
        <w:rPr>
          <w:rFonts w:ascii="Times New Roman" w:hAnsi="Times New Roman" w:cs="Times New Roman"/>
          <w:sz w:val="24"/>
          <w:szCs w:val="24"/>
          <w:lang w:val="bg-BG"/>
        </w:rPr>
      </w:pPr>
    </w:p>
    <w:p w14:paraId="2F412EC9" w14:textId="77777777" w:rsidR="006C1F23" w:rsidRPr="008226ED" w:rsidRDefault="006C1F23">
      <w:pPr>
        <w:rPr>
          <w:rFonts w:ascii="Times New Roman" w:hAnsi="Times New Roman" w:cs="Times New Roman"/>
          <w:b/>
          <w:bCs/>
          <w:sz w:val="24"/>
          <w:szCs w:val="24"/>
          <w:lang w:val="bg-BG"/>
        </w:rPr>
      </w:pPr>
      <w:r w:rsidRPr="008226ED">
        <w:rPr>
          <w:rFonts w:ascii="Times New Roman" w:hAnsi="Times New Roman" w:cs="Times New Roman"/>
          <w:b/>
          <w:bCs/>
          <w:sz w:val="24"/>
          <w:szCs w:val="24"/>
          <w:lang w:val="bg-BG"/>
        </w:rPr>
        <w:br w:type="page"/>
      </w:r>
    </w:p>
    <w:p w14:paraId="3CB3F551" w14:textId="72ACA09F" w:rsidR="006C1F23" w:rsidRPr="008226ED" w:rsidRDefault="006C1F23" w:rsidP="006C1F23">
      <w:pPr>
        <w:spacing w:line="360" w:lineRule="auto"/>
        <w:ind w:firstLine="720"/>
        <w:jc w:val="center"/>
        <w:rPr>
          <w:rFonts w:ascii="Times New Roman" w:hAnsi="Times New Roman" w:cs="Times New Roman"/>
          <w:sz w:val="24"/>
          <w:szCs w:val="24"/>
          <w:lang w:val="bg-BG"/>
        </w:rPr>
      </w:pPr>
      <w:r w:rsidRPr="008226ED">
        <w:rPr>
          <w:rFonts w:ascii="Times New Roman" w:hAnsi="Times New Roman" w:cs="Times New Roman"/>
          <w:b/>
          <w:bCs/>
          <w:sz w:val="24"/>
          <w:szCs w:val="24"/>
          <w:lang w:val="bg-BG"/>
        </w:rPr>
        <w:lastRenderedPageBreak/>
        <w:t>Библиография</w:t>
      </w:r>
    </w:p>
    <w:p w14:paraId="62B92FD9" w14:textId="77777777" w:rsidR="00004488" w:rsidRPr="008226ED" w:rsidRDefault="00004488" w:rsidP="0026662D">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Блажева, В. (2012). Общата селскостопанска политика на Европейския съюз за периода 2014–2020 г. и развитието на българския аграрен сектор. </w:t>
      </w:r>
      <w:r w:rsidRPr="008226ED">
        <w:rPr>
          <w:rFonts w:ascii="Times New Roman" w:hAnsi="Times New Roman" w:cs="Times New Roman"/>
          <w:i/>
          <w:iCs/>
          <w:sz w:val="24"/>
          <w:szCs w:val="24"/>
        </w:rPr>
        <w:t>Управление и устойчиво развитие</w:t>
      </w:r>
      <w:r w:rsidRPr="008226ED">
        <w:rPr>
          <w:rFonts w:ascii="Times New Roman" w:hAnsi="Times New Roman" w:cs="Times New Roman"/>
          <w:sz w:val="24"/>
          <w:szCs w:val="24"/>
        </w:rPr>
        <w:t xml:space="preserve">, 6(37). </w:t>
      </w:r>
      <w:hyperlink r:id="rId7" w:history="1">
        <w:r w:rsidRPr="008226ED">
          <w:rPr>
            <w:rStyle w:val="Hyperlink"/>
            <w:rFonts w:ascii="Times New Roman" w:hAnsi="Times New Roman" w:cs="Times New Roman"/>
            <w:sz w:val="24"/>
            <w:szCs w:val="24"/>
          </w:rPr>
          <w:t>https://jmsd.bg/files/articles/37/37-01_V_Blazheva.pdf</w:t>
        </w:r>
      </w:hyperlink>
    </w:p>
    <w:p w14:paraId="756D73EA" w14:textId="77777777" w:rsidR="00004488" w:rsidRPr="008226ED" w:rsidRDefault="00004488" w:rsidP="006C1F23">
      <w:pPr>
        <w:spacing w:line="360" w:lineRule="auto"/>
        <w:ind w:firstLine="720"/>
        <w:jc w:val="both"/>
        <w:rPr>
          <w:lang w:val="bg-BG"/>
        </w:rPr>
      </w:pPr>
      <w:r w:rsidRPr="008226ED">
        <w:rPr>
          <w:rFonts w:ascii="Times New Roman" w:hAnsi="Times New Roman" w:cs="Times New Roman"/>
          <w:sz w:val="24"/>
          <w:szCs w:val="24"/>
          <w:lang w:val="bg-BG"/>
        </w:rPr>
        <w:t>Държавен фонд „Земеделие“. (2021). Ръководство на бенефициента по ПРСР 2014-2020 г.</w:t>
      </w:r>
      <w:r w:rsidRPr="008226ED">
        <w:t xml:space="preserve"> </w:t>
      </w:r>
      <w:hyperlink r:id="rId8" w:history="1">
        <w:r w:rsidRPr="008226ED">
          <w:rPr>
            <w:rStyle w:val="Hyperlink"/>
            <w:rFonts w:ascii="Times New Roman" w:hAnsi="Times New Roman" w:cs="Times New Roman"/>
            <w:sz w:val="24"/>
            <w:szCs w:val="24"/>
            <w:lang w:val="bg-BG"/>
          </w:rPr>
          <w:t>https://www.eufunds.bg/bg/prsr/node/7845</w:t>
        </w:r>
      </w:hyperlink>
    </w:p>
    <w:p w14:paraId="0304E148" w14:textId="77777777" w:rsidR="00004488" w:rsidRPr="008226ED" w:rsidRDefault="00004488" w:rsidP="0000448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Държавен фонд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(2022). Годишен отчет за дейността на Държавен фонд „</w:t>
      </w:r>
      <w:proofErr w:type="gramStart"/>
      <w:r w:rsidRPr="008226ED">
        <w:rPr>
          <w:rFonts w:ascii="Times New Roman" w:hAnsi="Times New Roman" w:cs="Times New Roman"/>
          <w:sz w:val="24"/>
          <w:szCs w:val="24"/>
        </w:rPr>
        <w:t>Земеделие“ и</w:t>
      </w:r>
      <w:proofErr w:type="gramEnd"/>
      <w:r w:rsidRPr="008226ED">
        <w:rPr>
          <w:rFonts w:ascii="Times New Roman" w:hAnsi="Times New Roman" w:cs="Times New Roman"/>
          <w:sz w:val="24"/>
          <w:szCs w:val="24"/>
        </w:rPr>
        <w:t xml:space="preserve"> Разплащателната агенция за 2019 г. София: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.https://dfz.bg/documents/20121/697541/24RH438pr.doc/6cefabf5-90c8-75b1-a296-5d29c08cc94e?version=1.1&amp;t=1719399146592&amp;targetExtension=txt&amp;download=true</w:t>
      </w:r>
    </w:p>
    <w:p w14:paraId="6D4331A3" w14:textId="77777777" w:rsidR="00004488" w:rsidRPr="008226ED" w:rsidRDefault="00004488" w:rsidP="0000448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Държавен фонд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(2022). Годишен отчет за дейността на Държавен фонд „</w:t>
      </w:r>
      <w:proofErr w:type="gramStart"/>
      <w:r w:rsidRPr="008226ED">
        <w:rPr>
          <w:rFonts w:ascii="Times New Roman" w:hAnsi="Times New Roman" w:cs="Times New Roman"/>
          <w:sz w:val="24"/>
          <w:szCs w:val="24"/>
        </w:rPr>
        <w:t>Земеделие“ и</w:t>
      </w:r>
      <w:proofErr w:type="gramEnd"/>
      <w:r w:rsidRPr="008226ED">
        <w:rPr>
          <w:rFonts w:ascii="Times New Roman" w:hAnsi="Times New Roman" w:cs="Times New Roman"/>
          <w:sz w:val="24"/>
          <w:szCs w:val="24"/>
        </w:rPr>
        <w:t xml:space="preserve"> Разплащателната агенция за 2020 г. София: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.https://www.dfz.bg/web/guest/annual-reports-and-statements?q=%22%D0%93%D0%BE%D0%B4%D0%B8%D1%88%D0%BD%D0%B8+%D0%B4%D0%BE%D0%BA%D0%BB%D0%B0%D0%B4%D0%B8+%D0%B8+%D0%BE%D1%82%D1%87%D0%B5%D1%82%D0%B8%22</w:t>
      </w:r>
    </w:p>
    <w:p w14:paraId="45D43A0B" w14:textId="77777777" w:rsidR="00004488" w:rsidRPr="008226ED" w:rsidRDefault="00004488" w:rsidP="00A639F4">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Европейска комисия, Генерална дирекция „Земеделие и развитие на селските </w:t>
      </w:r>
      <w:proofErr w:type="gramStart"/>
      <w:r w:rsidRPr="008226ED">
        <w:rPr>
          <w:rFonts w:ascii="Times New Roman" w:hAnsi="Times New Roman" w:cs="Times New Roman"/>
          <w:sz w:val="24"/>
          <w:szCs w:val="24"/>
        </w:rPr>
        <w:t>райони“</w:t>
      </w:r>
      <w:proofErr w:type="gramEnd"/>
      <w:r w:rsidRPr="008226ED">
        <w:rPr>
          <w:rFonts w:ascii="Times New Roman" w:hAnsi="Times New Roman" w:cs="Times New Roman"/>
          <w:sz w:val="24"/>
          <w:szCs w:val="24"/>
        </w:rPr>
        <w:t xml:space="preserve">. (2017). </w:t>
      </w:r>
      <w:r w:rsidRPr="008226ED">
        <w:rPr>
          <w:rFonts w:ascii="Times New Roman" w:hAnsi="Times New Roman" w:cs="Times New Roman"/>
          <w:i/>
          <w:iCs/>
          <w:sz w:val="24"/>
          <w:szCs w:val="24"/>
        </w:rPr>
        <w:t>Разяснение на ОСП: Директни плащания за земеделски стопани за периода 2015–2020 г.</w:t>
      </w:r>
      <w:r w:rsidRPr="008226ED">
        <w:rPr>
          <w:rFonts w:ascii="Times New Roman" w:hAnsi="Times New Roman" w:cs="Times New Roman"/>
          <w:sz w:val="24"/>
          <w:szCs w:val="24"/>
        </w:rPr>
        <w:t xml:space="preserve"> Люксембург: Служба за публикации на Европейския съюз. </w:t>
      </w:r>
      <w:hyperlink r:id="rId9" w:history="1">
        <w:r w:rsidRPr="008226ED">
          <w:rPr>
            <w:rStyle w:val="Hyperlink"/>
            <w:rFonts w:ascii="Times New Roman" w:hAnsi="Times New Roman" w:cs="Times New Roman"/>
            <w:sz w:val="24"/>
            <w:szCs w:val="24"/>
          </w:rPr>
          <w:t>https://doi.org/10.2762/609919</w:t>
        </w:r>
      </w:hyperlink>
      <w:r w:rsidRPr="008226ED">
        <w:rPr>
          <w:rFonts w:ascii="Times New Roman" w:hAnsi="Times New Roman" w:cs="Times New Roman"/>
          <w:sz w:val="24"/>
          <w:szCs w:val="24"/>
        </w:rPr>
        <w:t xml:space="preserve"> </w:t>
      </w:r>
    </w:p>
    <w:p w14:paraId="79C3A444" w14:textId="77777777" w:rsidR="00004488" w:rsidRPr="008226ED" w:rsidRDefault="00004488" w:rsidP="004A5201">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Европейска комисия. (2017, 29 ноември). Бъдещето на прехраната и селското стопанство: Съобщение относно Общата селскостопанска политика след 2020 г. [Прессъобщение MEMO/17/4842]. Европейска комисия – Пресцентър. </w:t>
      </w:r>
      <w:hyperlink r:id="rId10" w:history="1">
        <w:r w:rsidRPr="008226ED">
          <w:rPr>
            <w:rStyle w:val="Hyperlink"/>
            <w:rFonts w:ascii="Times New Roman" w:hAnsi="Times New Roman" w:cs="Times New Roman"/>
            <w:sz w:val="24"/>
            <w:szCs w:val="24"/>
          </w:rPr>
          <w:t>https://ec.europa.eu/commission/presscorner/detail/bg/MEMO_17_4842</w:t>
        </w:r>
      </w:hyperlink>
    </w:p>
    <w:p w14:paraId="6181B099" w14:textId="77777777" w:rsidR="00004488" w:rsidRPr="008226ED" w:rsidRDefault="00004488" w:rsidP="006C1F23">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Европейски парламент и Съвет на ЕС. (2024). Регламент (ЕС) 2021/2115 (консолидиран текст). </w:t>
      </w:r>
      <w:hyperlink r:id="rId11" w:history="1">
        <w:r w:rsidRPr="008226ED">
          <w:rPr>
            <w:rStyle w:val="Hyperlink"/>
            <w:rFonts w:ascii="Times New Roman" w:hAnsi="Times New Roman" w:cs="Times New Roman"/>
            <w:sz w:val="24"/>
            <w:szCs w:val="24"/>
          </w:rPr>
          <w:t>https://eur-lex.europa.eu/eli/reg/2021/2115/2024-05-25/eng</w:t>
        </w:r>
      </w:hyperlink>
      <w:r w:rsidRPr="008226ED">
        <w:rPr>
          <w:rFonts w:ascii="Times New Roman" w:hAnsi="Times New Roman" w:cs="Times New Roman"/>
          <w:sz w:val="24"/>
          <w:szCs w:val="24"/>
        </w:rPr>
        <w:t xml:space="preserve"> (</w:t>
      </w:r>
      <w:hyperlink r:id="rId12" w:tooltip="02021R2115-20240525 - EN - EUR-Lex - European Union" w:history="1">
        <w:r w:rsidRPr="008226ED">
          <w:rPr>
            <w:rStyle w:val="Hyperlink"/>
            <w:rFonts w:ascii="Times New Roman" w:hAnsi="Times New Roman" w:cs="Times New Roman"/>
            <w:sz w:val="24"/>
            <w:szCs w:val="24"/>
          </w:rPr>
          <w:t>EUR-Lex</w:t>
        </w:r>
      </w:hyperlink>
      <w:r w:rsidRPr="008226ED">
        <w:rPr>
          <w:rFonts w:ascii="Times New Roman" w:hAnsi="Times New Roman" w:cs="Times New Roman"/>
          <w:sz w:val="24"/>
          <w:szCs w:val="24"/>
        </w:rPr>
        <w:t>)</w:t>
      </w:r>
    </w:p>
    <w:p w14:paraId="4760CD00" w14:textId="77777777" w:rsidR="00004488" w:rsidRPr="008226ED" w:rsidRDefault="00004488" w:rsidP="0059184E">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Евростарт 2008 ЕООД. (2019). Текуща оценка на Програмата за развитие на селските райони (2014–2020) до 2018 г. София: Министерство на земеделието, храните и горите. </w:t>
      </w:r>
    </w:p>
    <w:p w14:paraId="67A556A9" w14:textId="77777777" w:rsidR="00004488" w:rsidRPr="008226ED" w:rsidRDefault="00004488" w:rsidP="00683B6D">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Министерство на земеделието и храните. (2014, юни). </w:t>
      </w:r>
      <w:r w:rsidRPr="008226ED">
        <w:rPr>
          <w:rFonts w:ascii="Times New Roman" w:hAnsi="Times New Roman" w:cs="Times New Roman"/>
          <w:i/>
          <w:iCs/>
          <w:sz w:val="24"/>
          <w:szCs w:val="24"/>
        </w:rPr>
        <w:t>Програма за развитие на селските райони на Република България 2014–2020</w:t>
      </w:r>
      <w:r w:rsidRPr="008226ED">
        <w:rPr>
          <w:rFonts w:ascii="Times New Roman" w:hAnsi="Times New Roman" w:cs="Times New Roman"/>
          <w:sz w:val="24"/>
          <w:szCs w:val="24"/>
        </w:rPr>
        <w:t xml:space="preserve">. </w:t>
      </w:r>
    </w:p>
    <w:p w14:paraId="4CFA6D2E" w14:textId="77777777" w:rsidR="00004488" w:rsidRPr="008226ED" w:rsidRDefault="00004488" w:rsidP="0000448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Министерство на земеделието, храните и горите. (2020). Годишен доклад за състоянието и развитието на земеделието (2019–2020). София: МЗХГ.</w:t>
      </w:r>
      <w:r w:rsidRPr="008226ED">
        <w:t xml:space="preserve"> </w:t>
      </w:r>
      <w:r w:rsidRPr="008226ED">
        <w:rPr>
          <w:rFonts w:ascii="Times New Roman" w:hAnsi="Times New Roman" w:cs="Times New Roman"/>
          <w:sz w:val="24"/>
          <w:szCs w:val="24"/>
        </w:rPr>
        <w:t>https://www.mzh.government.bg/media/filer_public/2020/12/03/agd_2020_web.pdf</w:t>
      </w:r>
    </w:p>
    <w:p w14:paraId="3E3B6B1B" w14:textId="77777777" w:rsidR="00004488" w:rsidRPr="008226ED" w:rsidRDefault="00004488" w:rsidP="0000448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Сметна палата на Република България. (2022). Одит на мерките за подпомагане в отговор на COVID-19 в системата на ДФ „</w:t>
      </w:r>
      <w:proofErr w:type="gramStart"/>
      <w:r w:rsidRPr="008226ED">
        <w:rPr>
          <w:rFonts w:ascii="Times New Roman" w:hAnsi="Times New Roman" w:cs="Times New Roman"/>
          <w:sz w:val="24"/>
          <w:szCs w:val="24"/>
        </w:rPr>
        <w:t>Земеделие“</w:t>
      </w:r>
      <w:proofErr w:type="gramEnd"/>
      <w:r w:rsidRPr="008226ED">
        <w:rPr>
          <w:rFonts w:ascii="Times New Roman" w:hAnsi="Times New Roman" w:cs="Times New Roman"/>
          <w:sz w:val="24"/>
          <w:szCs w:val="24"/>
        </w:rPr>
        <w:t>. София: Сметна палата.</w:t>
      </w:r>
      <w:r w:rsidRPr="008226ED">
        <w:t xml:space="preserve"> </w:t>
      </w:r>
      <w:r w:rsidRPr="008226ED">
        <w:rPr>
          <w:rFonts w:ascii="Times New Roman" w:hAnsi="Times New Roman" w:cs="Times New Roman"/>
          <w:sz w:val="24"/>
          <w:szCs w:val="24"/>
        </w:rPr>
        <w:t>https://www.bulnao.government.bg/media/documents/PK_COVID19_zem_proizv_0924.pdf</w:t>
      </w:r>
    </w:p>
    <w:p w14:paraId="0356B3DE" w14:textId="77777777" w:rsidR="006B7CAD" w:rsidRPr="008226ED" w:rsidRDefault="006B7CAD" w:rsidP="00683B6D">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Agrotec S.p.A. (2014). Предварителна оценка на Програмата за развитие на селските райони 2014–2020 г.: Приложение към раздел 3. София: Министерство на земеделието и храните.</w:t>
      </w:r>
    </w:p>
    <w:p w14:paraId="303EEF9E" w14:textId="77777777" w:rsidR="006B7CAD" w:rsidRPr="008226ED" w:rsidRDefault="006B7CAD" w:rsidP="006D0E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CEB – Council of Europe Development Bank. (2018, April 13). CEB and EIB provide €280 million to finance the modernisation and expansion of irrigation infrastructure in Portugal.</w:t>
      </w:r>
      <w:r w:rsidRPr="008226ED">
        <w:t xml:space="preserve"> </w:t>
      </w:r>
      <w:r w:rsidRPr="008226ED">
        <w:rPr>
          <w:rFonts w:ascii="Times New Roman" w:hAnsi="Times New Roman" w:cs="Times New Roman"/>
          <w:sz w:val="24"/>
          <w:szCs w:val="24"/>
        </w:rPr>
        <w:t>https://www.eib.org/en/press/all/2018-088-eib-and-ceb-provide-eur-280-million-to-finance-modernisation-and-expansion-of-irrigation-infrastructure-in-portugal</w:t>
      </w:r>
    </w:p>
    <w:p w14:paraId="797B3B10" w14:textId="77777777" w:rsidR="006B7CAD" w:rsidRPr="008226ED" w:rsidRDefault="006B7CAD" w:rsidP="00D16F37">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Council of the European Union. (n.d.). Timeline – History of the CAP. </w:t>
      </w:r>
      <w:hyperlink r:id="rId13" w:history="1">
        <w:r w:rsidRPr="008226ED">
          <w:rPr>
            <w:rStyle w:val="Hyperlink"/>
            <w:rFonts w:ascii="Times New Roman" w:hAnsi="Times New Roman" w:cs="Times New Roman"/>
            <w:sz w:val="24"/>
            <w:szCs w:val="24"/>
          </w:rPr>
          <w:t>https://www.consilium.europa.eu/en/policies/the-common-agricultural-policy-explained/timeline-history-of-cap/</w:t>
        </w:r>
      </w:hyperlink>
    </w:p>
    <w:p w14:paraId="0795DDA3" w14:textId="77777777" w:rsidR="006B7CAD" w:rsidRPr="008226ED" w:rsidRDefault="006B7CAD" w:rsidP="006D0E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Department of Agriculture, Food and the Marine. (2019). Knowledge Transfer (KT) Programme: Programme overview and completion note.</w:t>
      </w:r>
      <w:r w:rsidRPr="008226ED">
        <w:t xml:space="preserve"> </w:t>
      </w:r>
      <w:r w:rsidRPr="008226ED">
        <w:rPr>
          <w:rFonts w:ascii="Times New Roman" w:hAnsi="Times New Roman" w:cs="Times New Roman"/>
          <w:sz w:val="24"/>
          <w:szCs w:val="24"/>
        </w:rPr>
        <w:t>https://gov.ie/en/department-of-agriculture-food-and-the-marine/publications/knowledge-transfer-kt-programme/</w:t>
      </w:r>
    </w:p>
    <w:p w14:paraId="1B645D68" w14:textId="77777777" w:rsidR="006B7CAD" w:rsidRPr="008226ED" w:rsidRDefault="006B7CAD" w:rsidP="006D0E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EIB – European Investment Bank. (2018, April 13). Portugal: EIB and CEB provide EUR 280 million to finance modernisation and expansion of irrigation infrastructure.</w:t>
      </w:r>
      <w:r w:rsidRPr="008226ED">
        <w:t xml:space="preserve"> </w:t>
      </w:r>
      <w:r w:rsidRPr="008226ED">
        <w:rPr>
          <w:rFonts w:ascii="Times New Roman" w:hAnsi="Times New Roman" w:cs="Times New Roman"/>
          <w:sz w:val="24"/>
          <w:szCs w:val="24"/>
        </w:rPr>
        <w:t>https://www.eib.org/en/press/all/2018-088-eib-and-ceb-provide-eur-280-million-to-finance-modernisation-and-expansion-of-irrigation-infrastructure-in-portugal</w:t>
      </w:r>
    </w:p>
    <w:p w14:paraId="7460122E" w14:textId="77777777" w:rsidR="006B7CAD" w:rsidRPr="008226ED" w:rsidRDefault="006B7CAD" w:rsidP="006D0E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EIP-AGRI. (2016/2019). Operational Groups: Turning your idea into innovation (brochure and web resources).</w:t>
      </w:r>
      <w:r w:rsidRPr="008226ED">
        <w:t xml:space="preserve"> </w:t>
      </w:r>
      <w:r w:rsidRPr="008226ED">
        <w:rPr>
          <w:rFonts w:ascii="Times New Roman" w:hAnsi="Times New Roman" w:cs="Times New Roman"/>
          <w:sz w:val="24"/>
          <w:szCs w:val="24"/>
        </w:rPr>
        <w:t>https://ec.europa.eu/eip/agriculture/en/content/eip-agri-brochure-operational-groups-turning-your-idea-innovation.html</w:t>
      </w:r>
    </w:p>
    <w:p w14:paraId="24A65FC8" w14:textId="77777777" w:rsidR="006B7CAD" w:rsidRPr="008226ED" w:rsidRDefault="006B7CAD" w:rsidP="006D0E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ENRD / EU CAP Network. (2021, March 19). LEADER/CLLD: Overview and key figures (end 2018).</w:t>
      </w:r>
      <w:r w:rsidRPr="008226ED">
        <w:t xml:space="preserve"> </w:t>
      </w:r>
      <w:r w:rsidRPr="008226ED">
        <w:rPr>
          <w:rFonts w:ascii="Times New Roman" w:hAnsi="Times New Roman" w:cs="Times New Roman"/>
          <w:sz w:val="24"/>
          <w:szCs w:val="24"/>
        </w:rPr>
        <w:t>https://ec.europa.eu/enrd/leader-clld_en.html</w:t>
      </w:r>
    </w:p>
    <w:p w14:paraId="1DB532E1" w14:textId="77777777" w:rsidR="006B7CAD" w:rsidRPr="008226ED" w:rsidRDefault="006B7CAD" w:rsidP="006D0E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EU CAP Network. (2021, June 14). Evaluation of the Austrian agri-environmental programme (ÖPUL): National detailed report (Austrian RDP AIR 2019 synthesis).</w:t>
      </w:r>
      <w:r w:rsidRPr="008226ED">
        <w:t xml:space="preserve"> </w:t>
      </w:r>
      <w:r w:rsidRPr="008226ED">
        <w:rPr>
          <w:rFonts w:ascii="Times New Roman" w:hAnsi="Times New Roman" w:cs="Times New Roman"/>
          <w:sz w:val="24"/>
          <w:szCs w:val="24"/>
        </w:rPr>
        <w:t>https://eu-cap-</w:t>
      </w:r>
      <w:r w:rsidRPr="008226ED">
        <w:rPr>
          <w:rFonts w:ascii="Times New Roman" w:hAnsi="Times New Roman" w:cs="Times New Roman"/>
          <w:sz w:val="24"/>
          <w:szCs w:val="24"/>
        </w:rPr>
        <w:lastRenderedPageBreak/>
        <w:t>network.ec.europa.eu/publications/evaluation-austrian-agri-environmental-programme-opul-national-detailed-report_en</w:t>
      </w:r>
    </w:p>
    <w:p w14:paraId="4B6DB68F" w14:textId="77777777" w:rsidR="006B7CAD" w:rsidRPr="008226ED" w:rsidRDefault="006B7CAD" w:rsidP="006C1F2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 CAP Network. (2024). Factsheet: Eco-schemes – improving the design and implementation. </w:t>
      </w:r>
      <w:hyperlink r:id="rId14" w:history="1">
        <w:r w:rsidRPr="008226ED">
          <w:rPr>
            <w:rStyle w:val="Hyperlink"/>
            <w:rFonts w:ascii="Times New Roman" w:hAnsi="Times New Roman" w:cs="Times New Roman"/>
            <w:sz w:val="24"/>
            <w:szCs w:val="24"/>
          </w:rPr>
          <w:t>https://eu-cap-network.ec.europa.eu/publications/factsheet-eco-schemes_en</w:t>
        </w:r>
      </w:hyperlink>
      <w:r w:rsidRPr="008226ED">
        <w:rPr>
          <w:rFonts w:ascii="Times New Roman" w:hAnsi="Times New Roman" w:cs="Times New Roman"/>
          <w:sz w:val="24"/>
          <w:szCs w:val="24"/>
        </w:rPr>
        <w:t xml:space="preserve"> (</w:t>
      </w:r>
      <w:hyperlink r:id="rId15" w:tooltip="Factsheet - Eco-schemes - EU CAP Network" w:history="1">
        <w:r w:rsidRPr="008226ED">
          <w:rPr>
            <w:rStyle w:val="Hyperlink"/>
            <w:rFonts w:ascii="Times New Roman" w:hAnsi="Times New Roman" w:cs="Times New Roman"/>
            <w:sz w:val="24"/>
            <w:szCs w:val="24"/>
          </w:rPr>
          <w:t>EU CAP Network</w:t>
        </w:r>
      </w:hyperlink>
      <w:r w:rsidRPr="008226ED">
        <w:rPr>
          <w:rFonts w:ascii="Times New Roman" w:hAnsi="Times New Roman" w:cs="Times New Roman"/>
          <w:sz w:val="24"/>
          <w:szCs w:val="24"/>
        </w:rPr>
        <w:t>)</w:t>
      </w:r>
    </w:p>
    <w:p w14:paraId="4B01571A" w14:textId="77777777" w:rsidR="006B7CAD" w:rsidRPr="008226ED" w:rsidRDefault="006B7CAD" w:rsidP="00702E91">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Commission, Directorate-General for Agriculture and Rural Development. (2016, December 5–6). </w:t>
      </w:r>
      <w:r w:rsidRPr="008226ED">
        <w:rPr>
          <w:rFonts w:ascii="Times New Roman" w:hAnsi="Times New Roman" w:cs="Times New Roman"/>
          <w:i/>
          <w:iCs/>
          <w:sz w:val="24"/>
          <w:szCs w:val="24"/>
        </w:rPr>
        <w:t>Data management for evidence-based evaluation of 2014–2020 RDPs: New requirements and use of data collected at EU level</w:t>
      </w:r>
      <w:r w:rsidRPr="008226ED">
        <w:rPr>
          <w:rFonts w:ascii="Times New Roman" w:hAnsi="Times New Roman" w:cs="Times New Roman"/>
          <w:sz w:val="24"/>
          <w:szCs w:val="24"/>
        </w:rPr>
        <w:t xml:space="preserve"> [Conference presentation slides]. ENRD Good Practice Workshop, Bordeaux, France. </w:t>
      </w:r>
      <w:hyperlink r:id="rId16" w:history="1">
        <w:r w:rsidRPr="008226ED">
          <w:rPr>
            <w:rStyle w:val="Hyperlink"/>
            <w:rFonts w:ascii="Times New Roman" w:hAnsi="Times New Roman" w:cs="Times New Roman"/>
            <w:sz w:val="24"/>
            <w:szCs w:val="24"/>
          </w:rPr>
          <w:t>https://ec.europa.eu/enrd/sites/default/files/gpw-04_1-2_dg_agri_angrisani.pdf</w:t>
        </w:r>
      </w:hyperlink>
    </w:p>
    <w:p w14:paraId="0D776168" w14:textId="77777777" w:rsidR="006B7CAD" w:rsidRPr="008226ED" w:rsidRDefault="006B7CAD" w:rsidP="00091662">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European Commission. (2014a). Commission Implementing Regulation (EU) No 808/2014 of 17 July 2014 laying down rules for the application of Regulation (EU) No 1305/2013 on support for rural development by the EAFRD (Annex IV: Common set of context, result and output indicators). Official Journal of the European Union, L 227, 18–68. https://eur-lex.europa.eu/eli/reg_impl/2014/808/oj/eng</w:t>
      </w:r>
    </w:p>
    <w:p w14:paraId="37E087E8" w14:textId="77777777" w:rsidR="006B7CAD" w:rsidRPr="008226ED" w:rsidRDefault="006B7CAD"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European Commission. (2014b). Commission Implementing Regulation (EU) No 834/2014 of 22 July 2014 laying down rules for the application of the common monitoring and evaluation framework of the CAP. Official Journal of the European Union, L 230, 1–7. https://eur-lex.europa.eu/legal-content/EN/TXT/PDF/?uri=CELEX:32014R0834</w:t>
      </w:r>
    </w:p>
    <w:p w14:paraId="3BCAA0CE" w14:textId="77777777" w:rsidR="006B7CAD" w:rsidRPr="008226ED" w:rsidRDefault="006B7CAD" w:rsidP="006D0E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European Commission. (2016). EAFRD financial instruments: Types and implementation aspects (AMTF paper).</w:t>
      </w:r>
      <w:r w:rsidRPr="008226ED">
        <w:t xml:space="preserve"> </w:t>
      </w:r>
      <w:r w:rsidRPr="008226ED">
        <w:rPr>
          <w:rFonts w:ascii="Times New Roman" w:hAnsi="Times New Roman" w:cs="Times New Roman"/>
          <w:sz w:val="24"/>
          <w:szCs w:val="24"/>
        </w:rPr>
        <w:t>https://agriculture.ec.europa.eu/document/download/451694ee-4a58-4242-9e47-e30a92648d85_en?filename=amtf-paper-financial-instruments-20160412_en.pdf</w:t>
      </w:r>
    </w:p>
    <w:p w14:paraId="6787CA49" w14:textId="77777777" w:rsidR="006B7CAD" w:rsidRPr="008226ED" w:rsidRDefault="006B7CAD" w:rsidP="00091662">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European Commission. (2017). Technical handbook on the monitoring and evaluation framework 2014–2020 for rural development. Brussels: DG AGRI. https://agriculture.ec.europa.eu/system/files/2018-10/technical-handbook-monitoring-evaluation-framework_june17_en_0.pdf</w:t>
      </w:r>
    </w:p>
    <w:p w14:paraId="5F684F59" w14:textId="77777777" w:rsidR="006B7CAD" w:rsidRPr="008226ED" w:rsidRDefault="006B7CAD" w:rsidP="006D0E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European Commission. (2018; 2021). Common Monitoring and Evaluation Framework (CMEF): CAP performance reports 2014–2020.</w:t>
      </w:r>
      <w:r w:rsidRPr="008226ED">
        <w:t xml:space="preserve"> </w:t>
      </w:r>
      <w:r w:rsidRPr="008226ED">
        <w:rPr>
          <w:rFonts w:ascii="Times New Roman" w:hAnsi="Times New Roman" w:cs="Times New Roman"/>
          <w:sz w:val="24"/>
          <w:szCs w:val="24"/>
        </w:rPr>
        <w:t>https://agriculture.ec.europa.eu/common-agricultural-policy/cap-overview/cmef_en</w:t>
      </w:r>
    </w:p>
    <w:p w14:paraId="3FB8FAB3"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 xml:space="preserve">European Commission. (2025). CAP Strategic Plans 2023–2027: Factsheet. </w:t>
      </w:r>
      <w:hyperlink r:id="rId17" w:history="1">
        <w:r w:rsidRPr="008226ED">
          <w:rPr>
            <w:rStyle w:val="Hyperlink"/>
            <w:rFonts w:ascii="Times New Roman" w:hAnsi="Times New Roman" w:cs="Times New Roman"/>
            <w:sz w:val="24"/>
            <w:szCs w:val="24"/>
          </w:rPr>
          <w:t>https://agriculture.ec.europa.eu/document/download/406736a1-3b23-4667-be4a-0ec246ecf760_en?filename=factsheet-cap-strategic-plans-2023-27_en_0.pdf</w:t>
        </w:r>
      </w:hyperlink>
    </w:p>
    <w:p w14:paraId="3676780C" w14:textId="77777777" w:rsidR="006B7CAD" w:rsidRPr="008226ED" w:rsidRDefault="006B7CAD" w:rsidP="006D0E1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European Commission. (2025, January 7). RDP factsheet – Ireland 2014–2022: Knowledge Transfer Groups and expected participants.</w:t>
      </w:r>
      <w:r w:rsidRPr="008226ED">
        <w:t xml:space="preserve"> </w:t>
      </w:r>
      <w:r w:rsidRPr="008226ED">
        <w:rPr>
          <w:rFonts w:ascii="Times New Roman" w:hAnsi="Times New Roman" w:cs="Times New Roman"/>
          <w:sz w:val="24"/>
          <w:szCs w:val="24"/>
        </w:rPr>
        <w:t>https://gov.ie/en/department-of-agriculture-food-and-the-marine/publications/knowledge-transfer-kt-programme/</w:t>
      </w:r>
    </w:p>
    <w:p w14:paraId="79E84816"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Commission. (n.d.-a). Common agricultural policy overview. </w:t>
      </w:r>
      <w:hyperlink r:id="rId18" w:history="1">
        <w:r w:rsidRPr="008226ED">
          <w:rPr>
            <w:rStyle w:val="Hyperlink"/>
            <w:rFonts w:ascii="Times New Roman" w:hAnsi="Times New Roman" w:cs="Times New Roman"/>
            <w:sz w:val="24"/>
            <w:szCs w:val="24"/>
          </w:rPr>
          <w:t>https://agriculture.ec.europa.eu/common-agricultural-policy/cap-overview_en</w:t>
        </w:r>
      </w:hyperlink>
    </w:p>
    <w:p w14:paraId="5F226B20"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Commission. (n.d.-b). CAP </w:t>
      </w:r>
      <w:proofErr w:type="gramStart"/>
      <w:r w:rsidRPr="008226ED">
        <w:rPr>
          <w:rFonts w:ascii="Times New Roman" w:hAnsi="Times New Roman" w:cs="Times New Roman"/>
          <w:sz w:val="24"/>
          <w:szCs w:val="24"/>
        </w:rPr>
        <w:t>at a glance</w:t>
      </w:r>
      <w:proofErr w:type="gramEnd"/>
      <w:r w:rsidRPr="008226ED">
        <w:rPr>
          <w:rFonts w:ascii="Times New Roman" w:hAnsi="Times New Roman" w:cs="Times New Roman"/>
          <w:sz w:val="24"/>
          <w:szCs w:val="24"/>
        </w:rPr>
        <w:t xml:space="preserve">: Ten specific objectives. </w:t>
      </w:r>
      <w:hyperlink r:id="rId19" w:history="1">
        <w:r w:rsidRPr="008226ED">
          <w:rPr>
            <w:rStyle w:val="Hyperlink"/>
            <w:rFonts w:ascii="Times New Roman" w:hAnsi="Times New Roman" w:cs="Times New Roman"/>
            <w:sz w:val="24"/>
            <w:szCs w:val="24"/>
          </w:rPr>
          <w:t>https://agriculture.ec.europa.eu/common-agricultural-policy/cap-overview/cap-glance_en</w:t>
        </w:r>
      </w:hyperlink>
    </w:p>
    <w:p w14:paraId="4674A3A2"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Commission. (n.d.-c). Eco-schemes. </w:t>
      </w:r>
      <w:hyperlink r:id="rId20" w:history="1">
        <w:r w:rsidRPr="008226ED">
          <w:rPr>
            <w:rStyle w:val="Hyperlink"/>
            <w:rFonts w:ascii="Times New Roman" w:hAnsi="Times New Roman" w:cs="Times New Roman"/>
            <w:sz w:val="24"/>
            <w:szCs w:val="24"/>
          </w:rPr>
          <w:t>https://agriculture.ec.europa.eu/common-agricultural-policy/income-support/eco-schemes_en</w:t>
        </w:r>
      </w:hyperlink>
    </w:p>
    <w:p w14:paraId="03B6651B"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Commission. (n.d.-d). Conditionality under the CAP 2023–27. </w:t>
      </w:r>
      <w:hyperlink r:id="rId21" w:history="1">
        <w:r w:rsidRPr="008226ED">
          <w:rPr>
            <w:rStyle w:val="Hyperlink"/>
            <w:rFonts w:ascii="Times New Roman" w:hAnsi="Times New Roman" w:cs="Times New Roman"/>
            <w:sz w:val="24"/>
            <w:szCs w:val="24"/>
          </w:rPr>
          <w:t>https://agriculture.ec.europa.eu/common-agricultural-policy/income-support/conditionality_en</w:t>
        </w:r>
      </w:hyperlink>
    </w:p>
    <w:p w14:paraId="07517BD4" w14:textId="77777777" w:rsidR="006B7CAD" w:rsidRPr="008226ED" w:rsidRDefault="006B7CAD" w:rsidP="00D16F37">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European Commission. (n.d.-e). Agri-food data portal: CAP 2023–27 indicators (PMEF). </w:t>
      </w:r>
      <w:hyperlink r:id="rId22" w:history="1">
        <w:r w:rsidRPr="008226ED">
          <w:rPr>
            <w:rStyle w:val="Hyperlink"/>
            <w:rFonts w:ascii="Times New Roman" w:hAnsi="Times New Roman" w:cs="Times New Roman"/>
            <w:sz w:val="24"/>
            <w:szCs w:val="24"/>
          </w:rPr>
          <w:t>https://agridata.ec.europa.eu/extensions/dataportal/pmef_indicators.html</w:t>
        </w:r>
      </w:hyperlink>
    </w:p>
    <w:p w14:paraId="5C081E46" w14:textId="77777777" w:rsidR="006B7CAD" w:rsidRPr="008226ED" w:rsidRDefault="006B7CAD" w:rsidP="00091662">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European Parliament, and Council of the European Union. (2013a). Regulation (EU) No 1305/2013 on support for rural development by the EAFRD. Official Journal of the European Union, L 347, 487–548.</w:t>
      </w:r>
      <w:r w:rsidRPr="008226ED">
        <w:t xml:space="preserve"> </w:t>
      </w:r>
      <w:hyperlink r:id="rId23" w:history="1">
        <w:r w:rsidRPr="008226ED">
          <w:rPr>
            <w:rStyle w:val="Hyperlink"/>
            <w:rFonts w:ascii="Times New Roman" w:hAnsi="Times New Roman" w:cs="Times New Roman"/>
            <w:sz w:val="24"/>
            <w:szCs w:val="24"/>
          </w:rPr>
          <w:t>https://eur-lex.europa.eu/LexUriServ/LexUriServ.do?uri=OJ:L:2013:347:0487:0548:EN:PDF</w:t>
        </w:r>
      </w:hyperlink>
    </w:p>
    <w:p w14:paraId="3E7E4E5A" w14:textId="77777777" w:rsidR="006B7CAD" w:rsidRPr="008226ED" w:rsidRDefault="006B7CAD" w:rsidP="00091662">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European Parliament, and Council of the European Union. (2013b). Regulation (EU) No 1303/2013 laying down common provisions on the European Structural and Investment Funds (Annex II: Method for establishing the performance framework). Official Journal of the European Union, L 347, 320–469. https://eur-lex.europa.eu/eli/reg/2013/1303/oj/eng</w:t>
      </w:r>
    </w:p>
    <w:p w14:paraId="0E90B441" w14:textId="77777777" w:rsidR="006B7CAD" w:rsidRPr="008226ED" w:rsidRDefault="006B7CAD" w:rsidP="00091662">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European Parliament, and Council of the European Union. (2013c). Regulation (EU) No 1306/2013 on the financing, management and monitoring of the CAP (Article 110: Monitoring and evaluation of the CAP). Official Journal of the European Union, L 347, 549–607. https://eur-lex.europa.eu/eli/reg/2013/1306/oj/eng</w:t>
      </w:r>
    </w:p>
    <w:p w14:paraId="605FE81F" w14:textId="77777777" w:rsidR="006B7CAD" w:rsidRPr="008226ED" w:rsidRDefault="006B7CAD" w:rsidP="002C4308">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Parliament, Directorate-General for Internal Policies, Policy Department B: Structural and Cohesion Policies. (2016). </w:t>
      </w:r>
      <w:r w:rsidRPr="008226ED">
        <w:rPr>
          <w:rFonts w:ascii="Times New Roman" w:hAnsi="Times New Roman" w:cs="Times New Roman"/>
          <w:i/>
          <w:iCs/>
          <w:sz w:val="24"/>
          <w:szCs w:val="24"/>
        </w:rPr>
        <w:t>Financial instruments in the 2014–20 programming period: First experiences of Member States</w:t>
      </w:r>
      <w:r w:rsidRPr="008226ED">
        <w:rPr>
          <w:rFonts w:ascii="Times New Roman" w:hAnsi="Times New Roman" w:cs="Times New Roman"/>
          <w:sz w:val="24"/>
          <w:szCs w:val="24"/>
        </w:rPr>
        <w:t xml:space="preserve"> [Study]. Brussels: European Parliament. </w:t>
      </w:r>
      <w:hyperlink r:id="rId24" w:history="1">
        <w:r w:rsidRPr="008226ED">
          <w:rPr>
            <w:rStyle w:val="Hyperlink"/>
            <w:rFonts w:ascii="Times New Roman" w:hAnsi="Times New Roman" w:cs="Times New Roman"/>
            <w:sz w:val="24"/>
            <w:szCs w:val="24"/>
          </w:rPr>
          <w:t>https://www.europarl.europa.eu/RegData/etudes/STUD/2016/573449/IPOL_STU(2016)573449_EN.pdf</w:t>
        </w:r>
      </w:hyperlink>
    </w:p>
    <w:p w14:paraId="5A58C42D"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Parliament. (2022, October 10). The common agricultural policy at 60: A growing role and new room for manoeuvre [PDF]. </w:t>
      </w:r>
      <w:hyperlink r:id="rId25" w:history="1">
        <w:r w:rsidRPr="008226ED">
          <w:rPr>
            <w:rStyle w:val="Hyperlink"/>
            <w:rFonts w:ascii="Times New Roman" w:hAnsi="Times New Roman" w:cs="Times New Roman"/>
            <w:sz w:val="24"/>
            <w:szCs w:val="24"/>
          </w:rPr>
          <w:t>https://www.europarl.europa.eu/RegData/etudes/STUD/2022/734678/EPRS_STU(2022)734678_EN.pdf</w:t>
        </w:r>
      </w:hyperlink>
    </w:p>
    <w:p w14:paraId="1A6AE72A"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Parliament. (2025, February 28). Financing of the CAP: Facts and figures. </w:t>
      </w:r>
      <w:hyperlink r:id="rId26" w:history="1">
        <w:r w:rsidRPr="008226ED">
          <w:rPr>
            <w:rStyle w:val="Hyperlink"/>
            <w:rFonts w:ascii="Times New Roman" w:hAnsi="Times New Roman" w:cs="Times New Roman"/>
            <w:sz w:val="24"/>
            <w:szCs w:val="24"/>
          </w:rPr>
          <w:t>https://www.europarl.europa.eu/factsheets/en/sheet/106/financing-of-the-cap</w:t>
        </w:r>
      </w:hyperlink>
    </w:p>
    <w:p w14:paraId="1232F08E"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Parliament. (2025, March 31). The common agricultural policy (CAP) and the Treaty. </w:t>
      </w:r>
      <w:hyperlink r:id="rId27" w:history="1">
        <w:r w:rsidRPr="008226ED">
          <w:rPr>
            <w:rStyle w:val="Hyperlink"/>
            <w:rFonts w:ascii="Times New Roman" w:hAnsi="Times New Roman" w:cs="Times New Roman"/>
            <w:sz w:val="24"/>
            <w:szCs w:val="24"/>
          </w:rPr>
          <w:t>https://www.europarl.europa.eu/factsheets/en/sheet/103/the-common-agricultural-policy-cap-and-the-treaty</w:t>
        </w:r>
      </w:hyperlink>
    </w:p>
    <w:p w14:paraId="47433733"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Parliament. (2025b). Direct payments. </w:t>
      </w:r>
      <w:hyperlink r:id="rId28" w:history="1">
        <w:r w:rsidRPr="008226ED">
          <w:rPr>
            <w:rStyle w:val="Hyperlink"/>
            <w:rFonts w:ascii="Times New Roman" w:hAnsi="Times New Roman" w:cs="Times New Roman"/>
            <w:sz w:val="24"/>
            <w:szCs w:val="24"/>
          </w:rPr>
          <w:t>https://www.europarl.europa.eu/factsheets/en/sheet/109/direct-payments</w:t>
        </w:r>
      </w:hyperlink>
    </w:p>
    <w:p w14:paraId="78A98188"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Parliament. (2025c). Rural development and the CAP. </w:t>
      </w:r>
      <w:hyperlink r:id="rId29" w:history="1">
        <w:r w:rsidRPr="008226ED">
          <w:rPr>
            <w:rStyle w:val="Hyperlink"/>
            <w:rFonts w:ascii="Times New Roman" w:hAnsi="Times New Roman" w:cs="Times New Roman"/>
            <w:sz w:val="24"/>
            <w:szCs w:val="24"/>
          </w:rPr>
          <w:t>https://www.europarl.europa.eu/factsheets/en/sheet/329735/rural-development-and-the-cap</w:t>
        </w:r>
      </w:hyperlink>
    </w:p>
    <w:p w14:paraId="19DB2EBA"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Union. (2016). Consolidated version of the Treaty on the Functioning of the European Union: Article 44 (ex Article 38 TEC). EUR-Lex. </w:t>
      </w:r>
      <w:hyperlink r:id="rId30" w:history="1">
        <w:r w:rsidRPr="008226ED">
          <w:rPr>
            <w:rStyle w:val="Hyperlink"/>
            <w:rFonts w:ascii="Times New Roman" w:hAnsi="Times New Roman" w:cs="Times New Roman"/>
            <w:sz w:val="24"/>
            <w:szCs w:val="24"/>
          </w:rPr>
          <w:t>https://eur-lex.europa.eu/eli/treaty/tfeu_2016/art_44/oj/eng</w:t>
        </w:r>
      </w:hyperlink>
    </w:p>
    <w:p w14:paraId="089C53D7"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European Union. (2016). Consolidated version of the Treaty on the Functioning of the European Union: Article 38 (ex Article 32 TEC). </w:t>
      </w:r>
      <w:hyperlink r:id="rId31" w:history="1">
        <w:r w:rsidRPr="008226ED">
          <w:rPr>
            <w:rStyle w:val="Hyperlink"/>
            <w:rFonts w:ascii="Times New Roman" w:hAnsi="Times New Roman" w:cs="Times New Roman"/>
            <w:sz w:val="24"/>
            <w:szCs w:val="24"/>
          </w:rPr>
          <w:t>https://www.legislation.gov.uk/eut/teec/article/38</w:t>
        </w:r>
      </w:hyperlink>
    </w:p>
    <w:p w14:paraId="70491068" w14:textId="77777777" w:rsidR="006B7CAD" w:rsidRPr="008226ED" w:rsidRDefault="006B7CAD" w:rsidP="006C1F23">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IEEP. (2025). Seeking simplification in the complex environment of EU agriculture: Challenges and considerations. </w:t>
      </w:r>
      <w:hyperlink r:id="rId32" w:history="1">
        <w:r w:rsidRPr="008226ED">
          <w:rPr>
            <w:rStyle w:val="Hyperlink"/>
            <w:rFonts w:ascii="Times New Roman" w:hAnsi="Times New Roman" w:cs="Times New Roman"/>
            <w:sz w:val="24"/>
            <w:szCs w:val="24"/>
          </w:rPr>
          <w:t>https://ieep.eu/news/seeking-simplification-in-the-complex-environment-of-eu-agriculture-challenges-and-considerations/</w:t>
        </w:r>
      </w:hyperlink>
      <w:r w:rsidRPr="008226ED">
        <w:rPr>
          <w:rFonts w:ascii="Times New Roman" w:hAnsi="Times New Roman" w:cs="Times New Roman"/>
          <w:sz w:val="24"/>
          <w:szCs w:val="24"/>
        </w:rPr>
        <w:t xml:space="preserve"> (</w:t>
      </w:r>
      <w:hyperlink r:id="rId33" w:tooltip="Seeking simplification in the complex environment of EU ..." w:history="1">
        <w:r w:rsidRPr="008226ED">
          <w:rPr>
            <w:rStyle w:val="Hyperlink"/>
            <w:rFonts w:ascii="Times New Roman" w:hAnsi="Times New Roman" w:cs="Times New Roman"/>
            <w:sz w:val="24"/>
            <w:szCs w:val="24"/>
          </w:rPr>
          <w:t>IEEP AISBL</w:t>
        </w:r>
      </w:hyperlink>
      <w:r w:rsidRPr="008226ED">
        <w:rPr>
          <w:rFonts w:ascii="Times New Roman" w:hAnsi="Times New Roman" w:cs="Times New Roman"/>
          <w:sz w:val="24"/>
          <w:szCs w:val="24"/>
        </w:rPr>
        <w:t>)</w:t>
      </w:r>
    </w:p>
    <w:p w14:paraId="3E07538D"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International Monetary Fund. Rosenblatt, J., Mayer, T., Bartholdy, K., Demekas, D., Gupta, S., &amp; Lipschitz, L. (1988). The Common Agricultural Policy of the European Community: Principles and consequences (IMF Occasional Paper No. 62). </w:t>
      </w:r>
      <w:hyperlink r:id="rId34" w:history="1">
        <w:r w:rsidRPr="008226ED">
          <w:rPr>
            <w:rStyle w:val="Hyperlink"/>
            <w:rFonts w:ascii="Times New Roman" w:hAnsi="Times New Roman" w:cs="Times New Roman"/>
            <w:sz w:val="24"/>
            <w:szCs w:val="24"/>
          </w:rPr>
          <w:t>https://www.elibrary.imf.org/downloadpdf/display/book/9781557750365/9781557750365.pdf</w:t>
        </w:r>
      </w:hyperlink>
    </w:p>
    <w:p w14:paraId="3A1D261C"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t xml:space="preserve">Schnepf, R. (2021, June 7). EU agricultural domestic support: Overview and comparison with the United States (CRS Report R46811). Congressional Research Service. </w:t>
      </w:r>
      <w:hyperlink r:id="rId35" w:history="1">
        <w:r w:rsidRPr="008226ED">
          <w:rPr>
            <w:rStyle w:val="Hyperlink"/>
            <w:rFonts w:ascii="Times New Roman" w:hAnsi="Times New Roman" w:cs="Times New Roman"/>
            <w:sz w:val="24"/>
            <w:szCs w:val="24"/>
          </w:rPr>
          <w:t>https://www.congress.gov/crs-product/R46811</w:t>
        </w:r>
      </w:hyperlink>
    </w:p>
    <w:p w14:paraId="0B4BCA81" w14:textId="77777777" w:rsidR="006B7CAD" w:rsidRPr="008226ED" w:rsidRDefault="006B7CAD" w:rsidP="00D16F37">
      <w:pPr>
        <w:spacing w:line="360" w:lineRule="auto"/>
        <w:ind w:firstLine="720"/>
        <w:jc w:val="both"/>
        <w:rPr>
          <w:rFonts w:ascii="Times New Roman" w:hAnsi="Times New Roman" w:cs="Times New Roman"/>
          <w:sz w:val="24"/>
          <w:szCs w:val="24"/>
        </w:rPr>
      </w:pPr>
      <w:r w:rsidRPr="008226ED">
        <w:rPr>
          <w:rFonts w:ascii="Times New Roman" w:hAnsi="Times New Roman" w:cs="Times New Roman"/>
          <w:sz w:val="24"/>
          <w:szCs w:val="24"/>
        </w:rPr>
        <w:lastRenderedPageBreak/>
        <w:t xml:space="preserve">U.S. Department of Agriculture, Economic Research Service. (2025, January 4). European Union – Common Agricultural Policy. </w:t>
      </w:r>
      <w:hyperlink r:id="rId36" w:history="1">
        <w:r w:rsidRPr="008226ED">
          <w:rPr>
            <w:rStyle w:val="Hyperlink"/>
            <w:rFonts w:ascii="Times New Roman" w:hAnsi="Times New Roman" w:cs="Times New Roman"/>
            <w:sz w:val="24"/>
            <w:szCs w:val="24"/>
          </w:rPr>
          <w:t>https://www.ers.usda.gov/topics/international-markets-us-trade/countries-regions/european-union/common-agricultural-policy</w:t>
        </w:r>
      </w:hyperlink>
    </w:p>
    <w:p w14:paraId="75A47187" w14:textId="77777777" w:rsidR="006B7CAD" w:rsidRDefault="006B7CAD" w:rsidP="00091662">
      <w:pPr>
        <w:spacing w:line="360" w:lineRule="auto"/>
        <w:ind w:firstLine="720"/>
        <w:jc w:val="both"/>
        <w:rPr>
          <w:rFonts w:ascii="Times New Roman" w:hAnsi="Times New Roman" w:cs="Times New Roman"/>
          <w:sz w:val="24"/>
          <w:szCs w:val="24"/>
          <w:lang w:val="bg-BG"/>
        </w:rPr>
      </w:pPr>
      <w:r w:rsidRPr="008226ED">
        <w:rPr>
          <w:rFonts w:ascii="Times New Roman" w:hAnsi="Times New Roman" w:cs="Times New Roman"/>
          <w:sz w:val="24"/>
          <w:szCs w:val="24"/>
        </w:rPr>
        <w:t xml:space="preserve">World Bank. Ingco, M. D., &amp; Mitchell, D. O. (1992, February). How EC 1992 and reforms of the common agricultural policy would affect developing countries’ grain trade (Policy Research Working Paper No. 848). </w:t>
      </w:r>
      <w:hyperlink r:id="rId37" w:history="1">
        <w:r w:rsidRPr="008226ED">
          <w:rPr>
            <w:rStyle w:val="Hyperlink"/>
            <w:rFonts w:ascii="Times New Roman" w:hAnsi="Times New Roman" w:cs="Times New Roman"/>
            <w:sz w:val="24"/>
            <w:szCs w:val="24"/>
          </w:rPr>
          <w:t>https://documents1.worldbank.org/curated/en/778621468744310106/pdf/multi-page.pdf</w:t>
        </w:r>
      </w:hyperlink>
    </w:p>
    <w:p w14:paraId="02AA5457" w14:textId="77777777" w:rsidR="00091662" w:rsidRPr="00091662" w:rsidRDefault="00091662" w:rsidP="00091662">
      <w:pPr>
        <w:spacing w:line="360" w:lineRule="auto"/>
        <w:ind w:firstLine="720"/>
        <w:jc w:val="both"/>
        <w:rPr>
          <w:rFonts w:ascii="Times New Roman" w:hAnsi="Times New Roman" w:cs="Times New Roman"/>
          <w:sz w:val="24"/>
          <w:szCs w:val="24"/>
          <w:lang w:val="bg-BG"/>
        </w:rPr>
      </w:pPr>
    </w:p>
    <w:p w14:paraId="4BD4DD9F" w14:textId="77777777" w:rsidR="00BB4704" w:rsidRPr="00BB4704" w:rsidRDefault="00BB4704" w:rsidP="00BB4704">
      <w:pPr>
        <w:spacing w:line="360" w:lineRule="auto"/>
        <w:jc w:val="both"/>
        <w:rPr>
          <w:rFonts w:ascii="Times New Roman" w:hAnsi="Times New Roman" w:cs="Times New Roman"/>
          <w:sz w:val="24"/>
          <w:szCs w:val="24"/>
          <w:lang w:val="bg-BG"/>
        </w:rPr>
      </w:pPr>
    </w:p>
    <w:sectPr w:rsidR="00BB4704" w:rsidRPr="00BB4704" w:rsidSect="00512D1C">
      <w:pgSz w:w="12240" w:h="15840"/>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71C8"/>
    <w:multiLevelType w:val="multilevel"/>
    <w:tmpl w:val="CAACCB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A56500B"/>
    <w:multiLevelType w:val="multilevel"/>
    <w:tmpl w:val="DBD2AE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8217716"/>
    <w:multiLevelType w:val="multilevel"/>
    <w:tmpl w:val="C52E2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4B4B0A"/>
    <w:multiLevelType w:val="multilevel"/>
    <w:tmpl w:val="1A462F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09C0681"/>
    <w:multiLevelType w:val="multilevel"/>
    <w:tmpl w:val="8A1E40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D302866"/>
    <w:multiLevelType w:val="multilevel"/>
    <w:tmpl w:val="076CF8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D1D1DEB"/>
    <w:multiLevelType w:val="multilevel"/>
    <w:tmpl w:val="D84462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7440956">
    <w:abstractNumId w:val="1"/>
  </w:num>
  <w:num w:numId="2" w16cid:durableId="1152260199">
    <w:abstractNumId w:val="4"/>
  </w:num>
  <w:num w:numId="3" w16cid:durableId="441657493">
    <w:abstractNumId w:val="6"/>
  </w:num>
  <w:num w:numId="4" w16cid:durableId="1793861283">
    <w:abstractNumId w:val="5"/>
  </w:num>
  <w:num w:numId="5" w16cid:durableId="753091505">
    <w:abstractNumId w:val="3"/>
  </w:num>
  <w:num w:numId="6" w16cid:durableId="273635445">
    <w:abstractNumId w:val="0"/>
  </w:num>
  <w:num w:numId="7" w16cid:durableId="429131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1C"/>
    <w:rsid w:val="00004488"/>
    <w:rsid w:val="00006BCF"/>
    <w:rsid w:val="00014C84"/>
    <w:rsid w:val="000629C3"/>
    <w:rsid w:val="00091662"/>
    <w:rsid w:val="0018724A"/>
    <w:rsid w:val="00245739"/>
    <w:rsid w:val="0026662D"/>
    <w:rsid w:val="002C4308"/>
    <w:rsid w:val="002D55B8"/>
    <w:rsid w:val="00316D9B"/>
    <w:rsid w:val="003D5CA5"/>
    <w:rsid w:val="003D6BDA"/>
    <w:rsid w:val="00410DD4"/>
    <w:rsid w:val="00412872"/>
    <w:rsid w:val="00486034"/>
    <w:rsid w:val="004A5201"/>
    <w:rsid w:val="00512D1C"/>
    <w:rsid w:val="0059184E"/>
    <w:rsid w:val="0062220E"/>
    <w:rsid w:val="0066546F"/>
    <w:rsid w:val="00683B6D"/>
    <w:rsid w:val="006B7CAD"/>
    <w:rsid w:val="006C1F23"/>
    <w:rsid w:val="006D0E13"/>
    <w:rsid w:val="00702E91"/>
    <w:rsid w:val="00735746"/>
    <w:rsid w:val="007F60B7"/>
    <w:rsid w:val="008226ED"/>
    <w:rsid w:val="008730EA"/>
    <w:rsid w:val="0091656E"/>
    <w:rsid w:val="00924338"/>
    <w:rsid w:val="009278D1"/>
    <w:rsid w:val="0098599B"/>
    <w:rsid w:val="00990707"/>
    <w:rsid w:val="009967EB"/>
    <w:rsid w:val="009A44EE"/>
    <w:rsid w:val="009F5D43"/>
    <w:rsid w:val="00A526B0"/>
    <w:rsid w:val="00A639F4"/>
    <w:rsid w:val="00AA0675"/>
    <w:rsid w:val="00AB6913"/>
    <w:rsid w:val="00AD3D7F"/>
    <w:rsid w:val="00B143BC"/>
    <w:rsid w:val="00B20186"/>
    <w:rsid w:val="00B3159B"/>
    <w:rsid w:val="00B97C1E"/>
    <w:rsid w:val="00BB4704"/>
    <w:rsid w:val="00C33143"/>
    <w:rsid w:val="00CF4C70"/>
    <w:rsid w:val="00CF7629"/>
    <w:rsid w:val="00D16F37"/>
    <w:rsid w:val="00D43A56"/>
    <w:rsid w:val="00E313E8"/>
    <w:rsid w:val="00EC3640"/>
    <w:rsid w:val="00F206FA"/>
    <w:rsid w:val="00F405D2"/>
    <w:rsid w:val="00F81196"/>
    <w:rsid w:val="00FA2BFB"/>
    <w:rsid w:val="00FC336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8910"/>
  <w15:docId w15:val="{1F387682-F483-405E-B910-CC064C3F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186"/>
  </w:style>
  <w:style w:type="paragraph" w:styleId="Heading1">
    <w:name w:val="heading 1"/>
    <w:basedOn w:val="Normal1"/>
    <w:next w:val="Normal1"/>
    <w:rsid w:val="00512D1C"/>
    <w:pPr>
      <w:keepNext/>
      <w:keepLines/>
      <w:spacing w:before="400" w:after="120"/>
      <w:outlineLvl w:val="0"/>
    </w:pPr>
    <w:rPr>
      <w:sz w:val="40"/>
      <w:szCs w:val="40"/>
    </w:rPr>
  </w:style>
  <w:style w:type="paragraph" w:styleId="Heading2">
    <w:name w:val="heading 2"/>
    <w:basedOn w:val="Normal1"/>
    <w:next w:val="Normal1"/>
    <w:rsid w:val="00512D1C"/>
    <w:pPr>
      <w:keepNext/>
      <w:keepLines/>
      <w:spacing w:before="360" w:after="120"/>
      <w:outlineLvl w:val="1"/>
    </w:pPr>
    <w:rPr>
      <w:sz w:val="32"/>
      <w:szCs w:val="32"/>
    </w:rPr>
  </w:style>
  <w:style w:type="paragraph" w:styleId="Heading3">
    <w:name w:val="heading 3"/>
    <w:basedOn w:val="Normal1"/>
    <w:next w:val="Normal1"/>
    <w:rsid w:val="00512D1C"/>
    <w:pPr>
      <w:keepNext/>
      <w:keepLines/>
      <w:spacing w:before="320" w:after="80"/>
      <w:outlineLvl w:val="2"/>
    </w:pPr>
    <w:rPr>
      <w:color w:val="434343"/>
      <w:sz w:val="28"/>
      <w:szCs w:val="28"/>
    </w:rPr>
  </w:style>
  <w:style w:type="paragraph" w:styleId="Heading4">
    <w:name w:val="heading 4"/>
    <w:basedOn w:val="Normal1"/>
    <w:next w:val="Normal1"/>
    <w:rsid w:val="00512D1C"/>
    <w:pPr>
      <w:keepNext/>
      <w:keepLines/>
      <w:spacing w:before="280" w:after="80"/>
      <w:outlineLvl w:val="3"/>
    </w:pPr>
    <w:rPr>
      <w:color w:val="666666"/>
      <w:sz w:val="24"/>
      <w:szCs w:val="24"/>
    </w:rPr>
  </w:style>
  <w:style w:type="paragraph" w:styleId="Heading5">
    <w:name w:val="heading 5"/>
    <w:basedOn w:val="Normal1"/>
    <w:next w:val="Normal1"/>
    <w:rsid w:val="00512D1C"/>
    <w:pPr>
      <w:keepNext/>
      <w:keepLines/>
      <w:spacing w:before="240" w:after="80"/>
      <w:outlineLvl w:val="4"/>
    </w:pPr>
    <w:rPr>
      <w:color w:val="666666"/>
    </w:rPr>
  </w:style>
  <w:style w:type="paragraph" w:styleId="Heading6">
    <w:name w:val="heading 6"/>
    <w:basedOn w:val="Normal1"/>
    <w:next w:val="Normal1"/>
    <w:rsid w:val="00512D1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12D1C"/>
  </w:style>
  <w:style w:type="table" w:customStyle="1" w:styleId="TableNormal1">
    <w:name w:val="Table Normal1"/>
    <w:rsid w:val="00512D1C"/>
    <w:tblPr>
      <w:tblCellMar>
        <w:top w:w="0" w:type="dxa"/>
        <w:left w:w="0" w:type="dxa"/>
        <w:bottom w:w="0" w:type="dxa"/>
        <w:right w:w="0" w:type="dxa"/>
      </w:tblCellMar>
    </w:tblPr>
  </w:style>
  <w:style w:type="paragraph" w:styleId="Title">
    <w:name w:val="Title"/>
    <w:basedOn w:val="Normal1"/>
    <w:next w:val="Normal1"/>
    <w:rsid w:val="00512D1C"/>
    <w:pPr>
      <w:keepNext/>
      <w:keepLines/>
      <w:spacing w:after="60"/>
    </w:pPr>
    <w:rPr>
      <w:sz w:val="52"/>
      <w:szCs w:val="52"/>
    </w:rPr>
  </w:style>
  <w:style w:type="paragraph" w:styleId="Subtitle">
    <w:name w:val="Subtitle"/>
    <w:basedOn w:val="Normal1"/>
    <w:next w:val="Normal1"/>
    <w:rsid w:val="00512D1C"/>
    <w:pPr>
      <w:keepNext/>
      <w:keepLines/>
      <w:spacing w:after="320"/>
    </w:pPr>
    <w:rPr>
      <w:color w:val="666666"/>
      <w:sz w:val="30"/>
      <w:szCs w:val="30"/>
    </w:rPr>
  </w:style>
  <w:style w:type="paragraph" w:styleId="ListParagraph">
    <w:name w:val="List Paragraph"/>
    <w:basedOn w:val="Normal"/>
    <w:uiPriority w:val="34"/>
    <w:qFormat/>
    <w:rsid w:val="006C1F23"/>
    <w:pPr>
      <w:ind w:left="720"/>
      <w:contextualSpacing/>
    </w:pPr>
  </w:style>
  <w:style w:type="character" w:styleId="Hyperlink">
    <w:name w:val="Hyperlink"/>
    <w:basedOn w:val="DefaultParagraphFont"/>
    <w:uiPriority w:val="99"/>
    <w:unhideWhenUsed/>
    <w:rsid w:val="006C1F23"/>
    <w:rPr>
      <w:color w:val="0000FF" w:themeColor="hyperlink"/>
      <w:u w:val="single"/>
    </w:rPr>
  </w:style>
  <w:style w:type="character" w:styleId="UnresolvedMention">
    <w:name w:val="Unresolved Mention"/>
    <w:basedOn w:val="DefaultParagraphFont"/>
    <w:uiPriority w:val="99"/>
    <w:semiHidden/>
    <w:unhideWhenUsed/>
    <w:rsid w:val="006C1F23"/>
    <w:rPr>
      <w:color w:val="605E5C"/>
      <w:shd w:val="clear" w:color="auto" w:fill="E1DFDD"/>
    </w:rPr>
  </w:style>
  <w:style w:type="paragraph" w:styleId="NormalWeb">
    <w:name w:val="Normal (Web)"/>
    <w:basedOn w:val="Normal"/>
    <w:uiPriority w:val="99"/>
    <w:semiHidden/>
    <w:unhideWhenUsed/>
    <w:rsid w:val="002C4308"/>
    <w:rPr>
      <w:rFonts w:ascii="Times New Roman" w:hAnsi="Times New Roman" w:cs="Times New Roman"/>
      <w:sz w:val="24"/>
      <w:szCs w:val="24"/>
    </w:rPr>
  </w:style>
  <w:style w:type="table" w:styleId="TableGridLight">
    <w:name w:val="Grid Table Light"/>
    <w:basedOn w:val="TableNormal"/>
    <w:uiPriority w:val="40"/>
    <w:rsid w:val="00410DD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34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onsilium.europa.eu/en/policies/the-common-agricultural-policy-explained/timeline-history-of-cap/" TargetMode="External"/><Relationship Id="rId18" Type="http://schemas.openxmlformats.org/officeDocument/2006/relationships/hyperlink" Target="https://agriculture.ec.europa.eu/common-agricultural-policy/cap-overview_en" TargetMode="External"/><Relationship Id="rId26" Type="http://schemas.openxmlformats.org/officeDocument/2006/relationships/hyperlink" Target="https://www.europarl.europa.eu/factsheets/en/sheet/106/financing-of-the-cap" TargetMode="External"/><Relationship Id="rId39" Type="http://schemas.openxmlformats.org/officeDocument/2006/relationships/theme" Target="theme/theme1.xml"/><Relationship Id="rId21" Type="http://schemas.openxmlformats.org/officeDocument/2006/relationships/hyperlink" Target="https://agriculture.ec.europa.eu/common-agricultural-policy/income-support/conditionality_en" TargetMode="External"/><Relationship Id="rId34" Type="http://schemas.openxmlformats.org/officeDocument/2006/relationships/hyperlink" Target="https://www.elibrary.imf.org/downloadpdf/display/book/9781557750365/9781557750365.pdf" TargetMode="External"/><Relationship Id="rId7" Type="http://schemas.openxmlformats.org/officeDocument/2006/relationships/hyperlink" Target="https://jmsd.bg/files/articles/37/37-01_V_Blazheva.pdf" TargetMode="External"/><Relationship Id="rId12" Type="http://schemas.openxmlformats.org/officeDocument/2006/relationships/hyperlink" Target="https://eur-lex.europa.eu/eli/reg/2021/2115/2024-05-25/eng?utm_source=chatgpt.com" TargetMode="External"/><Relationship Id="rId17" Type="http://schemas.openxmlformats.org/officeDocument/2006/relationships/hyperlink" Target="https://agriculture.ec.europa.eu/document/download/406736a1-3b23-4667-be4a-0ec246ecf760_en?filename=factsheet-cap-strategic-plans-2023-27_en_0.pdf" TargetMode="External"/><Relationship Id="rId25" Type="http://schemas.openxmlformats.org/officeDocument/2006/relationships/hyperlink" Target="https://www.europarl.europa.eu/RegData/etudes/STUD/2022/734678/EPRS_STU(2022)734678_EN.pdf" TargetMode="External"/><Relationship Id="rId33" Type="http://schemas.openxmlformats.org/officeDocument/2006/relationships/hyperlink" Target="https://ieep.eu/news/seeking-simplification-in-the-complex-environment-of-eu-agriculture-challenges-and-considerations/?utm_source=chatgpt.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europa.eu/enrd/sites/default/files/gpw-04_1-2_dg_agri_angrisani.pdf" TargetMode="External"/><Relationship Id="rId20" Type="http://schemas.openxmlformats.org/officeDocument/2006/relationships/hyperlink" Target="https://agriculture.ec.europa.eu/common-agricultural-policy/income-support/eco-schemes_en" TargetMode="External"/><Relationship Id="rId29" Type="http://schemas.openxmlformats.org/officeDocument/2006/relationships/hyperlink" Target="https://www.europarl.europa.eu/factsheets/en/sheet/329735/rural-development-and-the-cap"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ur-lex.europa.eu/eli/reg/2021/2115/2024-05-25/eng" TargetMode="External"/><Relationship Id="rId24" Type="http://schemas.openxmlformats.org/officeDocument/2006/relationships/hyperlink" Target="https://www.europarl.europa.eu/RegData/etudes/STUD/2016/573449/IPOL_STU(2016)573449_EN.pdf" TargetMode="External"/><Relationship Id="rId32" Type="http://schemas.openxmlformats.org/officeDocument/2006/relationships/hyperlink" Target="https://ieep.eu/news/seeking-simplification-in-the-complex-environment-of-eu-agriculture-challenges-and-considerations/" TargetMode="External"/><Relationship Id="rId37" Type="http://schemas.openxmlformats.org/officeDocument/2006/relationships/hyperlink" Target="https://documents1.worldbank.org/curated/en/778621468744310106/pdf/multi-page.pdf" TargetMode="External"/><Relationship Id="rId5" Type="http://schemas.openxmlformats.org/officeDocument/2006/relationships/image" Target="media/image1.png"/><Relationship Id="rId15" Type="http://schemas.openxmlformats.org/officeDocument/2006/relationships/hyperlink" Target="https://eu-cap-network.ec.europa.eu/publications/factsheet-eco-schemes_en?utm_source=chatgpt.com" TargetMode="External"/><Relationship Id="rId23" Type="http://schemas.openxmlformats.org/officeDocument/2006/relationships/hyperlink" Target="https://eur-lex.europa.eu/LexUriServ/LexUriServ.do?uri=OJ:L:2013:347:0487:0548:EN:PDF" TargetMode="External"/><Relationship Id="rId28" Type="http://schemas.openxmlformats.org/officeDocument/2006/relationships/hyperlink" Target="https://www.europarl.europa.eu/factsheets/en/sheet/109/direct-payments" TargetMode="External"/><Relationship Id="rId36" Type="http://schemas.openxmlformats.org/officeDocument/2006/relationships/hyperlink" Target="https://www.ers.usda.gov/topics/international-markets-us-trade/countries-regions/european-union/common-agricultural-policy" TargetMode="External"/><Relationship Id="rId10" Type="http://schemas.openxmlformats.org/officeDocument/2006/relationships/hyperlink" Target="https://ec.europa.eu/commission/presscorner/detail/bg/MEMO_17_4842" TargetMode="External"/><Relationship Id="rId19" Type="http://schemas.openxmlformats.org/officeDocument/2006/relationships/hyperlink" Target="https://agriculture.ec.europa.eu/common-agricultural-policy/cap-overview/cap-glance_en" TargetMode="External"/><Relationship Id="rId31" Type="http://schemas.openxmlformats.org/officeDocument/2006/relationships/hyperlink" Target="https://www.legislation.gov.uk/eut/teec/article/38" TargetMode="External"/><Relationship Id="rId4" Type="http://schemas.openxmlformats.org/officeDocument/2006/relationships/webSettings" Target="webSettings.xml"/><Relationship Id="rId9" Type="http://schemas.openxmlformats.org/officeDocument/2006/relationships/hyperlink" Target="https://doi.org/10.2762/609919" TargetMode="External"/><Relationship Id="rId14" Type="http://schemas.openxmlformats.org/officeDocument/2006/relationships/hyperlink" Target="https://eu-cap-network.ec.europa.eu/publications/factsheet-eco-schemes_en" TargetMode="External"/><Relationship Id="rId22" Type="http://schemas.openxmlformats.org/officeDocument/2006/relationships/hyperlink" Target="https://agridata.ec.europa.eu/extensions/dataportal/pmef_indicators.html" TargetMode="External"/><Relationship Id="rId27" Type="http://schemas.openxmlformats.org/officeDocument/2006/relationships/hyperlink" Target="https://www.europarl.europa.eu/factsheets/en/sheet/103/the-common-agricultural-policy-cap-and-the-treaty" TargetMode="External"/><Relationship Id="rId30" Type="http://schemas.openxmlformats.org/officeDocument/2006/relationships/hyperlink" Target="https://eur-lex.europa.eu/eli/treaty/tfeu_2016/art_44/oj/eng" TargetMode="External"/><Relationship Id="rId35" Type="http://schemas.openxmlformats.org/officeDocument/2006/relationships/hyperlink" Target="https://www.congress.gov/crs-product/R46811" TargetMode="External"/><Relationship Id="rId8" Type="http://schemas.openxmlformats.org/officeDocument/2006/relationships/hyperlink" Target="https://www.eufunds.bg/bg/prsr/node/784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99</Pages>
  <Words>28941</Words>
  <Characters>197672</Characters>
  <Application>Microsoft Office Word</Application>
  <DocSecurity>0</DocSecurity>
  <Lines>4597</Lines>
  <Paragraphs>1030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Kalfova</dc:creator>
  <cp:lastModifiedBy>Word User</cp:lastModifiedBy>
  <cp:revision>14</cp:revision>
  <dcterms:created xsi:type="dcterms:W3CDTF">2025-09-04T16:16:00Z</dcterms:created>
  <dcterms:modified xsi:type="dcterms:W3CDTF">2026-07-04T17:49:00Z</dcterms:modified>
</cp:coreProperties>
</file>