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4A91" w14:textId="77777777" w:rsidR="00AB5AA5" w:rsidRPr="00C67F33" w:rsidRDefault="00057B6F" w:rsidP="00057B6F">
      <w:pPr>
        <w:spacing w:line="360" w:lineRule="auto"/>
        <w:ind w:firstLine="708"/>
        <w:jc w:val="center"/>
        <w:rPr>
          <w:rFonts w:ascii="Times New Roman" w:hAnsi="Times New Roman"/>
          <w:b/>
          <w:bCs/>
          <w:sz w:val="24"/>
          <w:szCs w:val="24"/>
        </w:rPr>
      </w:pPr>
      <w:r w:rsidRPr="00C67F33">
        <w:rPr>
          <w:rFonts w:ascii="Times New Roman" w:hAnsi="Times New Roman"/>
          <w:b/>
          <w:bCs/>
          <w:sz w:val="24"/>
          <w:szCs w:val="24"/>
        </w:rPr>
        <w:t>Търговия по двойки: изграждане на пазарно неутрално портфолио от акции</w:t>
      </w:r>
    </w:p>
    <w:p w14:paraId="1FE20006" w14:textId="77777777" w:rsidR="000A3798" w:rsidRDefault="000A3798">
      <w:pPr>
        <w:spacing w:after="0" w:line="240" w:lineRule="auto"/>
        <w:rPr>
          <w:rFonts w:ascii="Times New Roman" w:hAnsi="Times New Roman"/>
          <w:b/>
          <w:bCs/>
          <w:sz w:val="24"/>
          <w:szCs w:val="24"/>
        </w:rPr>
      </w:pPr>
      <w:r>
        <w:rPr>
          <w:rFonts w:ascii="Times New Roman" w:hAnsi="Times New Roman"/>
          <w:b/>
          <w:bCs/>
          <w:sz w:val="24"/>
          <w:szCs w:val="24"/>
        </w:rPr>
        <w:br w:type="page"/>
      </w:r>
    </w:p>
    <w:p w14:paraId="5C9B559F" w14:textId="71853F80" w:rsidR="00057B6F" w:rsidRPr="00C67F33" w:rsidRDefault="00057B6F" w:rsidP="00057B6F">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lastRenderedPageBreak/>
        <w:t>Увод</w:t>
      </w:r>
    </w:p>
    <w:p w14:paraId="310C3547" w14:textId="77777777" w:rsidR="00112EC3" w:rsidRPr="00112EC3" w:rsidRDefault="00112EC3" w:rsidP="00112EC3">
      <w:pPr>
        <w:spacing w:line="360" w:lineRule="auto"/>
        <w:ind w:firstLine="708"/>
        <w:jc w:val="both"/>
        <w:rPr>
          <w:rFonts w:ascii="Times New Roman" w:hAnsi="Times New Roman"/>
          <w:sz w:val="24"/>
          <w:szCs w:val="24"/>
          <w:lang w:val="en-GB"/>
        </w:rPr>
      </w:pPr>
      <w:proofErr w:type="spellStart"/>
      <w:r w:rsidRPr="00112EC3">
        <w:rPr>
          <w:rFonts w:ascii="Times New Roman" w:hAnsi="Times New Roman"/>
          <w:sz w:val="24"/>
          <w:szCs w:val="24"/>
          <w:lang w:val="en-GB"/>
        </w:rPr>
        <w:t>Устойчивото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генериране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излишна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ограничена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експозиция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стилови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фактори</w:t>
      </w:r>
      <w:proofErr w:type="spellEnd"/>
      <w:r w:rsidRPr="00112EC3">
        <w:rPr>
          <w:rFonts w:ascii="Times New Roman" w:hAnsi="Times New Roman"/>
          <w:sz w:val="24"/>
          <w:szCs w:val="24"/>
          <w:lang w:val="en-GB"/>
        </w:rPr>
        <w:t xml:space="preserve"> е </w:t>
      </w:r>
      <w:proofErr w:type="spellStart"/>
      <w:r w:rsidRPr="00112EC3">
        <w:rPr>
          <w:rFonts w:ascii="Times New Roman" w:hAnsi="Times New Roman"/>
          <w:sz w:val="24"/>
          <w:szCs w:val="24"/>
          <w:lang w:val="en-GB"/>
        </w:rPr>
        <w:t>сред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най-активно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обсъжданите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теми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съвременните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финанси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След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поредица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режимни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промени</w:t>
      </w:r>
      <w:proofErr w:type="spellEnd"/>
      <w:r w:rsidRPr="00112EC3">
        <w:rPr>
          <w:rFonts w:ascii="Times New Roman" w:hAnsi="Times New Roman"/>
          <w:sz w:val="24"/>
          <w:szCs w:val="24"/>
          <w:lang w:val="en-GB"/>
        </w:rPr>
        <w:t xml:space="preserve"> – </w:t>
      </w:r>
      <w:proofErr w:type="spellStart"/>
      <w:r w:rsidRPr="00112EC3">
        <w:rPr>
          <w:rFonts w:ascii="Times New Roman" w:hAnsi="Times New Roman"/>
          <w:sz w:val="24"/>
          <w:szCs w:val="24"/>
          <w:lang w:val="en-GB"/>
        </w:rPr>
        <w:t>постпандемично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възстановяване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повишаване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лихвите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последваща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нормализация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паричната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политика</w:t>
      </w:r>
      <w:proofErr w:type="spellEnd"/>
      <w:r w:rsidRPr="00112EC3">
        <w:rPr>
          <w:rFonts w:ascii="Times New Roman" w:hAnsi="Times New Roman"/>
          <w:sz w:val="24"/>
          <w:szCs w:val="24"/>
          <w:lang w:val="en-GB"/>
        </w:rPr>
        <w:t xml:space="preserve"> – </w:t>
      </w:r>
      <w:proofErr w:type="spellStart"/>
      <w:r w:rsidRPr="00112EC3">
        <w:rPr>
          <w:rFonts w:ascii="Times New Roman" w:hAnsi="Times New Roman"/>
          <w:sz w:val="24"/>
          <w:szCs w:val="24"/>
          <w:lang w:val="en-GB"/>
        </w:rPr>
        <w:t>интересът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стратегии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нарасна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осезаемо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тъй</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предлагат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диверсификация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източниците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контрол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извън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традиционните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бета-експозиции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Настоящата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адресира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тази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потребност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разработване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емпирично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изпитване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мотивиран</w:t>
      </w:r>
      <w:proofErr w:type="spellEnd"/>
      <w:r w:rsidRPr="00112EC3">
        <w:rPr>
          <w:rFonts w:ascii="Times New Roman" w:hAnsi="Times New Roman"/>
          <w:sz w:val="24"/>
          <w:szCs w:val="24"/>
          <w:lang w:val="en-GB"/>
        </w:rPr>
        <w:t xml:space="preserve"> bottom-up long/short </w:t>
      </w:r>
      <w:proofErr w:type="spellStart"/>
      <w:r w:rsidRPr="00112EC3">
        <w:rPr>
          <w:rFonts w:ascii="Times New Roman" w:hAnsi="Times New Roman"/>
          <w:sz w:val="24"/>
          <w:szCs w:val="24"/>
          <w:lang w:val="en-GB"/>
        </w:rPr>
        <w:t>подход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европейски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акции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който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очакваната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алфа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произтича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индустриално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неутрализирани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счетоводни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пазарни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индикатори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агрегирани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композитен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трансформирани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прогнозна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Актуалността</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значимостта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изследването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обуславят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необходимостта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институционалните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индивидуалните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инвеститори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управляват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ефективно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условия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висока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несигурност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едновременно</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това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търсят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стабилни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идиосинкратични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източници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
    <w:p w14:paraId="3C64AE86" w14:textId="77777777" w:rsidR="00112EC3" w:rsidRPr="00112EC3" w:rsidRDefault="00112EC3" w:rsidP="00112EC3">
      <w:pPr>
        <w:spacing w:line="360" w:lineRule="auto"/>
        <w:ind w:firstLine="708"/>
        <w:jc w:val="both"/>
        <w:rPr>
          <w:rFonts w:ascii="Times New Roman" w:hAnsi="Times New Roman"/>
          <w:sz w:val="24"/>
          <w:szCs w:val="24"/>
          <w:lang w:val="en-GB"/>
        </w:rPr>
      </w:pPr>
      <w:proofErr w:type="spellStart"/>
      <w:r w:rsidRPr="00112EC3">
        <w:rPr>
          <w:rFonts w:ascii="Times New Roman" w:hAnsi="Times New Roman"/>
          <w:sz w:val="24"/>
          <w:szCs w:val="24"/>
          <w:lang w:val="en-GB"/>
        </w:rPr>
        <w:t>Целта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изследването</w:t>
      </w:r>
      <w:proofErr w:type="spellEnd"/>
      <w:r w:rsidRPr="00112EC3">
        <w:rPr>
          <w:rFonts w:ascii="Times New Roman" w:hAnsi="Times New Roman"/>
          <w:sz w:val="24"/>
          <w:szCs w:val="24"/>
          <w:lang w:val="en-GB"/>
        </w:rPr>
        <w:t xml:space="preserve"> е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конструира</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оцени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акции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вселената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STOXX Europe 600, </w:t>
      </w:r>
      <w:proofErr w:type="spellStart"/>
      <w:r w:rsidRPr="00112EC3">
        <w:rPr>
          <w:rFonts w:ascii="Times New Roman" w:hAnsi="Times New Roman"/>
          <w:sz w:val="24"/>
          <w:szCs w:val="24"/>
          <w:lang w:val="en-GB"/>
        </w:rPr>
        <w:t>основан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композитен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който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комбинира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стойност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рентабилност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качество</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растеж</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провери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дали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този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има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предсказателна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сила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бъдещи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възвръщаемости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Задачите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включват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извличане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индустриална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нормализация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набор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показатели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агрегиране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показателите</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единен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моделиране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очакваната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кръстосано-секционни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регресии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регуляризация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конструиране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симетричен</w:t>
      </w:r>
      <w:proofErr w:type="spellEnd"/>
      <w:r w:rsidRPr="00112EC3">
        <w:rPr>
          <w:rFonts w:ascii="Times New Roman" w:hAnsi="Times New Roman"/>
          <w:sz w:val="24"/>
          <w:szCs w:val="24"/>
          <w:lang w:val="en-GB"/>
        </w:rPr>
        <w:t xml:space="preserve"> long/short </w:t>
      </w:r>
      <w:proofErr w:type="spellStart"/>
      <w:r w:rsidRPr="00112EC3">
        <w:rPr>
          <w:rFonts w:ascii="Times New Roman" w:hAnsi="Times New Roman"/>
          <w:sz w:val="24"/>
          <w:szCs w:val="24"/>
          <w:lang w:val="en-GB"/>
        </w:rPr>
        <w:t>портфейл</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факторни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ограничения</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оценка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представянето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спрямо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абсолютни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относителни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метрики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включително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проверка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пазарна</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факторна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неутралност</w:t>
      </w:r>
      <w:proofErr w:type="spellEnd"/>
      <w:r w:rsidRPr="00112EC3">
        <w:rPr>
          <w:rFonts w:ascii="Times New Roman" w:hAnsi="Times New Roman"/>
          <w:sz w:val="24"/>
          <w:szCs w:val="24"/>
          <w:lang w:val="en-GB"/>
        </w:rPr>
        <w:t xml:space="preserve">. </w:t>
      </w:r>
    </w:p>
    <w:p w14:paraId="7D881A53" w14:textId="77777777" w:rsidR="00112EC3" w:rsidRPr="00112EC3" w:rsidRDefault="00112EC3" w:rsidP="00112EC3">
      <w:pPr>
        <w:spacing w:line="360" w:lineRule="auto"/>
        <w:ind w:firstLine="708"/>
        <w:jc w:val="both"/>
        <w:rPr>
          <w:rFonts w:ascii="Times New Roman" w:hAnsi="Times New Roman"/>
          <w:sz w:val="24"/>
          <w:szCs w:val="24"/>
          <w:lang w:val="en-GB"/>
        </w:rPr>
      </w:pPr>
      <w:proofErr w:type="spellStart"/>
      <w:r w:rsidRPr="00112EC3">
        <w:rPr>
          <w:rFonts w:ascii="Times New Roman" w:hAnsi="Times New Roman"/>
          <w:sz w:val="24"/>
          <w:szCs w:val="24"/>
          <w:lang w:val="en-GB"/>
        </w:rPr>
        <w:t>Обект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изследването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публично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търгувани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европейски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компании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включени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индекса</w:t>
      </w:r>
      <w:proofErr w:type="spellEnd"/>
      <w:r w:rsidRPr="00112EC3">
        <w:rPr>
          <w:rFonts w:ascii="Times New Roman" w:hAnsi="Times New Roman"/>
          <w:sz w:val="24"/>
          <w:szCs w:val="24"/>
          <w:lang w:val="en-GB"/>
        </w:rPr>
        <w:t xml:space="preserve"> STOXX Europe 600, а </w:t>
      </w:r>
      <w:proofErr w:type="spellStart"/>
      <w:r w:rsidRPr="00112EC3">
        <w:rPr>
          <w:rFonts w:ascii="Times New Roman" w:hAnsi="Times New Roman"/>
          <w:sz w:val="24"/>
          <w:szCs w:val="24"/>
          <w:lang w:val="en-GB"/>
        </w:rPr>
        <w:t>предмет</w:t>
      </w:r>
      <w:proofErr w:type="spellEnd"/>
      <w:r w:rsidRPr="00112EC3">
        <w:rPr>
          <w:rFonts w:ascii="Times New Roman" w:hAnsi="Times New Roman"/>
          <w:sz w:val="24"/>
          <w:szCs w:val="24"/>
          <w:lang w:val="en-GB"/>
        </w:rPr>
        <w:t xml:space="preserve"> е </w:t>
      </w:r>
      <w:proofErr w:type="spellStart"/>
      <w:r w:rsidRPr="00112EC3">
        <w:rPr>
          <w:rFonts w:ascii="Times New Roman" w:hAnsi="Times New Roman"/>
          <w:sz w:val="24"/>
          <w:szCs w:val="24"/>
          <w:lang w:val="en-GB"/>
        </w:rPr>
        <w:t>връзката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между</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индустриално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неутрализирани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характеристики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агрегирани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композитен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реализираните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както</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приложимостта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тази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връзка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конструиране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Извадката</w:t>
      </w:r>
      <w:proofErr w:type="spellEnd"/>
      <w:r w:rsidRPr="00112EC3">
        <w:rPr>
          <w:rFonts w:ascii="Times New Roman" w:hAnsi="Times New Roman"/>
          <w:sz w:val="24"/>
          <w:szCs w:val="24"/>
          <w:lang w:val="en-GB"/>
        </w:rPr>
        <w:t xml:space="preserve"> е </w:t>
      </w:r>
      <w:proofErr w:type="spellStart"/>
      <w:r w:rsidRPr="00112EC3">
        <w:rPr>
          <w:rFonts w:ascii="Times New Roman" w:hAnsi="Times New Roman"/>
          <w:sz w:val="24"/>
          <w:szCs w:val="24"/>
          <w:lang w:val="en-GB"/>
        </w:rPr>
        <w:t>формирана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реалистични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филтри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ликвидност</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наличност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данни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избягват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секторни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изкривявания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нормализация</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рамките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индустрии</w:t>
      </w:r>
      <w:proofErr w:type="spellEnd"/>
      <w:r w:rsidRPr="00112EC3">
        <w:rPr>
          <w:rFonts w:ascii="Times New Roman" w:hAnsi="Times New Roman"/>
          <w:sz w:val="24"/>
          <w:szCs w:val="24"/>
          <w:lang w:val="en-GB"/>
        </w:rPr>
        <w:t xml:space="preserve">. </w:t>
      </w:r>
    </w:p>
    <w:p w14:paraId="6966E593" w14:textId="0197E297" w:rsidR="00112EC3" w:rsidRPr="00112EC3" w:rsidRDefault="00112EC3" w:rsidP="00112EC3">
      <w:pPr>
        <w:spacing w:line="360" w:lineRule="auto"/>
        <w:ind w:firstLine="708"/>
        <w:jc w:val="both"/>
        <w:rPr>
          <w:rFonts w:ascii="Times New Roman" w:hAnsi="Times New Roman"/>
          <w:sz w:val="24"/>
          <w:szCs w:val="24"/>
          <w:lang w:val="en-GB"/>
        </w:rPr>
      </w:pPr>
      <w:r>
        <w:rPr>
          <w:rFonts w:ascii="Times New Roman" w:hAnsi="Times New Roman"/>
          <w:sz w:val="24"/>
          <w:szCs w:val="24"/>
        </w:rPr>
        <w:lastRenderedPageBreak/>
        <w:t>Тества се хипотезата</w:t>
      </w:r>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компаниите</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по-висок</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композитен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реализират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статистически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по-висока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следващ</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период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след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контрол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стилови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фактори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следствие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това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симетричен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дълги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позиции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горния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квинтил</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къси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позиции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долния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квинтил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ще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постига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положителна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излишна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ниска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корелация</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пазара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Хипотезата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тества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чрез</w:t>
      </w:r>
      <w:proofErr w:type="spellEnd"/>
      <w:r w:rsidRPr="00112EC3">
        <w:rPr>
          <w:rFonts w:ascii="Times New Roman" w:hAnsi="Times New Roman"/>
          <w:sz w:val="24"/>
          <w:szCs w:val="24"/>
          <w:lang w:val="en-GB"/>
        </w:rPr>
        <w:t xml:space="preserve"> Fama–MacBeth </w:t>
      </w:r>
      <w:proofErr w:type="spellStart"/>
      <w:r w:rsidRPr="00112EC3">
        <w:rPr>
          <w:rFonts w:ascii="Times New Roman" w:hAnsi="Times New Roman"/>
          <w:sz w:val="24"/>
          <w:szCs w:val="24"/>
          <w:lang w:val="en-GB"/>
        </w:rPr>
        <w:t>тип</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регресии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регуляризация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типа</w:t>
      </w:r>
      <w:proofErr w:type="spellEnd"/>
      <w:r w:rsidRPr="00112EC3">
        <w:rPr>
          <w:rFonts w:ascii="Times New Roman" w:hAnsi="Times New Roman"/>
          <w:sz w:val="24"/>
          <w:szCs w:val="24"/>
          <w:lang w:val="en-GB"/>
        </w:rPr>
        <w:t xml:space="preserve"> Lasso, </w:t>
      </w:r>
      <w:proofErr w:type="spellStart"/>
      <w:r w:rsidRPr="00112EC3">
        <w:rPr>
          <w:rFonts w:ascii="Times New Roman" w:hAnsi="Times New Roman"/>
          <w:sz w:val="24"/>
          <w:szCs w:val="24"/>
          <w:lang w:val="en-GB"/>
        </w:rPr>
        <w:t>както</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чрез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последващи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факторни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разлагания</w:t>
      </w:r>
      <w:proofErr w:type="spellEnd"/>
      <w:r w:rsidRPr="00112EC3">
        <w:rPr>
          <w:rFonts w:ascii="Times New Roman" w:hAnsi="Times New Roman"/>
          <w:sz w:val="24"/>
          <w:szCs w:val="24"/>
          <w:lang w:val="en-GB"/>
        </w:rPr>
        <w:t xml:space="preserve">. </w:t>
      </w:r>
    </w:p>
    <w:p w14:paraId="2B822952" w14:textId="0C1E1947" w:rsidR="00112EC3" w:rsidRPr="00112EC3" w:rsidRDefault="00112EC3" w:rsidP="00112EC3">
      <w:pPr>
        <w:spacing w:line="360" w:lineRule="auto"/>
        <w:ind w:firstLine="708"/>
        <w:jc w:val="both"/>
        <w:rPr>
          <w:rFonts w:ascii="Times New Roman" w:hAnsi="Times New Roman"/>
          <w:sz w:val="24"/>
          <w:szCs w:val="24"/>
          <w:lang w:val="en-GB"/>
        </w:rPr>
      </w:pPr>
      <w:r>
        <w:rPr>
          <w:rFonts w:ascii="Times New Roman" w:hAnsi="Times New Roman"/>
          <w:sz w:val="24"/>
          <w:szCs w:val="24"/>
        </w:rPr>
        <w:t xml:space="preserve">Методологиятя включва </w:t>
      </w:r>
      <w:proofErr w:type="spellStart"/>
      <w:r w:rsidRPr="00112EC3">
        <w:rPr>
          <w:rFonts w:ascii="Times New Roman" w:hAnsi="Times New Roman"/>
          <w:sz w:val="24"/>
          <w:szCs w:val="24"/>
          <w:lang w:val="en-GB"/>
        </w:rPr>
        <w:t>извлича</w:t>
      </w:r>
      <w:proofErr w:type="spellEnd"/>
      <w:r>
        <w:rPr>
          <w:rFonts w:ascii="Times New Roman" w:hAnsi="Times New Roman"/>
          <w:sz w:val="24"/>
          <w:szCs w:val="24"/>
        </w:rPr>
        <w:t>не</w:t>
      </w:r>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обработ</w:t>
      </w:r>
      <w:proofErr w:type="spellEnd"/>
      <w:r>
        <w:rPr>
          <w:rFonts w:ascii="Times New Roman" w:hAnsi="Times New Roman"/>
          <w:sz w:val="24"/>
          <w:szCs w:val="24"/>
        </w:rPr>
        <w:t>ка на</w:t>
      </w:r>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счетоводни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ценови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данни</w:t>
      </w:r>
      <w:proofErr w:type="spellEnd"/>
      <w:r w:rsidRPr="00112EC3">
        <w:rPr>
          <w:rFonts w:ascii="Times New Roman" w:hAnsi="Times New Roman"/>
          <w:sz w:val="24"/>
          <w:szCs w:val="24"/>
          <w:lang w:val="en-GB"/>
        </w:rPr>
        <w:t xml:space="preserve"> point-in-time, </w:t>
      </w:r>
      <w:proofErr w:type="spellStart"/>
      <w:r w:rsidRPr="00112EC3">
        <w:rPr>
          <w:rFonts w:ascii="Times New Roman" w:hAnsi="Times New Roman"/>
          <w:sz w:val="24"/>
          <w:szCs w:val="24"/>
          <w:lang w:val="en-GB"/>
        </w:rPr>
        <w:t>след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ключови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индикатори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инвертиран</w:t>
      </w:r>
      <w:proofErr w:type="spellEnd"/>
      <w:r w:rsidRPr="00112EC3">
        <w:rPr>
          <w:rFonts w:ascii="Times New Roman" w:hAnsi="Times New Roman"/>
          <w:sz w:val="24"/>
          <w:szCs w:val="24"/>
          <w:lang w:val="en-GB"/>
        </w:rPr>
        <w:t xml:space="preserve"> EV/EBITDA, Book-to-Market, ROE, OCF/Assets и </w:t>
      </w:r>
      <w:proofErr w:type="spellStart"/>
      <w:r w:rsidRPr="00112EC3">
        <w:rPr>
          <w:rFonts w:ascii="Times New Roman" w:hAnsi="Times New Roman"/>
          <w:sz w:val="24"/>
          <w:szCs w:val="24"/>
          <w:lang w:val="en-GB"/>
        </w:rPr>
        <w:t>ръст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продажбите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неутрализират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индустриално</w:t>
      </w:r>
      <w:proofErr w:type="spellEnd"/>
      <w:r w:rsidRPr="00112EC3">
        <w:rPr>
          <w:rFonts w:ascii="Times New Roman" w:hAnsi="Times New Roman"/>
          <w:sz w:val="24"/>
          <w:szCs w:val="24"/>
          <w:lang w:val="en-GB"/>
        </w:rPr>
        <w:t xml:space="preserve"> </w:t>
      </w:r>
      <w:r w:rsidRPr="00112EC3">
        <w:rPr>
          <w:rFonts w:ascii="Times New Roman" w:hAnsi="Times New Roman"/>
          <w:sz w:val="24"/>
          <w:szCs w:val="24"/>
          <w:lang w:val="en-GB"/>
        </w:rPr>
        <w:t xml:space="preserve">и </w:t>
      </w:r>
      <w:proofErr w:type="spellStart"/>
      <w:r w:rsidRPr="00112EC3">
        <w:rPr>
          <w:rFonts w:ascii="Times New Roman" w:hAnsi="Times New Roman"/>
          <w:sz w:val="24"/>
          <w:szCs w:val="24"/>
          <w:lang w:val="en-GB"/>
        </w:rPr>
        <w:t>стандартизират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w:t>
      </w:r>
      <w:proofErr w:type="spellEnd"/>
      <w:r w:rsidRPr="00112EC3">
        <w:rPr>
          <w:rFonts w:ascii="Times New Roman" w:hAnsi="Times New Roman"/>
          <w:sz w:val="24"/>
          <w:szCs w:val="24"/>
          <w:lang w:val="en-GB"/>
        </w:rPr>
        <w:t xml:space="preserve"> z-</w:t>
      </w:r>
      <w:proofErr w:type="spellStart"/>
      <w:r w:rsidRPr="00112EC3">
        <w:rPr>
          <w:rFonts w:ascii="Times New Roman" w:hAnsi="Times New Roman"/>
          <w:sz w:val="24"/>
          <w:szCs w:val="24"/>
          <w:lang w:val="en-GB"/>
        </w:rPr>
        <w:t>скорове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агрегира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композитен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r>
        <w:rPr>
          <w:rFonts w:ascii="Times New Roman" w:hAnsi="Times New Roman"/>
          <w:sz w:val="24"/>
          <w:szCs w:val="24"/>
        </w:rPr>
        <w:t>След това</w:t>
      </w:r>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кръстосано-секционни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регресии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Фама–</w:t>
      </w:r>
      <w:proofErr w:type="spellStart"/>
      <w:r w:rsidRPr="00112EC3">
        <w:rPr>
          <w:rFonts w:ascii="Times New Roman" w:hAnsi="Times New Roman"/>
          <w:sz w:val="24"/>
          <w:szCs w:val="24"/>
          <w:lang w:val="en-GB"/>
        </w:rPr>
        <w:t>Макбет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допълнени</w:t>
      </w:r>
      <w:proofErr w:type="spellEnd"/>
      <w:r w:rsidRPr="00112EC3">
        <w:rPr>
          <w:rFonts w:ascii="Times New Roman" w:hAnsi="Times New Roman"/>
          <w:sz w:val="24"/>
          <w:szCs w:val="24"/>
          <w:lang w:val="en-GB"/>
        </w:rPr>
        <w:t xml:space="preserve"> с Lasso </w:t>
      </w:r>
      <w:proofErr w:type="spellStart"/>
      <w:r w:rsidRPr="00112EC3">
        <w:rPr>
          <w:rFonts w:ascii="Times New Roman" w:hAnsi="Times New Roman"/>
          <w:sz w:val="24"/>
          <w:szCs w:val="24"/>
          <w:lang w:val="en-GB"/>
        </w:rPr>
        <w:t>регуляризация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скорът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калибрира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очаквана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r>
        <w:rPr>
          <w:rFonts w:ascii="Times New Roman" w:hAnsi="Times New Roman"/>
          <w:sz w:val="24"/>
          <w:szCs w:val="24"/>
        </w:rPr>
        <w:t>К</w:t>
      </w:r>
      <w:proofErr w:type="spellStart"/>
      <w:r w:rsidRPr="00112EC3">
        <w:rPr>
          <w:rFonts w:ascii="Times New Roman" w:hAnsi="Times New Roman"/>
          <w:sz w:val="24"/>
          <w:szCs w:val="24"/>
          <w:lang w:val="en-GB"/>
        </w:rPr>
        <w:t>онструира</w:t>
      </w:r>
      <w:proofErr w:type="spellEnd"/>
      <w:r w:rsidRPr="00112EC3">
        <w:rPr>
          <w:rFonts w:ascii="Times New Roman" w:hAnsi="Times New Roman"/>
          <w:sz w:val="24"/>
          <w:szCs w:val="24"/>
          <w:lang w:val="en-GB"/>
        </w:rPr>
        <w:t xml:space="preserve"> </w:t>
      </w:r>
      <w:r>
        <w:rPr>
          <w:rFonts w:ascii="Times New Roman" w:hAnsi="Times New Roman"/>
          <w:sz w:val="24"/>
          <w:szCs w:val="24"/>
        </w:rPr>
        <w:t xml:space="preserve">се </w:t>
      </w:r>
      <w:proofErr w:type="spellStart"/>
      <w:r w:rsidRPr="00112EC3">
        <w:rPr>
          <w:rFonts w:ascii="Times New Roman" w:hAnsi="Times New Roman"/>
          <w:sz w:val="24"/>
          <w:szCs w:val="24"/>
          <w:lang w:val="en-GB"/>
        </w:rPr>
        <w:t>пазарно</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факторно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неутрален</w:t>
      </w:r>
      <w:proofErr w:type="spellEnd"/>
      <w:r w:rsidRPr="00112EC3">
        <w:rPr>
          <w:rFonts w:ascii="Times New Roman" w:hAnsi="Times New Roman"/>
          <w:sz w:val="24"/>
          <w:szCs w:val="24"/>
          <w:lang w:val="en-GB"/>
        </w:rPr>
        <w:t xml:space="preserve"> long/short </w:t>
      </w:r>
      <w:proofErr w:type="spellStart"/>
      <w:r w:rsidRPr="00112EC3">
        <w:rPr>
          <w:rFonts w:ascii="Times New Roman" w:hAnsi="Times New Roman"/>
          <w:sz w:val="24"/>
          <w:szCs w:val="24"/>
          <w:lang w:val="en-GB"/>
        </w:rPr>
        <w:t>портфейл</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годишно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ребалансиране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контрол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експозиции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транзакционни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разходи</w:t>
      </w:r>
      <w:proofErr w:type="spellEnd"/>
      <w:r w:rsidRPr="00112EC3">
        <w:rPr>
          <w:rFonts w:ascii="Times New Roman" w:hAnsi="Times New Roman"/>
          <w:sz w:val="24"/>
          <w:szCs w:val="24"/>
          <w:lang w:val="en-GB"/>
        </w:rPr>
        <w:t xml:space="preserve">, а </w:t>
      </w:r>
      <w:proofErr w:type="spellStart"/>
      <w:r w:rsidRPr="00112EC3">
        <w:rPr>
          <w:rFonts w:ascii="Times New Roman" w:hAnsi="Times New Roman"/>
          <w:sz w:val="24"/>
          <w:szCs w:val="24"/>
          <w:lang w:val="en-GB"/>
        </w:rPr>
        <w:t>ефективността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оценява</w:t>
      </w:r>
      <w:proofErr w:type="spellEnd"/>
      <w:r w:rsidRPr="00112EC3">
        <w:rPr>
          <w:rFonts w:ascii="Times New Roman" w:hAnsi="Times New Roman"/>
          <w:sz w:val="24"/>
          <w:szCs w:val="24"/>
          <w:lang w:val="en-GB"/>
        </w:rPr>
        <w:t xml:space="preserve"> с Sharpe ratio, Information ratio, Jensen’s alpha, </w:t>
      </w:r>
      <w:proofErr w:type="spellStart"/>
      <w:r w:rsidRPr="00112EC3">
        <w:rPr>
          <w:rFonts w:ascii="Times New Roman" w:hAnsi="Times New Roman"/>
          <w:sz w:val="24"/>
          <w:szCs w:val="24"/>
          <w:lang w:val="en-GB"/>
        </w:rPr>
        <w:t>бета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спрямо</w:t>
      </w:r>
      <w:proofErr w:type="spellEnd"/>
      <w:r w:rsidRPr="00112EC3">
        <w:rPr>
          <w:rFonts w:ascii="Times New Roman" w:hAnsi="Times New Roman"/>
          <w:sz w:val="24"/>
          <w:szCs w:val="24"/>
          <w:lang w:val="en-GB"/>
        </w:rPr>
        <w:t xml:space="preserve"> STOXX Europe 600 и </w:t>
      </w:r>
      <w:proofErr w:type="spellStart"/>
      <w:r w:rsidRPr="00112EC3">
        <w:rPr>
          <w:rFonts w:ascii="Times New Roman" w:hAnsi="Times New Roman"/>
          <w:sz w:val="24"/>
          <w:szCs w:val="24"/>
          <w:lang w:val="en-GB"/>
        </w:rPr>
        <w:t>опашни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риск-мерки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VaR</w:t>
      </w:r>
      <w:proofErr w:type="spellEnd"/>
      <w:r w:rsidRPr="00112EC3">
        <w:rPr>
          <w:rFonts w:ascii="Times New Roman" w:hAnsi="Times New Roman"/>
          <w:sz w:val="24"/>
          <w:szCs w:val="24"/>
          <w:lang w:val="en-GB"/>
        </w:rPr>
        <w:t xml:space="preserve"> и CVaR. </w:t>
      </w:r>
      <w:proofErr w:type="spellStart"/>
      <w:r w:rsidRPr="00112EC3">
        <w:rPr>
          <w:rFonts w:ascii="Times New Roman" w:hAnsi="Times New Roman"/>
          <w:sz w:val="24"/>
          <w:szCs w:val="24"/>
          <w:lang w:val="en-GB"/>
        </w:rPr>
        <w:t>Накрая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проверява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статистическата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незначимост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експозициите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класическите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стилови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фактори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потвърди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идиосинкратичният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произход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доходността</w:t>
      </w:r>
      <w:proofErr w:type="spellEnd"/>
      <w:r w:rsidRPr="00112EC3">
        <w:rPr>
          <w:rFonts w:ascii="Times New Roman" w:hAnsi="Times New Roman"/>
          <w:sz w:val="24"/>
          <w:szCs w:val="24"/>
          <w:lang w:val="en-GB"/>
        </w:rPr>
        <w:t xml:space="preserve">. </w:t>
      </w:r>
    </w:p>
    <w:p w14:paraId="2EACE148" w14:textId="25501156" w:rsidR="00057B6F" w:rsidRPr="00C67F33" w:rsidRDefault="00057B6F" w:rsidP="00057B6F">
      <w:pPr>
        <w:spacing w:line="360" w:lineRule="auto"/>
        <w:ind w:firstLine="708"/>
        <w:jc w:val="both"/>
        <w:rPr>
          <w:rFonts w:ascii="Times New Roman" w:hAnsi="Times New Roman"/>
          <w:sz w:val="24"/>
          <w:szCs w:val="24"/>
        </w:rPr>
      </w:pPr>
    </w:p>
    <w:p w14:paraId="394B5755" w14:textId="1538E49F" w:rsidR="00057B6F" w:rsidRPr="00C67F33" w:rsidRDefault="003B18F6" w:rsidP="00057B6F">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br w:type="page"/>
      </w:r>
      <w:r w:rsidR="00057B6F" w:rsidRPr="00C67F33">
        <w:rPr>
          <w:rFonts w:ascii="Times New Roman" w:hAnsi="Times New Roman"/>
          <w:b/>
          <w:bCs/>
          <w:sz w:val="24"/>
          <w:szCs w:val="24"/>
        </w:rPr>
        <w:lastRenderedPageBreak/>
        <w:t xml:space="preserve">Глава 1. Теоретични аспекти на </w:t>
      </w:r>
      <w:r w:rsidR="00FE0299" w:rsidRPr="00C67F33">
        <w:rPr>
          <w:rFonts w:ascii="Times New Roman" w:hAnsi="Times New Roman"/>
          <w:b/>
          <w:bCs/>
          <w:sz w:val="24"/>
          <w:szCs w:val="24"/>
        </w:rPr>
        <w:t>пазарно неутралния bottom-up long/short подход</w:t>
      </w:r>
    </w:p>
    <w:p w14:paraId="1A6218FF" w14:textId="19E32566" w:rsidR="00057B6F" w:rsidRPr="00C67F33" w:rsidRDefault="00057B6F" w:rsidP="00057B6F">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t xml:space="preserve">1.1. Основни понятия и подходи </w:t>
      </w:r>
      <w:r w:rsidR="00FE0299" w:rsidRPr="00C67F33">
        <w:rPr>
          <w:rFonts w:ascii="Times New Roman" w:hAnsi="Times New Roman"/>
          <w:b/>
          <w:bCs/>
          <w:sz w:val="24"/>
          <w:szCs w:val="24"/>
        </w:rPr>
        <w:t>пазарно неутралния bottom-up long/short подход</w:t>
      </w:r>
    </w:p>
    <w:p w14:paraId="4B4A7827"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Пазарно неутралният bottom-up long/short подход представлява систематична рамка за конструиране на портфейл, при която източникът на очакваната излишна доходност е идиосинкратичен и произтича от фундаментални детерминанти на отделни компании, а експозицията към общите пазарни и стилови фактори се минимизира чрез експлицитни ограничения и оптимизация. Конструкцията на портфейла се основава на идеята, че в крос-секцията на акциите съществуват относителни погрешни ценообразувания, възникващи от информационни закъснения, поведенчески отклонения или ограничена арбитражна активност. Задачата на изследователя е да извлече структурирани фундаментални сигнали, да ги преобразува в прогноза за идиосинкратична алфа и да алокира капитал между дълги и къси позиции така, че реализираната доходност да остане слабо корелирана с широките индекси и с основните стилове на риска</w:t>
      </w:r>
      <w:r w:rsidRPr="00FE35A9">
        <w:rPr>
          <w:rFonts w:ascii="Times New Roman" w:hAnsi="Times New Roman"/>
          <w:sz w:val="24"/>
          <w:szCs w:val="24"/>
          <w:vertAlign w:val="superscript"/>
        </w:rPr>
        <w:footnoteReference w:id="1"/>
      </w:r>
      <w:r w:rsidRPr="00FE35A9">
        <w:rPr>
          <w:rFonts w:ascii="Times New Roman" w:hAnsi="Times New Roman"/>
          <w:sz w:val="24"/>
          <w:szCs w:val="24"/>
        </w:rPr>
        <w:t>.</w:t>
      </w:r>
    </w:p>
    <w:p w14:paraId="02F04C8F"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В основата на подхода стои конструирането на набор от фундаментални предиктори, които улавят качеството на печалбите, устойчивостта на маржовете, ефективността в използването на капитала, консервативността на инвестициите и динамиката на паричните потоци</w:t>
      </w:r>
      <w:r w:rsidRPr="00FE35A9">
        <w:rPr>
          <w:rFonts w:ascii="Times New Roman" w:hAnsi="Times New Roman"/>
          <w:sz w:val="24"/>
          <w:szCs w:val="24"/>
          <w:vertAlign w:val="superscript"/>
        </w:rPr>
        <w:footnoteReference w:id="2"/>
      </w:r>
      <w:r w:rsidRPr="00FE35A9">
        <w:rPr>
          <w:rFonts w:ascii="Times New Roman" w:hAnsi="Times New Roman"/>
          <w:sz w:val="24"/>
          <w:szCs w:val="24"/>
        </w:rPr>
        <w:t>. Тези предиктори се извеждат от счетоводни отчети, корпоративни съобщения и консенсусни прогнози, като задължително се прилага point-in-time обработка на данните, за да се избегне поглеждане напред. Показателите се нормализират по индустрии, стандартизират се през време и крос-секция и се подлагат на процедури за ограничаване влиянието на екстремни стойности, така че да се постигне сравнимост между емисии с различни размери и цикличност. Отделните сигнали се агрегираат в композитен скор чрез статистически или икономически мотивирани тегла, което позволява да се комбинират допълващи се измерения на фундаменталното състояние на фирмата и да се редуцира шумът в отделните индикатори.</w:t>
      </w:r>
    </w:p>
    <w:p w14:paraId="57B5BC00"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lastRenderedPageBreak/>
        <w:t>Следващата стъпка е моделирането на очакваната доходност като функция на конструираните сигнали, при което се цели прогнозата да улавя идиосинкратичния компонент на възвръщаемостта. Това обичайно се реализира чрез кръстосано-секционни регресионни модели или машинно-обучителни процедури, обучени върху исторически данни, с ясно разграничени периоди за формиране, валидация и тест. За да се отдели систематичният от идиосинкратичния принос, прогнозните алфи се регресират върху вектор от пазарни и стилови фактори, както и върху индустриални фиктивни променливи, а за цел в последващата оптимизация се използват именно остатъците от тази регресия. По този начин алокационното решение се базира на сигнал, който е максимално очистен от факторни влияния и е по-вероятно да се материализира в доходност, независима от широки пазарни движения</w:t>
      </w:r>
      <w:r w:rsidRPr="00FE35A9">
        <w:rPr>
          <w:rFonts w:ascii="Times New Roman" w:hAnsi="Times New Roman"/>
          <w:sz w:val="24"/>
          <w:szCs w:val="24"/>
          <w:vertAlign w:val="superscript"/>
        </w:rPr>
        <w:footnoteReference w:id="3"/>
      </w:r>
      <w:r w:rsidRPr="00FE35A9">
        <w:rPr>
          <w:rFonts w:ascii="Times New Roman" w:hAnsi="Times New Roman"/>
          <w:sz w:val="24"/>
          <w:szCs w:val="24"/>
        </w:rPr>
        <w:t>.</w:t>
      </w:r>
    </w:p>
    <w:p w14:paraId="71FA32BA"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Постигането на пазарна и стилова неутралност изисква изрична формулировка на факторен рисков модел, чрез който се оценяват натоварванията на позициите към пазар, стойност, размер, инерция, качество, ниска волатилност и други релевантни стилове, както и към индустриални и секторни групи. Рисковият модел включва факторна ковариационна матрица и диагонална идиосинкратична компонента, като за стабилност на оценките се прилагат техники за свиване на ковариациите и редукция на измерението. Тъй като натоварванията и корелациите са времевариращи, оценките се актуализират върху подвижни прозорци, а при необходимост се използват състояние-зависими динамични модели, което позволява по-адекватно отчитане на режимни промени и структурни прекъсвания.</w:t>
      </w:r>
    </w:p>
    <w:p w14:paraId="2678FB8A"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Оптимизационният блок формализира задачата по позициониране като избор на тегла, които максимизират очакваната остатъчна алфа при контрол на риска и разходите. Широко прилаганата квадратична оптимизация минимизира вариацията или максимизира съотношение между очакван принос и риск, като налага линейни ограничения за нулеви или тесни толеранси на факторните експозиции, нетна бета, индустриални концентрации и индивидуални лимити по емисия</w:t>
      </w:r>
      <w:r w:rsidRPr="00FE35A9">
        <w:rPr>
          <w:rFonts w:ascii="Times New Roman" w:hAnsi="Times New Roman"/>
          <w:sz w:val="24"/>
          <w:szCs w:val="24"/>
          <w:vertAlign w:val="superscript"/>
        </w:rPr>
        <w:footnoteReference w:id="4"/>
      </w:r>
      <w:r w:rsidRPr="00FE35A9">
        <w:rPr>
          <w:rFonts w:ascii="Times New Roman" w:hAnsi="Times New Roman"/>
          <w:sz w:val="24"/>
          <w:szCs w:val="24"/>
        </w:rPr>
        <w:t xml:space="preserve">. В оптимизационната целева функция се включват и наказателни термини за оборот и прогнозни </w:t>
      </w:r>
      <w:r w:rsidRPr="00FE35A9">
        <w:rPr>
          <w:rFonts w:ascii="Times New Roman" w:hAnsi="Times New Roman"/>
          <w:sz w:val="24"/>
          <w:szCs w:val="24"/>
        </w:rPr>
        <w:lastRenderedPageBreak/>
        <w:t>транзакционни разходи, така че решението да бъде изпълнимо при реални пазарни условия. За да се стабилизира рискът през време, брутната експозиция и ливъриджът се адаптират спрямо прогнозната волатилност в рамките на политика за таргетиране на волатилността, което смекчава вариацията на доходността без да се разрушава структурата на алфата</w:t>
      </w:r>
      <w:r w:rsidRPr="00FE35A9">
        <w:rPr>
          <w:rFonts w:ascii="Times New Roman" w:hAnsi="Times New Roman"/>
          <w:sz w:val="24"/>
          <w:szCs w:val="24"/>
          <w:vertAlign w:val="superscript"/>
        </w:rPr>
        <w:footnoteReference w:id="5"/>
      </w:r>
      <w:r w:rsidRPr="00FE35A9">
        <w:rPr>
          <w:rFonts w:ascii="Times New Roman" w:hAnsi="Times New Roman"/>
          <w:sz w:val="24"/>
          <w:szCs w:val="24"/>
        </w:rPr>
        <w:t>.</w:t>
      </w:r>
    </w:p>
    <w:p w14:paraId="0A569B41"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Ребалансирането на портфейла се управлява чрез бандове, в рамките на които малки отклонения от целевите тегла не пораждат търговия, както и чрез календарни или събитийни правила, съобразени с цикъла на финансовите отчети и вероятността за ревизии на прогнози. По този начин се постига компромис между бързото реализиране на нова информация и ограничаването на оборота. Важен елемент е предварителният контрол върху наличността и цената на заема за къси позиции, тъй като нестабилността в условията на заемане може да компрометира неутралността чрез асиметрично затваряне на късата страна. С оглед на капацитет и ефект от струпване на стратегии се поставят консервативни лимити за дял от средния дневен оборот и за концентрации по индустрии и стилове, тъй като при насищане на сигналите се увеличава риска от синхронни движения и нелинейни разходи по изпълнение</w:t>
      </w:r>
      <w:r w:rsidRPr="00FE35A9">
        <w:rPr>
          <w:rFonts w:ascii="Times New Roman" w:hAnsi="Times New Roman"/>
          <w:sz w:val="24"/>
          <w:szCs w:val="24"/>
          <w:vertAlign w:val="superscript"/>
        </w:rPr>
        <w:footnoteReference w:id="6"/>
      </w:r>
      <w:r w:rsidRPr="00FE35A9">
        <w:rPr>
          <w:rFonts w:ascii="Times New Roman" w:hAnsi="Times New Roman"/>
          <w:sz w:val="24"/>
          <w:szCs w:val="24"/>
        </w:rPr>
        <w:t>.</w:t>
      </w:r>
    </w:p>
    <w:p w14:paraId="378EAFFB"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Оценката и мониторингът на изпълнението се извършват чрез регулярни атрибуции на възвръщаемостта и вариацията по факторни и идиосинкратични компоненти, както и чрез проследяване на дрейфа в експозициите вследствие на пазарни движения. Формализират се процедури за контрол на опашния риск посредством мерки като стойност под риск и очаквана загуба, допълнени от стрес-тестове и сценарийни анализи, които шокират едновременно множество фактори и индустрии. Управлението на нежелани събития включва правила за прекратяване на позиции на база време, загуба или влошаване на сигналите, както и портфейлни стопове при превишаване на предварително дефинирани прагове за максимален спад, последвани от пропорционално намаляване на брутната експозиция</w:t>
      </w:r>
      <w:r w:rsidRPr="00FE35A9">
        <w:rPr>
          <w:rFonts w:ascii="Times New Roman" w:hAnsi="Times New Roman"/>
          <w:sz w:val="24"/>
          <w:szCs w:val="24"/>
          <w:vertAlign w:val="superscript"/>
        </w:rPr>
        <w:footnoteReference w:id="7"/>
      </w:r>
      <w:r w:rsidRPr="00FE35A9">
        <w:rPr>
          <w:rFonts w:ascii="Times New Roman" w:hAnsi="Times New Roman"/>
          <w:sz w:val="24"/>
          <w:szCs w:val="24"/>
        </w:rPr>
        <w:t>.</w:t>
      </w:r>
    </w:p>
    <w:p w14:paraId="7801FFD4"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lastRenderedPageBreak/>
        <w:t>В тази конфигурация пазарно неутралният bottom-up long/short подход съчетава аналитична дисциплина в изграждането на фундаментални сигнали, статистическа строгост при моделирането на алфа и инженерен прагматизъм в оптимизацията и изпълнението. Концептуалната цел е проста, но взискателна: да се конструира портфейл, чиято доходност отразява подбора на компании на база реални икономически характеристики и който остава устойчив спрямо широките пазарни режими благодарение на последователна факторна неутрализация, внимателно управление на риска и реалистично третиране на транзакционните и оперативните ограничения.</w:t>
      </w:r>
    </w:p>
    <w:p w14:paraId="7FC06B70" w14:textId="77777777" w:rsidR="00FE35A9" w:rsidRPr="00FE35A9" w:rsidRDefault="00FE35A9" w:rsidP="00FE35A9">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1.2. Конструиране на фундаментални сигнали и моделиране на очакваната алфа</w:t>
      </w:r>
    </w:p>
    <w:p w14:paraId="13E6989C"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Конструирането на фундаментални сигнали и моделирането на очакваната алфа изискват строго дефиниран процес, който минимизира пристрастията в данните и осигурява валиден екс-анте прогнозен сигнал за идиосинкратична възвръщаемост. Първата стъпка е определяне на изследователската вселена с ясни критерии за включване: минимална среднодневна ликвидност, праг за свободно търгуван флоут, постоянство на котировките и наличност на счетоводни отчети за поне дванадесет последователни тримесечия. Данните се обработват point-in-time, като към всяко счетоводно събитие се налага реалистичен лаг (например T+2 работни дни след публикуване на 10-Q/10-K или еквивалент), за да се изключи поглеждане напред. Всички величини се уеднаквяват по валута към отчетния ден, корпоративните действия се отразяват ретроактивно, а липсващите стойности се третират с консервативни техники за импутация, които не въвеждат кръстосано-секционна зависимост (например медийна импутация на индустриално ниво в рамките на същия период и последваща индикация с фиктивна променлива)</w:t>
      </w:r>
      <w:r w:rsidRPr="00FE35A9">
        <w:rPr>
          <w:rFonts w:ascii="Times New Roman" w:hAnsi="Times New Roman"/>
          <w:sz w:val="24"/>
          <w:szCs w:val="24"/>
          <w:vertAlign w:val="superscript"/>
        </w:rPr>
        <w:footnoteReference w:id="8"/>
      </w:r>
      <w:r w:rsidRPr="00FE35A9">
        <w:rPr>
          <w:rFonts w:ascii="Times New Roman" w:hAnsi="Times New Roman"/>
          <w:sz w:val="24"/>
          <w:szCs w:val="24"/>
        </w:rPr>
        <w:t>.</w:t>
      </w:r>
    </w:p>
    <w:p w14:paraId="107941F6"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 xml:space="preserve">Фундаменталните признаци се групират по ясно мотивирани икономически домейни. Стойност се измерва чрез съотношения като book-to-market, earnings-to-price, sales-to-price и free cash flow-to-enterprise value; рентабилност и качество чрез маржове (gross/EBITDA/operating), ROE, ROIC, стабилност на печалбите и акруали; инвестиционна политика чрез растеж на активите, изменение на нетни оперативни </w:t>
      </w:r>
      <w:r w:rsidRPr="00FE35A9">
        <w:rPr>
          <w:rFonts w:ascii="Times New Roman" w:hAnsi="Times New Roman"/>
          <w:sz w:val="24"/>
          <w:szCs w:val="24"/>
        </w:rPr>
        <w:lastRenderedPageBreak/>
        <w:t>активи и капекси; устойчивост на паричните потоци чрез operating cash flow volatility и cash conversion cycle; информационни проксита чрез ревизии в консенсусните прогнози за EPS/Revenue и изненади при отчетите. Всеки признак се индустриално неутрализира в рамките на GICS/ICB групи чрез изваждане на индустриалното средно и деление на индустриалния стандартен отсклон, след което се стандартизира в крос-секция до z-score. Крайни стойности се ограничават чрез winsorize на 1-ви/99-ти персентил или чрез робастни трансформации (напр. рангове, inverse-normal). Всички трансформации се прилагат отново във всеки период, за да се предотвратят изкривявания от времева дрейф</w:t>
      </w:r>
      <w:r w:rsidRPr="00FE35A9">
        <w:rPr>
          <w:rFonts w:ascii="Times New Roman" w:hAnsi="Times New Roman"/>
          <w:sz w:val="24"/>
          <w:szCs w:val="24"/>
          <w:vertAlign w:val="superscript"/>
        </w:rPr>
        <w:footnoteReference w:id="9"/>
      </w:r>
      <w:r w:rsidRPr="00FE35A9">
        <w:rPr>
          <w:rFonts w:ascii="Times New Roman" w:hAnsi="Times New Roman"/>
          <w:sz w:val="24"/>
          <w:szCs w:val="24"/>
        </w:rPr>
        <w:t>.</w:t>
      </w:r>
    </w:p>
    <w:p w14:paraId="16E43111"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Агрегирането в композитен скор се формализира като проблем за оценяване на тегла. Базов подход е равни тегла на под-сигналите в рамките на домейн и равни домейни, което дава стабилност при структурни промени. По-информативен подход е изчисляване на тегла пропорционални на историческия информационен коефициент (IC) на всеки сигнал, усреднен през време и индустрии, с регуляризация за избягване на свръхнастройване. Когато признаците са силно колинеарни, се прилага ridge/elastic-net за свиване на теглата до интервал, гарантиращ стабилност извън пробата. Алтернативно, редуциране на размерността чрез робастен PCA върху индустриално неутрализирани сигнали извлича латентни фактори, но изисква експлицитна проверка, че латентните компоненти не репликират стандартни стилови фактори</w:t>
      </w:r>
      <w:r w:rsidRPr="00FE35A9">
        <w:rPr>
          <w:rFonts w:ascii="Times New Roman" w:hAnsi="Times New Roman"/>
          <w:sz w:val="24"/>
          <w:szCs w:val="24"/>
          <w:vertAlign w:val="superscript"/>
        </w:rPr>
        <w:footnoteReference w:id="10"/>
      </w:r>
      <w:r w:rsidRPr="00FE35A9">
        <w:rPr>
          <w:rFonts w:ascii="Times New Roman" w:hAnsi="Times New Roman"/>
          <w:sz w:val="24"/>
          <w:szCs w:val="24"/>
        </w:rPr>
        <w:t>.</w:t>
      </w:r>
    </w:p>
    <w:p w14:paraId="4B3B2394"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 xml:space="preserve">Моделирането на очакваната алфа превръща композитните скорове в прогнозна доходност на определен хоризонт h, съвместим с политиката по ребалансиране (например четири седмици). Класическата кръстосано-секционна спецификация е регресия тип Фама–Макбет, в която месечните крос-секционни възвръщаемости се регресират върху вектор от сигнали; времевите средни на коефициентите дават оценка за премиите, а t-статистиките се коригират за автокорелация и хетероскедастичност (Newey–West). За по-добра извънпробна устойчивост се използват регуляризирани линейни модели (lasso/elastic net) с time-series blocked cross-validation и temporal embargo, или слабо-параметрични методи (gradient boosting, random forests), при които се налагат ограничения за дълбочина и честота на разделяне, за да се запази интерпретируемостта. Оценяването и изборът на модел се извършват с walk-forward схема: формиращ прозорец, валидиращ прозорец за избор на хиперпараметри и тестов прозорец за крайна </w:t>
      </w:r>
      <w:r w:rsidRPr="00FE35A9">
        <w:rPr>
          <w:rFonts w:ascii="Times New Roman" w:hAnsi="Times New Roman"/>
          <w:sz w:val="24"/>
          <w:szCs w:val="24"/>
        </w:rPr>
        <w:lastRenderedPageBreak/>
        <w:t>оценка, като периодите не се припокриват и са подчинени на публикуването на отчетите. За контрол на множествени хипотези се прилага процедура по ограничаване на фалшиви открития, когато се сравняват множество спецификации</w:t>
      </w:r>
      <w:r w:rsidRPr="00FE35A9">
        <w:rPr>
          <w:rFonts w:ascii="Times New Roman" w:hAnsi="Times New Roman"/>
          <w:sz w:val="24"/>
          <w:szCs w:val="24"/>
          <w:vertAlign w:val="superscript"/>
        </w:rPr>
        <w:footnoteReference w:id="11"/>
      </w:r>
      <w:r w:rsidRPr="00FE35A9">
        <w:rPr>
          <w:rFonts w:ascii="Times New Roman" w:hAnsi="Times New Roman"/>
          <w:sz w:val="24"/>
          <w:szCs w:val="24"/>
        </w:rPr>
        <w:t>.</w:t>
      </w:r>
    </w:p>
    <w:p w14:paraId="36D0CCC4"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Критична процедура е отделянето на систематичните от идиосинкратичните компоненти на прогнозата. Прогнозираните алфи се регресират върху вектор стилови и пазарни фактори и индустриални фиктивни променливи; остатъчната компонента представлява „чист“ идиосинкратичен сигнал, който служи като вход в оптимизационния модул. Тази стъпка минимизира вероятността прогнозата да монетизира преходни стилови ветрове. Паралелно се моделира несигурността на прогнозата чрез бутстреп на периоди, енсембъли от модели или байесови интервали, след което се извършва риск-базирано мащабиране на сигнала: по-ниска доверителност води до по-ниска целева експозиция</w:t>
      </w:r>
      <w:r w:rsidRPr="00FE35A9">
        <w:rPr>
          <w:rFonts w:ascii="Times New Roman" w:hAnsi="Times New Roman"/>
          <w:sz w:val="24"/>
          <w:szCs w:val="24"/>
          <w:vertAlign w:val="superscript"/>
        </w:rPr>
        <w:footnoteReference w:id="12"/>
      </w:r>
      <w:r w:rsidRPr="00FE35A9">
        <w:rPr>
          <w:rFonts w:ascii="Times New Roman" w:hAnsi="Times New Roman"/>
          <w:sz w:val="24"/>
          <w:szCs w:val="24"/>
        </w:rPr>
        <w:t>.</w:t>
      </w:r>
    </w:p>
    <w:p w14:paraId="034C598B"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Калибрацията на хоризонта и динамиката на сигналите се основава на авторегресионен анализ на IC и на „полуживот“ на скоровете. Ако полуживотът на IC е 6–8 седмици, ребалансирането се задава съвместимо с този интервал, а промените под статистически значим праг не пораждат търговия, като се използват бандове, дефинирани спрямо историческата дисперсия на скоровете. В целевата функция на последващата оптимизация се включва експлицитен модел на транзакционни разходи: комисиони, bid-ask, slippage, пазарно въздействие като функция от дял на обем спрямо ADV, както и цена на заема за къси позиции. Капацитетът се управлява чрез твърди ограничения за максимален дял от ADV по позиция и за съвкупен дял по индустрия, което ограничава нелинейните разходи при изпълнение</w:t>
      </w:r>
      <w:r w:rsidRPr="00FE35A9">
        <w:rPr>
          <w:rFonts w:ascii="Times New Roman" w:hAnsi="Times New Roman"/>
          <w:sz w:val="24"/>
          <w:szCs w:val="24"/>
          <w:vertAlign w:val="superscript"/>
        </w:rPr>
        <w:footnoteReference w:id="13"/>
      </w:r>
      <w:r w:rsidRPr="00FE35A9">
        <w:rPr>
          <w:rFonts w:ascii="Times New Roman" w:hAnsi="Times New Roman"/>
          <w:sz w:val="24"/>
          <w:szCs w:val="24"/>
        </w:rPr>
        <w:t>.</w:t>
      </w:r>
    </w:p>
    <w:p w14:paraId="2313D0E9"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 xml:space="preserve">Оценката на качеството на сигналите се извършва на две нива. На ниво сигнал се изчисляват IC, неговата стабилност и ICIR, разпределени по индустрии и режими на пазара, с проверка за структурни прекъсвания (Chow тестове) и дрейф на параметрите. На ниво портфейл се конструира теоретичен long/short портфейл от квинтили или децили по скор, с нулева нетна експозиция, и се оценяват риск-скоригирани показатели след </w:t>
      </w:r>
      <w:r w:rsidRPr="00FE35A9">
        <w:rPr>
          <w:rFonts w:ascii="Times New Roman" w:hAnsi="Times New Roman"/>
          <w:sz w:val="24"/>
          <w:szCs w:val="24"/>
        </w:rPr>
        <w:lastRenderedPageBreak/>
        <w:t>разходи, експозиции към стилови фактори и чувствителност към стресови сценарии (например едновременни шокове в стойност/инерция и свиване на ликвидността). Всички резултати се представят извън пробата, с ясна времева сегментация и с повторяеми процедури по версиониране на данните, кодовете и хиперпараметрите</w:t>
      </w:r>
      <w:r w:rsidRPr="00FE35A9">
        <w:rPr>
          <w:rFonts w:ascii="Times New Roman" w:hAnsi="Times New Roman"/>
          <w:sz w:val="24"/>
          <w:szCs w:val="24"/>
          <w:vertAlign w:val="superscript"/>
        </w:rPr>
        <w:footnoteReference w:id="14"/>
      </w:r>
      <w:r w:rsidRPr="00FE35A9">
        <w:rPr>
          <w:rFonts w:ascii="Times New Roman" w:hAnsi="Times New Roman"/>
          <w:sz w:val="24"/>
          <w:szCs w:val="24"/>
        </w:rPr>
        <w:t>.</w:t>
      </w:r>
    </w:p>
    <w:p w14:paraId="4A4242F4"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Преобразуването на прогнозната алфа в целеви тегла използва стандартизирани скорове, мащабирани по прогнозната волатилност на отделните активи и коригирани за факторни натоварвания, така че агрегираният портфейл да бъде близо до бета-, доларно- и факторно неутрален. Практическа реализация е линейно картографиране на z-скорове към желани брутни експозиции при горни граници на концентрацията, последвано от квадратична оптимизация с ограничения за фактори, индустрии, оборот и разходи. Чрез тази последователност – прецизно конструирани и почистени фундаментални признаци, регуляризирано моделиране на очакваната алфа, систематично отделяне на систематичните влияния и икономически обосновано картографиране към тегла – прогнозата придобива операционна стойност в контекста на пазарно неутрален bottom-up long/short портфейл.</w:t>
      </w:r>
    </w:p>
    <w:p w14:paraId="6B0F5FFB"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b/>
          <w:bCs/>
          <w:sz w:val="24"/>
          <w:szCs w:val="24"/>
        </w:rPr>
        <w:t>1.3. Факторна неутралност, портфейлна оптимизация и управление на риска</w:t>
      </w:r>
    </w:p>
    <w:p w14:paraId="47E21C1D"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В рамките на фундаментален bottom-up long/short подход факторната неутралност представлява систематичен механизъм за елиминиране на експозициите на портфейла към предварително дефинирани общи рискови драйвери, така че реализираната доходност да отразява предимно остатъчните (идиосинкратични) алфи, извлечени от фундаментални сигнали на ниво компания. В количествената практика това се формализира чрез експлицитен факторен модел, при който доходността на актива се разлага на принос от набор пазарни и стилови фактори и остатъчен компонент. Типична спецификация включва пазарен фактор и стилове като стойност, размер, инерция, качество и ниска волатилност, както и индустриални и секторни индикатори според утвърдена таксономия (напр. GICS/ICB)</w:t>
      </w:r>
      <w:r w:rsidRPr="00FE35A9">
        <w:rPr>
          <w:rFonts w:ascii="Times New Roman" w:hAnsi="Times New Roman"/>
          <w:sz w:val="24"/>
          <w:szCs w:val="24"/>
          <w:vertAlign w:val="superscript"/>
        </w:rPr>
        <w:footnoteReference w:id="15"/>
      </w:r>
      <w:r w:rsidRPr="00FE35A9">
        <w:rPr>
          <w:rFonts w:ascii="Times New Roman" w:hAnsi="Times New Roman"/>
          <w:sz w:val="24"/>
          <w:szCs w:val="24"/>
        </w:rPr>
        <w:t xml:space="preserve">. Факторната неутралност изисква векторът на портфейлните натоварвания спрямо тези фактори да бъде нулев или в тесни толеранси около нулата както екс анте, на база прогнозни натоварвания, така и екс пост, след </w:t>
      </w:r>
      <w:r w:rsidRPr="00FE35A9">
        <w:rPr>
          <w:rFonts w:ascii="Times New Roman" w:hAnsi="Times New Roman"/>
          <w:sz w:val="24"/>
          <w:szCs w:val="24"/>
        </w:rPr>
        <w:lastRenderedPageBreak/>
        <w:t>реализиране на пазарни движения. За разлика от доларната неутралност, която приравнява номиналните стойности на дълги и къси позиции, и бета-неутралността, която нулира чувствителността към пазарния индекс, факторната неутралност редуцира експозицията към по-широк вектор систематични рискове и по правило води до по-ниска корелация с широките индекси</w:t>
      </w:r>
      <w:r w:rsidRPr="00FE35A9">
        <w:rPr>
          <w:rFonts w:ascii="Times New Roman" w:hAnsi="Times New Roman"/>
          <w:sz w:val="24"/>
          <w:szCs w:val="24"/>
          <w:vertAlign w:val="superscript"/>
        </w:rPr>
        <w:footnoteReference w:id="16"/>
      </w:r>
      <w:r w:rsidRPr="00FE35A9">
        <w:rPr>
          <w:rFonts w:ascii="Times New Roman" w:hAnsi="Times New Roman"/>
          <w:sz w:val="24"/>
          <w:szCs w:val="24"/>
        </w:rPr>
        <w:t>.</w:t>
      </w:r>
    </w:p>
    <w:p w14:paraId="485D6F28"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Операционализирането на факторната неутралност се осъществява чрез оптимизационна задача за разпределение на теглата, в която целевата функция максимизира очакваната остатъчна алфа (произтичаща от фундаменталните сигнали) при ограничения за експозиция към фактори, индустрии, сектори и нетна бета. Класическата формулировка е квадратична оптимизация, при която се минимизира портфейлната вариация за дадено ниво на очаквана доходност или се максимизира съотношението алфа–риск при линейни ограничения за факторни натоварвания и оперативни лимити. Носеща конструкция е хибриден рисков модел, съставен от факторна ковариационна матрица и диагонална идиосинкратична компонента; за стабилност на оценките се използват редукции на измерението и регуляризация като свиване от типа Ledoit–Wolf, както и байесови корекции на нестабилни корелации. Ефективна двустъпкова процедура е първо да се регресират прогнозните алфи върху факторите и индустриалните фиктивни променливи и след това да се оптимизират остатъците, което по-чисто изолира идиосинкратичния сигнал от систематичните компоненти</w:t>
      </w:r>
      <w:r w:rsidRPr="00FE35A9">
        <w:rPr>
          <w:rFonts w:ascii="Times New Roman" w:hAnsi="Times New Roman"/>
          <w:sz w:val="24"/>
          <w:szCs w:val="24"/>
          <w:vertAlign w:val="superscript"/>
        </w:rPr>
        <w:footnoteReference w:id="17"/>
      </w:r>
      <w:r w:rsidRPr="00FE35A9">
        <w:rPr>
          <w:rFonts w:ascii="Times New Roman" w:hAnsi="Times New Roman"/>
          <w:sz w:val="24"/>
          <w:szCs w:val="24"/>
        </w:rPr>
        <w:t>.</w:t>
      </w:r>
    </w:p>
    <w:p w14:paraId="437E3D94"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 xml:space="preserve">Управлението на риска следва многостепенна логика, която обхваща експозиционен контрол, моделиране на вариацията, ликвидност и изпълнение, както и динамични механизми за ограничаване на загубите. На експозиционно ниво се задават тесни коридори за пазарна бета, секторни и стилови натоварвания, въвеждат се твърди лимити за концентрация по емисия и индустрия и за общия брой активни позиции. На ниво вариация се прилага волатилностно таргетиране, при което брутната експозиция и степента на ливъридж се адаптират към прогнозната волатилност, за да се стабилизира рискът през време. Рискът се разглежда не само в средноквадратична метрика, но и чрез опашни показатели като VaR и CVaR (Expected Shortfall), за да се отчетат асиметрии и </w:t>
      </w:r>
      <w:r w:rsidRPr="00FE35A9">
        <w:rPr>
          <w:rFonts w:ascii="Times New Roman" w:hAnsi="Times New Roman"/>
          <w:sz w:val="24"/>
          <w:szCs w:val="24"/>
        </w:rPr>
        <w:lastRenderedPageBreak/>
        <w:t>дебели опашки в остатъчните разпределения. Допълват се стрес-тестове и сценарии, които шокират едновременно множество фактори, тъй като частична колапсация на факторната структура може да породи неочаквани съвместни движения (comovements) в иначе диверсифицирани портфейли</w:t>
      </w:r>
      <w:r w:rsidRPr="00FE35A9">
        <w:rPr>
          <w:rFonts w:ascii="Times New Roman" w:hAnsi="Times New Roman"/>
          <w:sz w:val="24"/>
          <w:szCs w:val="24"/>
          <w:vertAlign w:val="superscript"/>
        </w:rPr>
        <w:footnoteReference w:id="18"/>
      </w:r>
      <w:r w:rsidRPr="00FE35A9">
        <w:rPr>
          <w:rFonts w:ascii="Times New Roman" w:hAnsi="Times New Roman"/>
          <w:sz w:val="24"/>
          <w:szCs w:val="24"/>
        </w:rPr>
        <w:t>.</w:t>
      </w:r>
    </w:p>
    <w:p w14:paraId="5D0D2DC2"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Съществен елемент е третирането на динамиката на факторните натоварвания. Поради структурни промени в бизнес модели, регулаторни режими или пазарни фази натоварванията и корелациите са времевариращи. Това изисква периодично преоценяване на факторните бети върху подвижни прозорци, използване на изглаждащи техники и при необходимост състояние-зависими модели като скрити марковски вериги или Калманови филтри. Адаптивността повишава адекватността на риска, но увеличава опасността от пренагаждане; затова контролът чрез out-of-sample валидация и ограничения върху честотата на ребалансиране е критичен. За да се ограничат транзакционните разходи и пазарното въздействие, се въвеждат бандове за ребалансиране, в рамките на които малки отклонения от целевите експозиции не предизвикват търговия, и се оптимизира траекторията на изпълнение с оглед ликвидност и ограничаване на slippage (отклонение при изпълнение)</w:t>
      </w:r>
      <w:r w:rsidRPr="00FE35A9">
        <w:rPr>
          <w:rFonts w:ascii="Times New Roman" w:hAnsi="Times New Roman"/>
          <w:sz w:val="24"/>
          <w:szCs w:val="24"/>
          <w:vertAlign w:val="superscript"/>
        </w:rPr>
        <w:footnoteReference w:id="19"/>
      </w:r>
      <w:r w:rsidRPr="00FE35A9">
        <w:rPr>
          <w:rFonts w:ascii="Times New Roman" w:hAnsi="Times New Roman"/>
          <w:sz w:val="24"/>
          <w:szCs w:val="24"/>
        </w:rPr>
        <w:t>.</w:t>
      </w:r>
    </w:p>
    <w:p w14:paraId="5DA140E5"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Интегрирането на факторната неутралност с управлението на риска при фундаментален bottom-up портфейл изисква внимание към припокриването на стилови и секторни експозиции между множеството дълги и къси позиции. Дори при идиосинкратично мотивирани идеи агрегираният портфейл може да акумулира скрити систематични натоварвания; това налага индустриални фиктивни фактори в рисковия модел, лимити по фактор/индустрия и приоритизация на сделки по пределна идиосинкратична полза спрямо пределна рискова и разходна цена. В условия на резки режимни промени се прилагат механизми за аварийно намаляване на експозициите и ускорено преразглеждане на рисковите параметри, включително временно разширяване на бандовете за неутралност, за да се избегнат прекомерни транзакции при неблагоприятна ликвидност</w:t>
      </w:r>
      <w:r w:rsidRPr="00FE35A9">
        <w:rPr>
          <w:rFonts w:ascii="Times New Roman" w:hAnsi="Times New Roman"/>
          <w:sz w:val="24"/>
          <w:szCs w:val="24"/>
          <w:vertAlign w:val="superscript"/>
        </w:rPr>
        <w:footnoteReference w:id="20"/>
      </w:r>
      <w:r w:rsidRPr="00FE35A9">
        <w:rPr>
          <w:rFonts w:ascii="Times New Roman" w:hAnsi="Times New Roman"/>
          <w:sz w:val="24"/>
          <w:szCs w:val="24"/>
        </w:rPr>
        <w:t>.</w:t>
      </w:r>
    </w:p>
    <w:p w14:paraId="0E436DBB"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 xml:space="preserve">Тази съвкупност от методи осигурява рамка, при която търсената доходност произтича от селекция и относителна фундаментална оценка, а не от случайни факторни </w:t>
      </w:r>
      <w:r w:rsidRPr="00FE35A9">
        <w:rPr>
          <w:rFonts w:ascii="Times New Roman" w:hAnsi="Times New Roman"/>
          <w:sz w:val="24"/>
          <w:szCs w:val="24"/>
        </w:rPr>
        <w:lastRenderedPageBreak/>
        <w:t>ветрове. Факторната неутралност, подкрепена от стабилни рискови модели, строги ограничения и адаптивно управление, е необходимо условие пазарно неутралните стратегии да запазват желаните свойства през различни пазарни режими и да остават устойчиви спрямо променливите корелационни структури и ликвидностни условия.</w:t>
      </w:r>
    </w:p>
    <w:p w14:paraId="4BD55EEC"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b/>
          <w:bCs/>
          <w:sz w:val="24"/>
          <w:szCs w:val="24"/>
        </w:rPr>
        <w:t>1.4. Транзакционни разходи и практически ограничения</w:t>
      </w:r>
    </w:p>
    <w:p w14:paraId="53A76238"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Транзакционните разходи и оперативните ограничения са определящ фактор за реалистичната доходност на пазарно неутралните стратегии, в това число и при фундаментални bottom-up long/short портфейли. Те действат като систематично триене между теоретичния модел и реалното изпълнение, което изисква експлицитно моделиране още на етапите селекция на сигнали, формиране на прогнозна алфа и оптимизация на портфейла. Пренебрегването им води до структурна пристрастност в емпиричната оценка, тъй като част от наблюдаваната „алфа“ може да представлява непокрита компенсация за разходи и ограничения, а не истинска идиосинкратична възвръщаемост</w:t>
      </w:r>
      <w:r w:rsidRPr="00FE35A9">
        <w:rPr>
          <w:rFonts w:ascii="Times New Roman" w:hAnsi="Times New Roman"/>
          <w:sz w:val="24"/>
          <w:szCs w:val="24"/>
          <w:vertAlign w:val="superscript"/>
        </w:rPr>
        <w:footnoteReference w:id="21"/>
      </w:r>
      <w:r w:rsidRPr="00FE35A9">
        <w:rPr>
          <w:rFonts w:ascii="Times New Roman" w:hAnsi="Times New Roman"/>
          <w:sz w:val="24"/>
          <w:szCs w:val="24"/>
        </w:rPr>
        <w:t>.</w:t>
      </w:r>
    </w:p>
    <w:p w14:paraId="576FDA0E"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Основните компоненти на разходите включват брокерски комисиони, спред между котировките купува и продава, slippage (отклонение при изпълнение) вследствие на динамика на цената по време на изпълнение и пазарно въздействие, което е ендогенно спрямо размера и скоростта на ордера. При къси позиции се добавят такси за заемане на ценни книжа и риск от отзоваване на заема, които могат да принудят преждевременно закриване на позиции и да компрометират неутралността. На годишна база финансиращите разходи по ливъридж и поддържане на маржин повишават ефективния праг на печалба. Фундаменталните портфейли обичайно се ребалансират по-рядко, но в по-широки вселени; следователно калибрирането на праговете за влизане/излизане и използването на бандове за ребалансиране е ключово за контрол на оборота</w:t>
      </w:r>
      <w:r w:rsidRPr="00FE35A9">
        <w:rPr>
          <w:rFonts w:ascii="Times New Roman" w:hAnsi="Times New Roman"/>
          <w:sz w:val="24"/>
          <w:szCs w:val="24"/>
          <w:vertAlign w:val="superscript"/>
        </w:rPr>
        <w:footnoteReference w:id="22"/>
      </w:r>
      <w:r w:rsidRPr="00FE35A9">
        <w:rPr>
          <w:rFonts w:ascii="Times New Roman" w:hAnsi="Times New Roman"/>
          <w:sz w:val="24"/>
          <w:szCs w:val="24"/>
        </w:rPr>
        <w:t>.</w:t>
      </w:r>
    </w:p>
    <w:p w14:paraId="790D3182"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 xml:space="preserve">Моделирането на разходите в бектестове следва да стъпва на реалистична методология за изпълнение, която работи с котировки от страните на книгата, а не с междинни цени. Стандартизирани подходи като разлагане на „implementation shortfall“ позволяват атрибуция между такси, спред и въздействие. За оценка на пазарно въздействие широко се използват функционални форми, които нарастват сублинейно със </w:t>
      </w:r>
      <w:r w:rsidRPr="00FE35A9">
        <w:rPr>
          <w:rFonts w:ascii="Times New Roman" w:hAnsi="Times New Roman"/>
          <w:sz w:val="24"/>
          <w:szCs w:val="24"/>
        </w:rPr>
        <w:lastRenderedPageBreak/>
        <w:t>съотношението между обема на ордера и средния дневен оборот, с параметри, калибрирани по исторически микроструктурни данни. Въвеждането на наказателни термини за оборот в целевата функция на оптимизацията редуцира ненужните транзакции, особено при шумни сигнали</w:t>
      </w:r>
      <w:r w:rsidRPr="00FE35A9">
        <w:rPr>
          <w:rFonts w:ascii="Times New Roman" w:hAnsi="Times New Roman"/>
          <w:sz w:val="24"/>
          <w:szCs w:val="24"/>
          <w:vertAlign w:val="superscript"/>
        </w:rPr>
        <w:footnoteReference w:id="23"/>
      </w:r>
      <w:r w:rsidRPr="00FE35A9">
        <w:rPr>
          <w:rFonts w:ascii="Times New Roman" w:hAnsi="Times New Roman"/>
          <w:sz w:val="24"/>
          <w:szCs w:val="24"/>
        </w:rPr>
        <w:t>.</w:t>
      </w:r>
    </w:p>
    <w:p w14:paraId="0A31540C"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Ликвидността и дълбочината на пазара налагат допълнителни практични ограничения. Ограниченията за минимален търгуем лот, стъпка на котиране и часови прозорци за търговия влияят върху прецизността на позиционирането и могат да оставят остатъчни факторни експозиции. При събития, значими за фундаментите — например публикации на отчети, ревизии на прогнози или индексови ребаланси — наблюдаваната ликвидност може да се свие рязко, което увеличава slippage и вероятността от частично изпълнение. Откриването и затварянето на пазара, както и аукционните фази, имат специфична микродинамика, която изисква специализирани алгоритми за изпълнение и ограничения върху обема, за да се избегнат неблагоприятни ценови измествания.</w:t>
      </w:r>
    </w:p>
    <w:p w14:paraId="217201BD"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Оперативните рискове при къси позиции са особено значими. Достъпността на заеми, волатилността на таксите за заем и рискът от внезапно „hard-to-borrow“ състояние променят нетната доходност и могат да компрометират неутралността чрез асиметрично затваряне на късата страна. Управлението на този риск предполага предварителни лимити за експозиция в емисии с ограничен флоут, диверсификация на източниците на заем, дневен мониторинг на наличности и възможност за временно разхлабване на неутралността, когато алтернативният заем би генерирал прекомерни разходи</w:t>
      </w:r>
      <w:r w:rsidRPr="00FE35A9">
        <w:rPr>
          <w:rFonts w:ascii="Times New Roman" w:hAnsi="Times New Roman"/>
          <w:sz w:val="24"/>
          <w:szCs w:val="24"/>
          <w:vertAlign w:val="superscript"/>
        </w:rPr>
        <w:footnoteReference w:id="24"/>
      </w:r>
      <w:r w:rsidRPr="00FE35A9">
        <w:rPr>
          <w:rFonts w:ascii="Times New Roman" w:hAnsi="Times New Roman"/>
          <w:sz w:val="24"/>
          <w:szCs w:val="24"/>
        </w:rPr>
        <w:t>.</w:t>
      </w:r>
    </w:p>
    <w:p w14:paraId="2DB97E09"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Данните и инфраструктурата са източник на скрити ограничения. Необходим е „point-in-time“ контрол върху всичко, което засяга факторните оценки и ценообразуването, включително корпоративни действия, състави на индекси и промени в секторна класификация, за да се избегне поглеждане напред. Закъсненията в доставката на данни, асинхронното котиране между различни места за търговия и латентността в подаване/потвърждаване на ордери влияят върху синхронността на изпълнение и пораждат нежелани нетни експозиции. Тези ефекти се ограничават чрез координирано изпълнение, времеви правила за валидност на сигнала и контрол на остатъчната бета след изпълнение.</w:t>
      </w:r>
    </w:p>
    <w:p w14:paraId="4024F8F6"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lastRenderedPageBreak/>
        <w:t>Правните и регулаторните изисквания въвеждат допълнителни рамки. Правила за къси продажби, маржин стандарти, ограничения за концентрация и отчетни задължения могат да ограничат капацитета и да повишат фиксираните оперативни разходи. В определени юрисдикции отсъствието на прозрачност на късите позиции или временни забрани при стресови събития правят необходима контингентна политика за бързо намаляване на брутната експозиция и адаптация на сигналите при ограничена възможност за хеджиране</w:t>
      </w:r>
      <w:r w:rsidRPr="00FE35A9">
        <w:rPr>
          <w:rFonts w:ascii="Times New Roman" w:hAnsi="Times New Roman"/>
          <w:sz w:val="24"/>
          <w:szCs w:val="24"/>
          <w:vertAlign w:val="superscript"/>
        </w:rPr>
        <w:footnoteReference w:id="25"/>
      </w:r>
      <w:r w:rsidRPr="00FE35A9">
        <w:rPr>
          <w:rFonts w:ascii="Times New Roman" w:hAnsi="Times New Roman"/>
          <w:sz w:val="24"/>
          <w:szCs w:val="24"/>
        </w:rPr>
        <w:t>.</w:t>
      </w:r>
    </w:p>
    <w:p w14:paraId="656FB91A"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Капацитетът и ефектът от струпване на сходни стратегии представляват стратегическо ограничение. При насищане на източника на алфа нараства корелацията между участниците, което води до синхронно отваряне/затваряне на позиции и до нелинейно нарастване на въздействието върху цената. Консервативното определяне на допустим дял от средния дневен оборот, ограничения върху брутната и нетната експозиция по индустрии и стилове и приоритизация на сделки по пределна идиосинкратична полза спрямо пределна разходна цена подпомагат стабилността при нарастващ размер.</w:t>
      </w:r>
    </w:p>
    <w:p w14:paraId="0A1CFC15" w14:textId="77777777" w:rsidR="00FE35A9" w:rsidRPr="00FE35A9" w:rsidRDefault="00FE35A9" w:rsidP="00FE35A9">
      <w:pPr>
        <w:spacing w:line="360" w:lineRule="auto"/>
        <w:ind w:firstLine="708"/>
        <w:jc w:val="both"/>
        <w:rPr>
          <w:rFonts w:ascii="Times New Roman" w:hAnsi="Times New Roman"/>
          <w:sz w:val="24"/>
          <w:szCs w:val="24"/>
        </w:rPr>
      </w:pPr>
      <w:r w:rsidRPr="00FE35A9">
        <w:rPr>
          <w:rFonts w:ascii="Times New Roman" w:hAnsi="Times New Roman"/>
          <w:sz w:val="24"/>
          <w:szCs w:val="24"/>
        </w:rPr>
        <w:t>Интегрирането на всички тези елементи в единна рамка предполага съвместна оптимизация на очаквана доходност, риск и разходи. Практическият подход комбинира факторни рискови модели за прогнозиране на вариацията, експлицитни функции на разходите в целевата функция, ограничения за оборот и бандове за ребалансиране, както и алгоритми за изпълнение, съобразени с ликвидността на конкретните емисии. Успешната реализация на пазарно неутрални фундаментални стратегии зависи от способността тези разходи и ограничения да бъдат количествено предвидени, включени в решенията за размер на позициите и непрекъснато наблюдавани, така че наблюдаваната алфа да остане устойчива след корекциите, наложени от реалните пазарни условия.</w:t>
      </w:r>
    </w:p>
    <w:p w14:paraId="035D6B4F" w14:textId="2CE7AF48" w:rsidR="000B51D9" w:rsidRPr="00C67F33" w:rsidRDefault="000B51D9" w:rsidP="000B51D9">
      <w:pPr>
        <w:spacing w:line="360" w:lineRule="auto"/>
        <w:ind w:firstLine="708"/>
        <w:jc w:val="both"/>
        <w:rPr>
          <w:rFonts w:ascii="Times New Roman" w:hAnsi="Times New Roman"/>
          <w:sz w:val="24"/>
          <w:szCs w:val="24"/>
        </w:rPr>
      </w:pPr>
    </w:p>
    <w:p w14:paraId="6438DB55" w14:textId="77777777" w:rsidR="007D6542" w:rsidRPr="00C67F33" w:rsidRDefault="007D6542" w:rsidP="00057B6F">
      <w:pPr>
        <w:spacing w:line="360" w:lineRule="auto"/>
        <w:ind w:firstLine="708"/>
        <w:jc w:val="both"/>
        <w:rPr>
          <w:rFonts w:ascii="Times New Roman" w:hAnsi="Times New Roman"/>
          <w:sz w:val="24"/>
          <w:szCs w:val="24"/>
        </w:rPr>
      </w:pPr>
    </w:p>
    <w:p w14:paraId="742A4E25" w14:textId="6ACED827" w:rsidR="00057B6F" w:rsidRPr="00C67F33" w:rsidRDefault="0044313E" w:rsidP="00057B6F">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br w:type="page"/>
      </w:r>
      <w:r w:rsidR="00057B6F" w:rsidRPr="00C67F33">
        <w:rPr>
          <w:rFonts w:ascii="Times New Roman" w:hAnsi="Times New Roman"/>
          <w:b/>
          <w:bCs/>
          <w:sz w:val="24"/>
          <w:szCs w:val="24"/>
        </w:rPr>
        <w:lastRenderedPageBreak/>
        <w:t xml:space="preserve">Глава 2. </w:t>
      </w:r>
      <w:r w:rsidR="002465E0" w:rsidRPr="00C67F33">
        <w:rPr>
          <w:rFonts w:ascii="Times New Roman" w:hAnsi="Times New Roman"/>
          <w:b/>
          <w:bCs/>
          <w:sz w:val="24"/>
          <w:szCs w:val="24"/>
        </w:rPr>
        <w:t>Изграждане на пазарно неутрално фундаментално портфейло</w:t>
      </w:r>
    </w:p>
    <w:p w14:paraId="2FC036D6" w14:textId="3A80D191" w:rsidR="00F839A9" w:rsidRPr="00C67F33" w:rsidRDefault="00F839A9" w:rsidP="00F839A9">
      <w:pPr>
        <w:spacing w:line="360" w:lineRule="auto"/>
        <w:ind w:firstLine="708"/>
        <w:jc w:val="both"/>
        <w:rPr>
          <w:rFonts w:ascii="Times New Roman" w:hAnsi="Times New Roman"/>
          <w:sz w:val="24"/>
          <w:szCs w:val="24"/>
        </w:rPr>
      </w:pPr>
      <w:r w:rsidRPr="00C67F33">
        <w:rPr>
          <w:rFonts w:ascii="Times New Roman" w:hAnsi="Times New Roman"/>
          <w:sz w:val="24"/>
          <w:szCs w:val="24"/>
        </w:rPr>
        <w:t>Главата формулира систематичен, bottom-up подход за изграждане на пазарно неутрално фундаментално портфейло за развити европейски пазари, базиран на комбинация от счетоводни и пазарни фактори, превърнати в композитен скор и използвани за формиране на long/short позиции с контрол на риск и експозиции.</w:t>
      </w:r>
    </w:p>
    <w:p w14:paraId="1604DD4D" w14:textId="46BF30CE" w:rsidR="00057B6F" w:rsidRPr="00F3027B" w:rsidRDefault="00057B6F" w:rsidP="00057B6F">
      <w:pPr>
        <w:spacing w:line="360" w:lineRule="auto"/>
        <w:ind w:firstLine="708"/>
        <w:jc w:val="both"/>
        <w:rPr>
          <w:rFonts w:ascii="Times New Roman" w:hAnsi="Times New Roman"/>
          <w:b/>
          <w:bCs/>
          <w:sz w:val="24"/>
          <w:szCs w:val="24"/>
        </w:rPr>
      </w:pPr>
      <w:r w:rsidRPr="00F3027B">
        <w:rPr>
          <w:rFonts w:ascii="Times New Roman" w:hAnsi="Times New Roman"/>
          <w:b/>
          <w:bCs/>
          <w:sz w:val="24"/>
          <w:szCs w:val="24"/>
        </w:rPr>
        <w:t>2.1. Данни</w:t>
      </w:r>
      <w:r w:rsidR="008E6DBC" w:rsidRPr="00F3027B">
        <w:rPr>
          <w:rFonts w:ascii="Times New Roman" w:hAnsi="Times New Roman"/>
          <w:b/>
          <w:bCs/>
          <w:sz w:val="24"/>
          <w:szCs w:val="24"/>
        </w:rPr>
        <w:t xml:space="preserve"> – </w:t>
      </w:r>
      <w:r w:rsidRPr="00F3027B">
        <w:rPr>
          <w:rFonts w:ascii="Times New Roman" w:hAnsi="Times New Roman"/>
          <w:b/>
          <w:bCs/>
          <w:sz w:val="24"/>
          <w:szCs w:val="24"/>
        </w:rPr>
        <w:t xml:space="preserve">източници, период и </w:t>
      </w:r>
      <w:r w:rsidR="00B054A9" w:rsidRPr="00F3027B">
        <w:rPr>
          <w:rFonts w:ascii="Times New Roman" w:hAnsi="Times New Roman"/>
          <w:b/>
          <w:bCs/>
          <w:sz w:val="24"/>
          <w:szCs w:val="24"/>
        </w:rPr>
        <w:t xml:space="preserve">критерии </w:t>
      </w:r>
      <w:r w:rsidRPr="00F3027B">
        <w:rPr>
          <w:rFonts w:ascii="Times New Roman" w:hAnsi="Times New Roman"/>
          <w:b/>
          <w:bCs/>
          <w:sz w:val="24"/>
          <w:szCs w:val="24"/>
        </w:rPr>
        <w:t>за избор на акции</w:t>
      </w:r>
    </w:p>
    <w:p w14:paraId="33D699F5" w14:textId="4A2C0345" w:rsidR="00C93BF6" w:rsidRPr="00C67F33" w:rsidRDefault="00C93BF6" w:rsidP="00C93BF6">
      <w:pPr>
        <w:spacing w:line="360" w:lineRule="auto"/>
        <w:ind w:firstLine="708"/>
        <w:rPr>
          <w:rFonts w:ascii="Times New Roman" w:hAnsi="Times New Roman"/>
          <w:sz w:val="24"/>
          <w:szCs w:val="24"/>
        </w:rPr>
      </w:pPr>
      <w:r w:rsidRPr="00C67F33">
        <w:rPr>
          <w:rFonts w:ascii="Times New Roman" w:hAnsi="Times New Roman"/>
          <w:sz w:val="24"/>
          <w:szCs w:val="24"/>
        </w:rPr>
        <w:t>Настоящото изследване използва публично достъпни пазарни и счетоводни данни за подмножество от компании, включени в индекса STOXX Europe 600, който представя най-ликвидните и капитализирани дружества на развитите европейски пазари.</w:t>
      </w:r>
      <w:r w:rsidR="00CA5CAD" w:rsidRPr="00C67F33">
        <w:rPr>
          <w:rFonts w:ascii="Times New Roman" w:hAnsi="Times New Roman"/>
          <w:sz w:val="24"/>
          <w:szCs w:val="24"/>
        </w:rPr>
        <w:t xml:space="preserve"> </w:t>
      </w:r>
      <w:r w:rsidRPr="00C67F33">
        <w:rPr>
          <w:rFonts w:ascii="Times New Roman" w:hAnsi="Times New Roman"/>
          <w:sz w:val="24"/>
          <w:szCs w:val="24"/>
        </w:rPr>
        <w:t>Основната цел на тази част е изграждането на емпирична база за конструиране на пазарно неутрално long/short портфейло, при което позициите се формират на базата на фундаментални фактори и последваща нормализация по индустрии.</w:t>
      </w:r>
    </w:p>
    <w:p w14:paraId="4ADD264B" w14:textId="77777777" w:rsidR="00C93BF6" w:rsidRPr="00C67F33" w:rsidRDefault="00C93BF6" w:rsidP="00C93BF6">
      <w:pPr>
        <w:spacing w:line="360" w:lineRule="auto"/>
        <w:ind w:firstLine="708"/>
        <w:rPr>
          <w:rFonts w:ascii="Times New Roman" w:hAnsi="Times New Roman"/>
          <w:b/>
          <w:bCs/>
          <w:sz w:val="24"/>
          <w:szCs w:val="24"/>
        </w:rPr>
      </w:pPr>
      <w:r w:rsidRPr="00C67F33">
        <w:rPr>
          <w:rFonts w:ascii="Times New Roman" w:hAnsi="Times New Roman"/>
          <w:b/>
          <w:bCs/>
          <w:sz w:val="24"/>
          <w:szCs w:val="24"/>
        </w:rPr>
        <w:t>Източници и структура на данните</w:t>
      </w:r>
    </w:p>
    <w:p w14:paraId="2112E05E" w14:textId="77777777" w:rsidR="00C93BF6" w:rsidRPr="00C67F33" w:rsidRDefault="00C93BF6" w:rsidP="00C93BF6">
      <w:pPr>
        <w:spacing w:line="360" w:lineRule="auto"/>
        <w:ind w:firstLine="708"/>
        <w:rPr>
          <w:rFonts w:ascii="Times New Roman" w:hAnsi="Times New Roman"/>
          <w:sz w:val="24"/>
          <w:szCs w:val="24"/>
        </w:rPr>
      </w:pPr>
      <w:r w:rsidRPr="00C67F33">
        <w:rPr>
          <w:rFonts w:ascii="Times New Roman" w:hAnsi="Times New Roman"/>
          <w:sz w:val="24"/>
          <w:szCs w:val="24"/>
        </w:rPr>
        <w:t xml:space="preserve">Използваните данни са извлечени от Yahoo Finance чрез програмна среда на Python (модул </w:t>
      </w:r>
      <w:r w:rsidRPr="00C67F33">
        <w:rPr>
          <w:rFonts w:ascii="Times New Roman" w:hAnsi="Times New Roman"/>
          <w:i/>
          <w:iCs/>
          <w:sz w:val="24"/>
          <w:szCs w:val="24"/>
        </w:rPr>
        <w:t>yfinance</w:t>
      </w:r>
      <w:r w:rsidRPr="00C67F33">
        <w:rPr>
          <w:rFonts w:ascii="Times New Roman" w:hAnsi="Times New Roman"/>
          <w:sz w:val="24"/>
          <w:szCs w:val="24"/>
        </w:rPr>
        <w:t>) и обхващат:</w:t>
      </w:r>
    </w:p>
    <w:p w14:paraId="6C3636CF" w14:textId="77777777" w:rsidR="00C93BF6" w:rsidRPr="00C67F33" w:rsidRDefault="00C93BF6" w:rsidP="00C93BF6">
      <w:pPr>
        <w:numPr>
          <w:ilvl w:val="0"/>
          <w:numId w:val="36"/>
        </w:numPr>
        <w:spacing w:line="360" w:lineRule="auto"/>
        <w:rPr>
          <w:rFonts w:ascii="Times New Roman" w:hAnsi="Times New Roman"/>
          <w:sz w:val="24"/>
          <w:szCs w:val="24"/>
        </w:rPr>
      </w:pPr>
      <w:r w:rsidRPr="00C67F33">
        <w:rPr>
          <w:rFonts w:ascii="Times New Roman" w:hAnsi="Times New Roman"/>
          <w:b/>
          <w:bCs/>
          <w:sz w:val="24"/>
          <w:szCs w:val="24"/>
        </w:rPr>
        <w:t>Месечни цени на акции</w:t>
      </w:r>
      <w:r w:rsidRPr="00C67F33">
        <w:rPr>
          <w:rFonts w:ascii="Times New Roman" w:hAnsi="Times New Roman"/>
          <w:sz w:val="24"/>
          <w:szCs w:val="24"/>
        </w:rPr>
        <w:t xml:space="preserve"> за периода </w:t>
      </w:r>
      <w:r w:rsidRPr="00C67F33">
        <w:rPr>
          <w:rFonts w:ascii="Times New Roman" w:hAnsi="Times New Roman"/>
          <w:b/>
          <w:bCs/>
          <w:sz w:val="24"/>
          <w:szCs w:val="24"/>
        </w:rPr>
        <w:t>януари 2018 – декември 2024 г.</w:t>
      </w:r>
      <w:r w:rsidRPr="00C67F33">
        <w:rPr>
          <w:rFonts w:ascii="Times New Roman" w:hAnsi="Times New Roman"/>
          <w:sz w:val="24"/>
          <w:szCs w:val="24"/>
        </w:rPr>
        <w:t>, от които се формира времевата серия на доходностите;</w:t>
      </w:r>
    </w:p>
    <w:p w14:paraId="76E19A08" w14:textId="77777777" w:rsidR="00C93BF6" w:rsidRPr="00C67F33" w:rsidRDefault="00C93BF6" w:rsidP="00C93BF6">
      <w:pPr>
        <w:numPr>
          <w:ilvl w:val="0"/>
          <w:numId w:val="36"/>
        </w:numPr>
        <w:spacing w:line="360" w:lineRule="auto"/>
        <w:rPr>
          <w:rFonts w:ascii="Times New Roman" w:hAnsi="Times New Roman"/>
          <w:sz w:val="24"/>
          <w:szCs w:val="24"/>
        </w:rPr>
      </w:pPr>
      <w:r w:rsidRPr="00C67F33">
        <w:rPr>
          <w:rFonts w:ascii="Times New Roman" w:hAnsi="Times New Roman"/>
          <w:b/>
          <w:bCs/>
          <w:sz w:val="24"/>
          <w:szCs w:val="24"/>
        </w:rPr>
        <w:t>Годишни счетоводни отчети</w:t>
      </w:r>
      <w:r w:rsidRPr="00C67F33">
        <w:rPr>
          <w:rFonts w:ascii="Times New Roman" w:hAnsi="Times New Roman"/>
          <w:sz w:val="24"/>
          <w:szCs w:val="24"/>
        </w:rPr>
        <w:t xml:space="preserve"> (доходи, баланс и парични потоци) за периода </w:t>
      </w:r>
      <w:r w:rsidRPr="00C67F33">
        <w:rPr>
          <w:rFonts w:ascii="Times New Roman" w:hAnsi="Times New Roman"/>
          <w:b/>
          <w:bCs/>
          <w:sz w:val="24"/>
          <w:szCs w:val="24"/>
        </w:rPr>
        <w:t>2021–2024 г.</w:t>
      </w:r>
      <w:r w:rsidRPr="00C67F33">
        <w:rPr>
          <w:rFonts w:ascii="Times New Roman" w:hAnsi="Times New Roman"/>
          <w:sz w:val="24"/>
          <w:szCs w:val="24"/>
        </w:rPr>
        <w:t>, достъпни за повечето компании от STOXX Europe 600;</w:t>
      </w:r>
    </w:p>
    <w:p w14:paraId="47DF2868" w14:textId="77777777" w:rsidR="00C93BF6" w:rsidRPr="00C67F33" w:rsidRDefault="00C93BF6" w:rsidP="00C93BF6">
      <w:pPr>
        <w:numPr>
          <w:ilvl w:val="0"/>
          <w:numId w:val="36"/>
        </w:numPr>
        <w:spacing w:line="360" w:lineRule="auto"/>
        <w:rPr>
          <w:rFonts w:ascii="Times New Roman" w:hAnsi="Times New Roman"/>
          <w:sz w:val="24"/>
          <w:szCs w:val="24"/>
        </w:rPr>
      </w:pPr>
      <w:r w:rsidRPr="00C67F33">
        <w:rPr>
          <w:rFonts w:ascii="Times New Roman" w:hAnsi="Times New Roman"/>
          <w:b/>
          <w:bCs/>
          <w:sz w:val="24"/>
          <w:szCs w:val="24"/>
        </w:rPr>
        <w:t>Основни пазарни и корпоративни характеристики</w:t>
      </w:r>
      <w:r w:rsidRPr="00C67F33">
        <w:rPr>
          <w:rFonts w:ascii="Times New Roman" w:hAnsi="Times New Roman"/>
          <w:sz w:val="24"/>
          <w:szCs w:val="24"/>
        </w:rPr>
        <w:t xml:space="preserve"> като пазарна капитализация, свободен флоут, секторна принадлежност и индустрия (по класификацията на Yahoo/ICB).</w:t>
      </w:r>
    </w:p>
    <w:p w14:paraId="571DEF3A" w14:textId="77777777" w:rsidR="00C93BF6" w:rsidRPr="00C67F33" w:rsidRDefault="00C93BF6" w:rsidP="00C93BF6">
      <w:pPr>
        <w:spacing w:line="360" w:lineRule="auto"/>
        <w:ind w:firstLine="708"/>
        <w:rPr>
          <w:rFonts w:ascii="Times New Roman" w:hAnsi="Times New Roman"/>
          <w:sz w:val="24"/>
          <w:szCs w:val="24"/>
        </w:rPr>
      </w:pPr>
      <w:r w:rsidRPr="00C67F33">
        <w:rPr>
          <w:rFonts w:ascii="Times New Roman" w:hAnsi="Times New Roman"/>
          <w:sz w:val="24"/>
          <w:szCs w:val="24"/>
        </w:rPr>
        <w:t>Тъй като обхватът на историческите финансови данни в Yahoo Finance за европейски дружества е ограничен до последните няколко отчетни години, изследването се концентрира върху постпандемичния период 2021–2024, който предоставя достатъчна хетерогенност на икономическите условия – възстановяване след COVID-19, ускорена инфлация и цикъл на повишаване на лихвените проценти. Това прави възможна оценката на стратегията в контекст на динамична пазарна среда.</w:t>
      </w:r>
    </w:p>
    <w:p w14:paraId="326F6EEB" w14:textId="77777777" w:rsidR="00C93BF6" w:rsidRPr="00C67F33" w:rsidRDefault="00C93BF6" w:rsidP="00C93BF6">
      <w:pPr>
        <w:spacing w:line="360" w:lineRule="auto"/>
        <w:ind w:firstLine="708"/>
        <w:rPr>
          <w:rFonts w:ascii="Times New Roman" w:hAnsi="Times New Roman"/>
          <w:b/>
          <w:bCs/>
          <w:sz w:val="24"/>
          <w:szCs w:val="24"/>
        </w:rPr>
      </w:pPr>
      <w:r w:rsidRPr="00C67F33">
        <w:rPr>
          <w:rFonts w:ascii="Times New Roman" w:hAnsi="Times New Roman"/>
          <w:b/>
          <w:bCs/>
          <w:sz w:val="24"/>
          <w:szCs w:val="24"/>
        </w:rPr>
        <w:t>Критерии за включване в извадката</w:t>
      </w:r>
    </w:p>
    <w:p w14:paraId="77FF07F5" w14:textId="77777777" w:rsidR="00C93BF6" w:rsidRPr="00C67F33" w:rsidRDefault="00C93BF6" w:rsidP="00C93BF6">
      <w:pPr>
        <w:spacing w:line="360" w:lineRule="auto"/>
        <w:ind w:firstLine="708"/>
        <w:rPr>
          <w:rFonts w:ascii="Times New Roman" w:hAnsi="Times New Roman"/>
          <w:sz w:val="24"/>
          <w:szCs w:val="24"/>
        </w:rPr>
      </w:pPr>
      <w:r w:rsidRPr="00C67F33">
        <w:rPr>
          <w:rFonts w:ascii="Times New Roman" w:hAnsi="Times New Roman"/>
          <w:sz w:val="24"/>
          <w:szCs w:val="24"/>
        </w:rPr>
        <w:lastRenderedPageBreak/>
        <w:t>За да се гарантира надеждност и представителност на извадката, са приложени следните критерии:</w:t>
      </w:r>
    </w:p>
    <w:p w14:paraId="0DE13300" w14:textId="77777777" w:rsidR="00C93BF6" w:rsidRPr="00C67F33" w:rsidRDefault="00C93BF6" w:rsidP="00C93BF6">
      <w:pPr>
        <w:numPr>
          <w:ilvl w:val="0"/>
          <w:numId w:val="37"/>
        </w:numPr>
        <w:spacing w:line="360" w:lineRule="auto"/>
        <w:rPr>
          <w:rFonts w:ascii="Times New Roman" w:hAnsi="Times New Roman"/>
          <w:sz w:val="24"/>
          <w:szCs w:val="24"/>
        </w:rPr>
      </w:pPr>
      <w:r w:rsidRPr="00C67F33">
        <w:rPr>
          <w:rFonts w:ascii="Times New Roman" w:hAnsi="Times New Roman"/>
          <w:b/>
          <w:bCs/>
          <w:sz w:val="24"/>
          <w:szCs w:val="24"/>
        </w:rPr>
        <w:t>Минимална пазарна капитализация от €1 млрд.</w:t>
      </w:r>
      <w:r w:rsidRPr="00C67F33">
        <w:rPr>
          <w:rFonts w:ascii="Times New Roman" w:hAnsi="Times New Roman"/>
          <w:sz w:val="24"/>
          <w:szCs w:val="24"/>
        </w:rPr>
        <w:t>, с цел ограничаване на ефекта от малки, неликвидни емисии;</w:t>
      </w:r>
    </w:p>
    <w:p w14:paraId="136E372F" w14:textId="77777777" w:rsidR="00C93BF6" w:rsidRPr="00C67F33" w:rsidRDefault="00C93BF6" w:rsidP="00C93BF6">
      <w:pPr>
        <w:numPr>
          <w:ilvl w:val="0"/>
          <w:numId w:val="37"/>
        </w:numPr>
        <w:spacing w:line="360" w:lineRule="auto"/>
        <w:rPr>
          <w:rFonts w:ascii="Times New Roman" w:hAnsi="Times New Roman"/>
          <w:sz w:val="24"/>
          <w:szCs w:val="24"/>
        </w:rPr>
      </w:pPr>
      <w:r w:rsidRPr="00C67F33">
        <w:rPr>
          <w:rFonts w:ascii="Times New Roman" w:hAnsi="Times New Roman"/>
          <w:b/>
          <w:bCs/>
          <w:sz w:val="24"/>
          <w:szCs w:val="24"/>
        </w:rPr>
        <w:t>Минимален свободен флоут от 25%</w:t>
      </w:r>
      <w:r w:rsidRPr="00C67F33">
        <w:rPr>
          <w:rFonts w:ascii="Times New Roman" w:hAnsi="Times New Roman"/>
          <w:sz w:val="24"/>
          <w:szCs w:val="24"/>
        </w:rPr>
        <w:t>, осигуряващ достатъчна достъпност за инвеститорите;</w:t>
      </w:r>
    </w:p>
    <w:p w14:paraId="0647B1B0" w14:textId="77777777" w:rsidR="00C93BF6" w:rsidRPr="00C67F33" w:rsidRDefault="00C93BF6" w:rsidP="00C93BF6">
      <w:pPr>
        <w:numPr>
          <w:ilvl w:val="0"/>
          <w:numId w:val="37"/>
        </w:numPr>
        <w:spacing w:line="360" w:lineRule="auto"/>
        <w:rPr>
          <w:rFonts w:ascii="Times New Roman" w:hAnsi="Times New Roman"/>
          <w:sz w:val="24"/>
          <w:szCs w:val="24"/>
        </w:rPr>
      </w:pPr>
      <w:r w:rsidRPr="00C67F33">
        <w:rPr>
          <w:rFonts w:ascii="Times New Roman" w:hAnsi="Times New Roman"/>
          <w:b/>
          <w:bCs/>
          <w:sz w:val="24"/>
          <w:szCs w:val="24"/>
        </w:rPr>
        <w:t>Наличие на последователни годишни финансови отчети</w:t>
      </w:r>
      <w:r w:rsidRPr="00C67F33">
        <w:rPr>
          <w:rFonts w:ascii="Times New Roman" w:hAnsi="Times New Roman"/>
          <w:sz w:val="24"/>
          <w:szCs w:val="24"/>
        </w:rPr>
        <w:t xml:space="preserve"> за периода 2021–2024 г.;</w:t>
      </w:r>
    </w:p>
    <w:p w14:paraId="0778557A" w14:textId="77777777" w:rsidR="00C93BF6" w:rsidRPr="00C67F33" w:rsidRDefault="00C93BF6" w:rsidP="00C93BF6">
      <w:pPr>
        <w:numPr>
          <w:ilvl w:val="0"/>
          <w:numId w:val="37"/>
        </w:numPr>
        <w:spacing w:line="360" w:lineRule="auto"/>
        <w:rPr>
          <w:rFonts w:ascii="Times New Roman" w:hAnsi="Times New Roman"/>
          <w:sz w:val="24"/>
          <w:szCs w:val="24"/>
        </w:rPr>
      </w:pPr>
      <w:r w:rsidRPr="00C67F33">
        <w:rPr>
          <w:rFonts w:ascii="Times New Roman" w:hAnsi="Times New Roman"/>
          <w:b/>
          <w:bCs/>
          <w:sz w:val="24"/>
          <w:szCs w:val="24"/>
        </w:rPr>
        <w:t>Наличие на непрекъсната месечна ценова история</w:t>
      </w:r>
      <w:r w:rsidRPr="00C67F33">
        <w:rPr>
          <w:rFonts w:ascii="Times New Roman" w:hAnsi="Times New Roman"/>
          <w:sz w:val="24"/>
          <w:szCs w:val="24"/>
        </w:rPr>
        <w:t xml:space="preserve"> (поне 24 наблюдения за 2022–2024 г.);</w:t>
      </w:r>
    </w:p>
    <w:p w14:paraId="2E73E710" w14:textId="77777777" w:rsidR="00C93BF6" w:rsidRPr="00C67F33" w:rsidRDefault="00C93BF6" w:rsidP="00C93BF6">
      <w:pPr>
        <w:numPr>
          <w:ilvl w:val="0"/>
          <w:numId w:val="37"/>
        </w:numPr>
        <w:spacing w:line="360" w:lineRule="auto"/>
        <w:rPr>
          <w:rFonts w:ascii="Times New Roman" w:hAnsi="Times New Roman"/>
          <w:sz w:val="24"/>
          <w:szCs w:val="24"/>
        </w:rPr>
      </w:pPr>
      <w:r w:rsidRPr="00C67F33">
        <w:rPr>
          <w:rFonts w:ascii="Times New Roman" w:hAnsi="Times New Roman"/>
          <w:b/>
          <w:bCs/>
          <w:sz w:val="24"/>
          <w:szCs w:val="24"/>
        </w:rPr>
        <w:t>Изключване на дружества с екстремни или несравними събития</w:t>
      </w:r>
      <w:r w:rsidRPr="00C67F33">
        <w:rPr>
          <w:rFonts w:ascii="Times New Roman" w:hAnsi="Times New Roman"/>
          <w:sz w:val="24"/>
          <w:szCs w:val="24"/>
        </w:rPr>
        <w:t xml:space="preserve"> като делистинг, сливания или фалити в периода на изследване.</w:t>
      </w:r>
    </w:p>
    <w:p w14:paraId="2F741E11" w14:textId="181E061B" w:rsidR="00C93BF6" w:rsidRPr="00C67F33" w:rsidRDefault="00C93BF6" w:rsidP="00C93BF6">
      <w:pPr>
        <w:spacing w:line="360" w:lineRule="auto"/>
        <w:ind w:firstLine="708"/>
        <w:rPr>
          <w:rFonts w:ascii="Times New Roman" w:hAnsi="Times New Roman"/>
          <w:sz w:val="24"/>
          <w:szCs w:val="24"/>
        </w:rPr>
      </w:pPr>
      <w:r w:rsidRPr="00C67F33">
        <w:rPr>
          <w:rFonts w:ascii="Times New Roman" w:hAnsi="Times New Roman"/>
          <w:sz w:val="24"/>
          <w:szCs w:val="24"/>
        </w:rPr>
        <w:t>След прилагане на тези филтри финалната извадка включва приблизително 60 дружества, представляващи различни индустрии и страни от Европа. Тя служи като основ</w:t>
      </w:r>
      <w:r w:rsidR="00A44C94" w:rsidRPr="00C67F33">
        <w:rPr>
          <w:rFonts w:ascii="Times New Roman" w:hAnsi="Times New Roman"/>
          <w:sz w:val="24"/>
          <w:szCs w:val="24"/>
        </w:rPr>
        <w:t>на</w:t>
      </w:r>
      <w:r w:rsidRPr="00C67F33">
        <w:rPr>
          <w:rFonts w:ascii="Times New Roman" w:hAnsi="Times New Roman"/>
          <w:sz w:val="24"/>
          <w:szCs w:val="24"/>
        </w:rPr>
        <w:t xml:space="preserve"> инвестицион</w:t>
      </w:r>
      <w:r w:rsidR="00A44C94" w:rsidRPr="00C67F33">
        <w:rPr>
          <w:rFonts w:ascii="Times New Roman" w:hAnsi="Times New Roman"/>
          <w:sz w:val="24"/>
          <w:szCs w:val="24"/>
        </w:rPr>
        <w:t>на</w:t>
      </w:r>
      <w:r w:rsidRPr="00C67F33">
        <w:rPr>
          <w:rFonts w:ascii="Times New Roman" w:hAnsi="Times New Roman"/>
          <w:sz w:val="24"/>
          <w:szCs w:val="24"/>
        </w:rPr>
        <w:t xml:space="preserve"> </w:t>
      </w:r>
      <w:r w:rsidR="00A44C94" w:rsidRPr="00C67F33">
        <w:rPr>
          <w:rFonts w:ascii="Times New Roman" w:hAnsi="Times New Roman"/>
          <w:sz w:val="24"/>
          <w:szCs w:val="24"/>
        </w:rPr>
        <w:t xml:space="preserve">база данни </w:t>
      </w:r>
      <w:r w:rsidRPr="00C67F33">
        <w:rPr>
          <w:rFonts w:ascii="Times New Roman" w:hAnsi="Times New Roman"/>
          <w:sz w:val="24"/>
          <w:szCs w:val="24"/>
        </w:rPr>
        <w:t>за изграждане на портфейла.</w:t>
      </w:r>
    </w:p>
    <w:p w14:paraId="14B23012" w14:textId="77777777" w:rsidR="00C93BF6" w:rsidRPr="00C67F33" w:rsidRDefault="00C93BF6" w:rsidP="00C93BF6">
      <w:pPr>
        <w:spacing w:line="360" w:lineRule="auto"/>
        <w:ind w:firstLine="708"/>
        <w:rPr>
          <w:rFonts w:ascii="Times New Roman" w:hAnsi="Times New Roman"/>
          <w:b/>
          <w:bCs/>
          <w:sz w:val="24"/>
          <w:szCs w:val="24"/>
        </w:rPr>
      </w:pPr>
      <w:r w:rsidRPr="00C67F33">
        <w:rPr>
          <w:rFonts w:ascii="Times New Roman" w:hAnsi="Times New Roman"/>
          <w:b/>
          <w:bCs/>
          <w:sz w:val="24"/>
          <w:szCs w:val="24"/>
        </w:rPr>
        <w:t>Обработка и хомогенизация на данните</w:t>
      </w:r>
    </w:p>
    <w:p w14:paraId="46970D99" w14:textId="151A63CD" w:rsidR="00552FFC" w:rsidRPr="00C67F33" w:rsidRDefault="00C93BF6" w:rsidP="008E4F6C">
      <w:pPr>
        <w:spacing w:line="360" w:lineRule="auto"/>
        <w:ind w:firstLine="708"/>
        <w:rPr>
          <w:rFonts w:ascii="Times New Roman" w:hAnsi="Times New Roman"/>
          <w:sz w:val="24"/>
          <w:szCs w:val="24"/>
        </w:rPr>
      </w:pPr>
      <w:r w:rsidRPr="00C67F33">
        <w:rPr>
          <w:rFonts w:ascii="Times New Roman" w:hAnsi="Times New Roman"/>
          <w:sz w:val="24"/>
          <w:szCs w:val="24"/>
        </w:rPr>
        <w:t>Всички ценови данни са автоматично коригирани за дивиденти и сплитове, като се използват „adjusted close“ котировки.</w:t>
      </w:r>
      <w:r w:rsidR="005B0E18" w:rsidRPr="00C67F33">
        <w:rPr>
          <w:rFonts w:ascii="Times New Roman" w:hAnsi="Times New Roman"/>
          <w:sz w:val="24"/>
          <w:szCs w:val="24"/>
        </w:rPr>
        <w:t xml:space="preserve"> </w:t>
      </w:r>
      <w:r w:rsidRPr="00C67F33">
        <w:rPr>
          <w:rFonts w:ascii="Times New Roman" w:hAnsi="Times New Roman"/>
          <w:sz w:val="24"/>
          <w:szCs w:val="24"/>
        </w:rPr>
        <w:t>Счетоводните данни са уеднаквени по формат и съпоставени по години, след което са изчислени ключови показатели като възвръщаемост на собствения капитал (ROE), растеж на продажбите, съотношение дълг/собствен капитал (Debt/Equity) и паричен поток към активи (OCF/Assets).</w:t>
      </w:r>
      <w:r w:rsidR="00023566" w:rsidRPr="00C67F33">
        <w:rPr>
          <w:rFonts w:ascii="Times New Roman" w:hAnsi="Times New Roman"/>
          <w:sz w:val="24"/>
          <w:szCs w:val="24"/>
        </w:rPr>
        <w:t xml:space="preserve"> </w:t>
      </w:r>
      <w:r w:rsidRPr="00C67F33">
        <w:rPr>
          <w:rFonts w:ascii="Times New Roman" w:hAnsi="Times New Roman"/>
          <w:sz w:val="24"/>
          <w:szCs w:val="24"/>
        </w:rPr>
        <w:t>Величините са нормализирани по индустрии, за да се избегне доминиране на специфични сектори с различна капиталова структура.</w:t>
      </w:r>
      <w:r w:rsidR="008E4F6C" w:rsidRPr="00C67F33">
        <w:rPr>
          <w:rFonts w:ascii="Times New Roman" w:hAnsi="Times New Roman"/>
          <w:sz w:val="24"/>
          <w:szCs w:val="24"/>
        </w:rPr>
        <w:t xml:space="preserve"> </w:t>
      </w:r>
      <w:r w:rsidR="00552FFC" w:rsidRPr="00C67F33">
        <w:rPr>
          <w:rFonts w:ascii="Times New Roman" w:hAnsi="Times New Roman"/>
          <w:sz w:val="24"/>
          <w:szCs w:val="24"/>
        </w:rPr>
        <w:t>Финансовите отчети се считат публикувани 3 месеца след края на отчетния период</w:t>
      </w:r>
      <w:r w:rsidR="008E4F6C" w:rsidRPr="00C67F33">
        <w:rPr>
          <w:rFonts w:ascii="Times New Roman" w:hAnsi="Times New Roman"/>
          <w:sz w:val="24"/>
          <w:szCs w:val="24"/>
        </w:rPr>
        <w:t>, което елиминира „look-ahead bias“.</w:t>
      </w:r>
    </w:p>
    <w:p w14:paraId="13344372" w14:textId="0FC43FFE" w:rsidR="00175A81" w:rsidRPr="00C67F33" w:rsidRDefault="00175A81" w:rsidP="00175A81">
      <w:pPr>
        <w:spacing w:after="0"/>
        <w:ind w:firstLine="708"/>
        <w:rPr>
          <w:rFonts w:ascii="Times New Roman" w:hAnsi="Times New Roman"/>
          <w:i/>
          <w:iCs/>
          <w:sz w:val="24"/>
          <w:szCs w:val="24"/>
        </w:rPr>
      </w:pPr>
      <w:r w:rsidRPr="00C67F33">
        <w:rPr>
          <w:rFonts w:ascii="Times New Roman" w:hAnsi="Times New Roman"/>
          <w:i/>
          <w:iCs/>
          <w:sz w:val="24"/>
          <w:szCs w:val="24"/>
        </w:rPr>
        <w:t>Таблица 1 –</w:t>
      </w:r>
      <w:r w:rsidR="007C798F" w:rsidRPr="00C67F33">
        <w:rPr>
          <w:rFonts w:ascii="Times New Roman" w:hAnsi="Times New Roman"/>
          <w:i/>
          <w:iCs/>
          <w:sz w:val="24"/>
          <w:szCs w:val="24"/>
        </w:rPr>
        <w:t xml:space="preserve"> Етапи в обработката на данните и изграждането на портфейла</w:t>
      </w:r>
    </w:p>
    <w:tbl>
      <w:tblPr>
        <w:tblStyle w:val="TableGrid"/>
        <w:tblW w:w="0" w:type="auto"/>
        <w:tblLook w:val="04A0" w:firstRow="1" w:lastRow="0" w:firstColumn="1" w:lastColumn="0" w:noHBand="0" w:noVBand="1"/>
      </w:tblPr>
      <w:tblGrid>
        <w:gridCol w:w="1844"/>
        <w:gridCol w:w="4190"/>
        <w:gridCol w:w="3028"/>
      </w:tblGrid>
      <w:tr w:rsidR="00175A81" w:rsidRPr="00C67F33" w14:paraId="4ABD2306" w14:textId="77777777" w:rsidTr="00175A81">
        <w:tc>
          <w:tcPr>
            <w:tcW w:w="0" w:type="auto"/>
            <w:hideMark/>
          </w:tcPr>
          <w:p w14:paraId="6FC1D92D" w14:textId="77777777" w:rsidR="00175A81" w:rsidRPr="00C67F33" w:rsidRDefault="00175A81" w:rsidP="00D73C85">
            <w:pPr>
              <w:spacing w:line="360" w:lineRule="auto"/>
              <w:jc w:val="both"/>
              <w:rPr>
                <w:rFonts w:ascii="Times New Roman" w:hAnsi="Times New Roman"/>
                <w:b/>
                <w:bCs/>
                <w:sz w:val="24"/>
                <w:szCs w:val="24"/>
              </w:rPr>
            </w:pPr>
            <w:r w:rsidRPr="00C67F33">
              <w:rPr>
                <w:rFonts w:ascii="Times New Roman" w:hAnsi="Times New Roman"/>
                <w:b/>
                <w:bCs/>
                <w:sz w:val="24"/>
                <w:szCs w:val="24"/>
              </w:rPr>
              <w:t>Етап</w:t>
            </w:r>
          </w:p>
        </w:tc>
        <w:tc>
          <w:tcPr>
            <w:tcW w:w="0" w:type="auto"/>
            <w:hideMark/>
          </w:tcPr>
          <w:p w14:paraId="7AB59126" w14:textId="77777777" w:rsidR="00175A81" w:rsidRPr="00C67F33" w:rsidRDefault="00175A81" w:rsidP="00D73C85">
            <w:pPr>
              <w:spacing w:line="360" w:lineRule="auto"/>
              <w:jc w:val="both"/>
              <w:rPr>
                <w:rFonts w:ascii="Times New Roman" w:hAnsi="Times New Roman"/>
                <w:b/>
                <w:bCs/>
                <w:sz w:val="24"/>
                <w:szCs w:val="24"/>
              </w:rPr>
            </w:pPr>
            <w:r w:rsidRPr="00C67F33">
              <w:rPr>
                <w:rFonts w:ascii="Times New Roman" w:hAnsi="Times New Roman"/>
                <w:b/>
                <w:bCs/>
                <w:sz w:val="24"/>
                <w:szCs w:val="24"/>
              </w:rPr>
              <w:t>Описание</w:t>
            </w:r>
          </w:p>
        </w:tc>
        <w:tc>
          <w:tcPr>
            <w:tcW w:w="0" w:type="auto"/>
            <w:hideMark/>
          </w:tcPr>
          <w:p w14:paraId="228E5E1C" w14:textId="77777777" w:rsidR="00175A81" w:rsidRPr="00C67F33" w:rsidRDefault="00175A81" w:rsidP="00D73C85">
            <w:pPr>
              <w:spacing w:line="360" w:lineRule="auto"/>
              <w:jc w:val="both"/>
              <w:rPr>
                <w:rFonts w:ascii="Times New Roman" w:hAnsi="Times New Roman"/>
                <w:b/>
                <w:bCs/>
                <w:sz w:val="24"/>
                <w:szCs w:val="24"/>
              </w:rPr>
            </w:pPr>
            <w:r w:rsidRPr="00C67F33">
              <w:rPr>
                <w:rFonts w:ascii="Times New Roman" w:hAnsi="Times New Roman"/>
                <w:b/>
                <w:bCs/>
                <w:sz w:val="24"/>
                <w:szCs w:val="24"/>
              </w:rPr>
              <w:t>Основни изходни файлове</w:t>
            </w:r>
          </w:p>
        </w:tc>
      </w:tr>
      <w:tr w:rsidR="00175A81" w:rsidRPr="00C67F33" w14:paraId="2021165A" w14:textId="77777777" w:rsidTr="00175A81">
        <w:tc>
          <w:tcPr>
            <w:tcW w:w="0" w:type="auto"/>
            <w:hideMark/>
          </w:tcPr>
          <w:p w14:paraId="54F588A0"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lastRenderedPageBreak/>
              <w:t>1. Импорт на тикери</w:t>
            </w:r>
          </w:p>
        </w:tc>
        <w:tc>
          <w:tcPr>
            <w:tcW w:w="0" w:type="auto"/>
            <w:hideMark/>
          </w:tcPr>
          <w:p w14:paraId="6A874E18" w14:textId="6DAC070B"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Зареждане на пълния списък с компании от индекса STOXX Europe 600</w:t>
            </w:r>
            <w:r w:rsidR="00954317" w:rsidRPr="00C67F33">
              <w:rPr>
                <w:rFonts w:ascii="Times New Roman" w:hAnsi="Times New Roman"/>
                <w:sz w:val="24"/>
                <w:szCs w:val="24"/>
              </w:rPr>
              <w:t>.</w:t>
            </w:r>
          </w:p>
        </w:tc>
        <w:tc>
          <w:tcPr>
            <w:tcW w:w="0" w:type="auto"/>
            <w:hideMark/>
          </w:tcPr>
          <w:p w14:paraId="63CBE51B"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w:t>
            </w:r>
          </w:p>
        </w:tc>
      </w:tr>
      <w:tr w:rsidR="00175A81" w:rsidRPr="00C67F33" w14:paraId="48B138BF" w14:textId="77777777" w:rsidTr="00175A81">
        <w:tc>
          <w:tcPr>
            <w:tcW w:w="0" w:type="auto"/>
            <w:hideMark/>
          </w:tcPr>
          <w:p w14:paraId="3063307F"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t>2. Изтегляне на пазарни данни</w:t>
            </w:r>
          </w:p>
        </w:tc>
        <w:tc>
          <w:tcPr>
            <w:tcW w:w="0" w:type="auto"/>
            <w:hideMark/>
          </w:tcPr>
          <w:p w14:paraId="68483BA5"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 xml:space="preserve">Автоматично изтегляне на месечни котировки (Adjusted Close) за периода 2018–2024 г. чрез </w:t>
            </w:r>
            <w:r w:rsidRPr="00C67F33">
              <w:rPr>
                <w:rFonts w:ascii="Times New Roman" w:hAnsi="Times New Roman"/>
                <w:sz w:val="24"/>
                <w:szCs w:val="24"/>
                <w:highlight w:val="lightGray"/>
              </w:rPr>
              <w:t>yfinance.download()</w:t>
            </w:r>
            <w:r w:rsidRPr="00C67F33">
              <w:rPr>
                <w:rFonts w:ascii="Times New Roman" w:hAnsi="Times New Roman"/>
                <w:sz w:val="24"/>
                <w:szCs w:val="24"/>
              </w:rPr>
              <w:t>.</w:t>
            </w:r>
          </w:p>
        </w:tc>
        <w:tc>
          <w:tcPr>
            <w:tcW w:w="0" w:type="auto"/>
            <w:hideMark/>
          </w:tcPr>
          <w:p w14:paraId="36251C08" w14:textId="77777777" w:rsidR="00175A81" w:rsidRPr="00C67F33" w:rsidRDefault="00175A81" w:rsidP="00D73C85">
            <w:pPr>
              <w:spacing w:line="360" w:lineRule="auto"/>
              <w:jc w:val="both"/>
              <w:rPr>
                <w:rFonts w:ascii="Times New Roman" w:hAnsi="Times New Roman"/>
                <w:sz w:val="24"/>
                <w:szCs w:val="24"/>
                <w:highlight w:val="lightGray"/>
              </w:rPr>
            </w:pPr>
            <w:r w:rsidRPr="00C67F33">
              <w:rPr>
                <w:rFonts w:ascii="Times New Roman" w:hAnsi="Times New Roman"/>
                <w:sz w:val="24"/>
                <w:szCs w:val="24"/>
                <w:highlight w:val="lightGray"/>
              </w:rPr>
              <w:t>prices_monthly.csv</w:t>
            </w:r>
          </w:p>
        </w:tc>
      </w:tr>
      <w:tr w:rsidR="00175A81" w:rsidRPr="00C67F33" w14:paraId="26387BA2" w14:textId="77777777" w:rsidTr="00175A81">
        <w:tc>
          <w:tcPr>
            <w:tcW w:w="0" w:type="auto"/>
            <w:hideMark/>
          </w:tcPr>
          <w:p w14:paraId="51DAC90F"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t>3. Извличане на счетоводни данни</w:t>
            </w:r>
          </w:p>
        </w:tc>
        <w:tc>
          <w:tcPr>
            <w:tcW w:w="0" w:type="auto"/>
            <w:hideMark/>
          </w:tcPr>
          <w:p w14:paraId="51601DD7"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 xml:space="preserve">Извличане на годишни финансови отчети (доходи, баланс, парични потоци) чрез </w:t>
            </w:r>
            <w:r w:rsidRPr="00C67F33">
              <w:rPr>
                <w:rFonts w:ascii="Times New Roman" w:hAnsi="Times New Roman"/>
                <w:sz w:val="24"/>
                <w:szCs w:val="24"/>
                <w:highlight w:val="lightGray"/>
              </w:rPr>
              <w:t>yf.Ticker().get_financials()</w:t>
            </w:r>
            <w:r w:rsidRPr="00C67F33">
              <w:rPr>
                <w:rFonts w:ascii="Times New Roman" w:hAnsi="Times New Roman"/>
                <w:sz w:val="24"/>
                <w:szCs w:val="24"/>
              </w:rPr>
              <w:t xml:space="preserve"> и производни функции.</w:t>
            </w:r>
          </w:p>
        </w:tc>
        <w:tc>
          <w:tcPr>
            <w:tcW w:w="0" w:type="auto"/>
            <w:hideMark/>
          </w:tcPr>
          <w:p w14:paraId="6F658F54" w14:textId="77777777" w:rsidR="00175A81" w:rsidRPr="00C67F33" w:rsidRDefault="00175A81" w:rsidP="00D73C85">
            <w:pPr>
              <w:spacing w:line="360" w:lineRule="auto"/>
              <w:jc w:val="both"/>
              <w:rPr>
                <w:rFonts w:ascii="Times New Roman" w:hAnsi="Times New Roman"/>
                <w:sz w:val="24"/>
                <w:szCs w:val="24"/>
                <w:highlight w:val="lightGray"/>
              </w:rPr>
            </w:pPr>
            <w:r w:rsidRPr="00C67F33">
              <w:rPr>
                <w:rFonts w:ascii="Times New Roman" w:hAnsi="Times New Roman"/>
                <w:sz w:val="24"/>
                <w:szCs w:val="24"/>
                <w:highlight w:val="lightGray"/>
              </w:rPr>
              <w:t>fundamentals_panel.csv</w:t>
            </w:r>
          </w:p>
        </w:tc>
      </w:tr>
      <w:tr w:rsidR="00175A81" w:rsidRPr="00C67F33" w14:paraId="0C13ECD4" w14:textId="77777777" w:rsidTr="00175A81">
        <w:tc>
          <w:tcPr>
            <w:tcW w:w="0" w:type="auto"/>
            <w:hideMark/>
          </w:tcPr>
          <w:p w14:paraId="5FEBC1E7"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t>4. Обработка на показатели</w:t>
            </w:r>
          </w:p>
        </w:tc>
        <w:tc>
          <w:tcPr>
            <w:tcW w:w="0" w:type="auto"/>
            <w:hideMark/>
          </w:tcPr>
          <w:p w14:paraId="727AA2C4"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Изчисляване на ключови съотношения: EV/EBITDA, Book-to-Market, ROE, Debt/Equity, OCF/Assets, Sales Growth.</w:t>
            </w:r>
          </w:p>
        </w:tc>
        <w:tc>
          <w:tcPr>
            <w:tcW w:w="0" w:type="auto"/>
            <w:hideMark/>
          </w:tcPr>
          <w:p w14:paraId="65C32FF6" w14:textId="77777777" w:rsidR="00175A81" w:rsidRPr="00C67F33" w:rsidRDefault="00175A81" w:rsidP="00D73C85">
            <w:pPr>
              <w:spacing w:line="360" w:lineRule="auto"/>
              <w:jc w:val="both"/>
              <w:rPr>
                <w:rFonts w:ascii="Times New Roman" w:hAnsi="Times New Roman"/>
                <w:sz w:val="24"/>
                <w:szCs w:val="24"/>
                <w:highlight w:val="lightGray"/>
              </w:rPr>
            </w:pPr>
            <w:r w:rsidRPr="00C67F33">
              <w:rPr>
                <w:rFonts w:ascii="Times New Roman" w:hAnsi="Times New Roman"/>
                <w:sz w:val="24"/>
                <w:szCs w:val="24"/>
                <w:highlight w:val="lightGray"/>
              </w:rPr>
              <w:t>fundamentals_ratios.csv</w:t>
            </w:r>
          </w:p>
        </w:tc>
      </w:tr>
      <w:tr w:rsidR="00175A81" w:rsidRPr="00C67F33" w14:paraId="423F4350" w14:textId="77777777" w:rsidTr="00175A81">
        <w:tc>
          <w:tcPr>
            <w:tcW w:w="0" w:type="auto"/>
            <w:hideMark/>
          </w:tcPr>
          <w:p w14:paraId="7371292D"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t>5. Прилагане на филтри</w:t>
            </w:r>
          </w:p>
        </w:tc>
        <w:tc>
          <w:tcPr>
            <w:tcW w:w="0" w:type="auto"/>
            <w:hideMark/>
          </w:tcPr>
          <w:p w14:paraId="57458AF9"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Изключване на компании с пазарна капитализация под €1 млрд. и свободен флоут под 25%.</w:t>
            </w:r>
          </w:p>
        </w:tc>
        <w:tc>
          <w:tcPr>
            <w:tcW w:w="0" w:type="auto"/>
            <w:hideMark/>
          </w:tcPr>
          <w:p w14:paraId="21F15464" w14:textId="77777777" w:rsidR="00175A81" w:rsidRPr="00C67F33" w:rsidRDefault="00175A81" w:rsidP="00D73C85">
            <w:pPr>
              <w:spacing w:line="360" w:lineRule="auto"/>
              <w:jc w:val="both"/>
              <w:rPr>
                <w:rFonts w:ascii="Times New Roman" w:hAnsi="Times New Roman"/>
                <w:sz w:val="24"/>
                <w:szCs w:val="24"/>
                <w:highlight w:val="lightGray"/>
              </w:rPr>
            </w:pPr>
            <w:r w:rsidRPr="00C67F33">
              <w:rPr>
                <w:rFonts w:ascii="Times New Roman" w:hAnsi="Times New Roman"/>
                <w:sz w:val="24"/>
                <w:szCs w:val="24"/>
                <w:highlight w:val="lightGray"/>
              </w:rPr>
              <w:t>meta_filtered.csv</w:t>
            </w:r>
          </w:p>
        </w:tc>
      </w:tr>
      <w:tr w:rsidR="00175A81" w:rsidRPr="00C67F33" w14:paraId="3093A143" w14:textId="77777777" w:rsidTr="00175A81">
        <w:tc>
          <w:tcPr>
            <w:tcW w:w="0" w:type="auto"/>
            <w:hideMark/>
          </w:tcPr>
          <w:p w14:paraId="10063CBE"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t>6. Избор на финална извадка</w:t>
            </w:r>
          </w:p>
        </w:tc>
        <w:tc>
          <w:tcPr>
            <w:tcW w:w="0" w:type="auto"/>
            <w:hideMark/>
          </w:tcPr>
          <w:p w14:paraId="5A54EEFB"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Задържане само на компании с пълни данни за ≥5 години и ≥24 месечни наблюдения.</w:t>
            </w:r>
          </w:p>
        </w:tc>
        <w:tc>
          <w:tcPr>
            <w:tcW w:w="0" w:type="auto"/>
            <w:hideMark/>
          </w:tcPr>
          <w:p w14:paraId="0761089A" w14:textId="77777777" w:rsidR="00175A81" w:rsidRPr="00C67F33" w:rsidRDefault="00175A81" w:rsidP="00D73C85">
            <w:pPr>
              <w:spacing w:line="360" w:lineRule="auto"/>
              <w:jc w:val="both"/>
              <w:rPr>
                <w:rFonts w:ascii="Times New Roman" w:hAnsi="Times New Roman"/>
                <w:sz w:val="24"/>
                <w:szCs w:val="24"/>
                <w:highlight w:val="lightGray"/>
              </w:rPr>
            </w:pPr>
            <w:r w:rsidRPr="00C67F33">
              <w:rPr>
                <w:rFonts w:ascii="Times New Roman" w:hAnsi="Times New Roman"/>
                <w:sz w:val="24"/>
                <w:szCs w:val="24"/>
                <w:highlight w:val="lightGray"/>
              </w:rPr>
              <w:t>universe_final.csv</w:t>
            </w:r>
          </w:p>
        </w:tc>
      </w:tr>
      <w:tr w:rsidR="00175A81" w:rsidRPr="00C67F33" w14:paraId="133BF922" w14:textId="77777777" w:rsidTr="00175A81">
        <w:tc>
          <w:tcPr>
            <w:tcW w:w="0" w:type="auto"/>
            <w:hideMark/>
          </w:tcPr>
          <w:p w14:paraId="2A9E4C5A"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b/>
                <w:bCs/>
                <w:sz w:val="24"/>
                <w:szCs w:val="24"/>
              </w:rPr>
              <w:t>7. Генериране на сигнали и портфейл</w:t>
            </w:r>
          </w:p>
        </w:tc>
        <w:tc>
          <w:tcPr>
            <w:tcW w:w="0" w:type="auto"/>
            <w:hideMark/>
          </w:tcPr>
          <w:p w14:paraId="15E3D757" w14:textId="77777777" w:rsidR="00175A81" w:rsidRPr="00C67F33" w:rsidRDefault="00175A81" w:rsidP="00D73C85">
            <w:pPr>
              <w:spacing w:line="360" w:lineRule="auto"/>
              <w:jc w:val="both"/>
              <w:rPr>
                <w:rFonts w:ascii="Times New Roman" w:hAnsi="Times New Roman"/>
                <w:sz w:val="24"/>
                <w:szCs w:val="24"/>
              </w:rPr>
            </w:pPr>
            <w:r w:rsidRPr="00C67F33">
              <w:rPr>
                <w:rFonts w:ascii="Times New Roman" w:hAnsi="Times New Roman"/>
                <w:sz w:val="24"/>
                <w:szCs w:val="24"/>
              </w:rPr>
              <w:t>Изчисляване на нормализирани факторни скорове, изграждане на long/short кошници и моделиране на очакваната доходност.</w:t>
            </w:r>
          </w:p>
        </w:tc>
        <w:tc>
          <w:tcPr>
            <w:tcW w:w="0" w:type="auto"/>
            <w:hideMark/>
          </w:tcPr>
          <w:p w14:paraId="60C8D263" w14:textId="77777777" w:rsidR="00175A81" w:rsidRPr="00C67F33" w:rsidRDefault="00175A81" w:rsidP="00D73C85">
            <w:pPr>
              <w:spacing w:line="360" w:lineRule="auto"/>
              <w:jc w:val="both"/>
              <w:rPr>
                <w:rFonts w:ascii="Times New Roman" w:hAnsi="Times New Roman"/>
                <w:sz w:val="24"/>
                <w:szCs w:val="24"/>
                <w:highlight w:val="lightGray"/>
              </w:rPr>
            </w:pPr>
            <w:r w:rsidRPr="00C67F33">
              <w:rPr>
                <w:rFonts w:ascii="Times New Roman" w:hAnsi="Times New Roman"/>
                <w:sz w:val="24"/>
                <w:szCs w:val="24"/>
                <w:highlight w:val="lightGray"/>
              </w:rPr>
              <w:t>signals_scored.csv, weights_longshort.csv, portfolio_returns.csv</w:t>
            </w:r>
          </w:p>
        </w:tc>
      </w:tr>
    </w:tbl>
    <w:p w14:paraId="51BE3433" w14:textId="6CB74BFA" w:rsidR="00D04B9A" w:rsidRPr="00C67F33" w:rsidRDefault="000D6553" w:rsidP="000D6553">
      <w:pPr>
        <w:spacing w:line="360" w:lineRule="auto"/>
        <w:ind w:firstLine="708"/>
        <w:jc w:val="both"/>
        <w:rPr>
          <w:rFonts w:ascii="Times New Roman" w:hAnsi="Times New Roman"/>
          <w:sz w:val="24"/>
          <w:szCs w:val="24"/>
        </w:rPr>
      </w:pPr>
      <w:r w:rsidRPr="00C67F33">
        <w:rPr>
          <w:rFonts w:ascii="Times New Roman" w:hAnsi="Times New Roman"/>
          <w:i/>
          <w:iCs/>
          <w:sz w:val="24"/>
          <w:szCs w:val="24"/>
        </w:rPr>
        <w:t>Таблицата представя основните технически стъпки, реализирани чрез Python скрипт в среда Jupyter, използваща библиотеката yfinance.</w:t>
      </w:r>
    </w:p>
    <w:p w14:paraId="4ADB7FEC" w14:textId="5FB7AA3C" w:rsidR="00B72480" w:rsidRPr="00C67F33" w:rsidRDefault="00B72480" w:rsidP="00B72480">
      <w:pPr>
        <w:spacing w:after="0"/>
        <w:ind w:firstLine="708"/>
        <w:rPr>
          <w:rFonts w:ascii="Times New Roman" w:hAnsi="Times New Roman"/>
          <w:i/>
          <w:iCs/>
          <w:sz w:val="24"/>
          <w:szCs w:val="24"/>
        </w:rPr>
      </w:pPr>
      <w:r w:rsidRPr="00C67F33">
        <w:rPr>
          <w:rFonts w:ascii="Times New Roman" w:hAnsi="Times New Roman"/>
          <w:i/>
          <w:iCs/>
          <w:sz w:val="24"/>
          <w:szCs w:val="24"/>
        </w:rPr>
        <w:t>Таблица 1.1 – 15 избрани фирми</w:t>
      </w:r>
    </w:p>
    <w:tbl>
      <w:tblPr>
        <w:tblStyle w:val="TableGrid"/>
        <w:tblW w:w="0" w:type="auto"/>
        <w:tblLook w:val="04A0" w:firstRow="1" w:lastRow="0" w:firstColumn="1" w:lastColumn="0" w:noHBand="0" w:noVBand="1"/>
      </w:tblPr>
      <w:tblGrid>
        <w:gridCol w:w="1272"/>
        <w:gridCol w:w="1523"/>
        <w:gridCol w:w="1869"/>
        <w:gridCol w:w="2182"/>
        <w:gridCol w:w="2216"/>
      </w:tblGrid>
      <w:tr w:rsidR="00433FF7" w:rsidRPr="00C67F33" w14:paraId="0891A842" w14:textId="77777777" w:rsidTr="00433FF7">
        <w:tc>
          <w:tcPr>
            <w:tcW w:w="0" w:type="auto"/>
            <w:hideMark/>
          </w:tcPr>
          <w:p w14:paraId="75BEC901" w14:textId="77777777" w:rsidR="00433FF7" w:rsidRPr="00C67F33" w:rsidRDefault="00433FF7" w:rsidP="00433FF7">
            <w:pPr>
              <w:spacing w:line="360" w:lineRule="auto"/>
              <w:jc w:val="both"/>
              <w:rPr>
                <w:rFonts w:ascii="Times New Roman" w:hAnsi="Times New Roman"/>
                <w:b/>
                <w:bCs/>
                <w:sz w:val="24"/>
                <w:szCs w:val="24"/>
              </w:rPr>
            </w:pPr>
            <w:r w:rsidRPr="00C67F33">
              <w:rPr>
                <w:rFonts w:ascii="Times New Roman" w:hAnsi="Times New Roman"/>
                <w:b/>
                <w:bCs/>
                <w:sz w:val="24"/>
                <w:szCs w:val="24"/>
              </w:rPr>
              <w:t>Тикер</w:t>
            </w:r>
          </w:p>
        </w:tc>
        <w:tc>
          <w:tcPr>
            <w:tcW w:w="0" w:type="auto"/>
            <w:hideMark/>
          </w:tcPr>
          <w:p w14:paraId="3332330F" w14:textId="77777777" w:rsidR="00433FF7" w:rsidRPr="00C67F33" w:rsidRDefault="00433FF7" w:rsidP="00433FF7">
            <w:pPr>
              <w:spacing w:line="360" w:lineRule="auto"/>
              <w:jc w:val="both"/>
              <w:rPr>
                <w:rFonts w:ascii="Times New Roman" w:hAnsi="Times New Roman"/>
                <w:b/>
                <w:bCs/>
                <w:sz w:val="24"/>
                <w:szCs w:val="24"/>
              </w:rPr>
            </w:pPr>
            <w:r w:rsidRPr="00C67F33">
              <w:rPr>
                <w:rFonts w:ascii="Times New Roman" w:hAnsi="Times New Roman"/>
                <w:b/>
                <w:bCs/>
                <w:sz w:val="24"/>
                <w:szCs w:val="24"/>
              </w:rPr>
              <w:t>Компания</w:t>
            </w:r>
          </w:p>
        </w:tc>
        <w:tc>
          <w:tcPr>
            <w:tcW w:w="0" w:type="auto"/>
            <w:hideMark/>
          </w:tcPr>
          <w:p w14:paraId="27DD9E7E" w14:textId="77777777" w:rsidR="00433FF7" w:rsidRPr="00C67F33" w:rsidRDefault="00433FF7" w:rsidP="00433FF7">
            <w:pPr>
              <w:spacing w:line="360" w:lineRule="auto"/>
              <w:jc w:val="both"/>
              <w:rPr>
                <w:rFonts w:ascii="Times New Roman" w:hAnsi="Times New Roman"/>
                <w:b/>
                <w:bCs/>
                <w:sz w:val="24"/>
                <w:szCs w:val="24"/>
              </w:rPr>
            </w:pPr>
            <w:r w:rsidRPr="00C67F33">
              <w:rPr>
                <w:rFonts w:ascii="Times New Roman" w:hAnsi="Times New Roman"/>
                <w:b/>
                <w:bCs/>
                <w:sz w:val="24"/>
                <w:szCs w:val="24"/>
              </w:rPr>
              <w:t>Сектор</w:t>
            </w:r>
          </w:p>
        </w:tc>
        <w:tc>
          <w:tcPr>
            <w:tcW w:w="0" w:type="auto"/>
            <w:hideMark/>
          </w:tcPr>
          <w:p w14:paraId="7C160BA8" w14:textId="12CFA978" w:rsidR="00433FF7" w:rsidRPr="00C67F33" w:rsidRDefault="00433FF7" w:rsidP="00433FF7">
            <w:pPr>
              <w:spacing w:line="360" w:lineRule="auto"/>
              <w:jc w:val="both"/>
              <w:rPr>
                <w:rFonts w:ascii="Times New Roman" w:hAnsi="Times New Roman"/>
                <w:b/>
                <w:bCs/>
                <w:sz w:val="24"/>
                <w:szCs w:val="24"/>
              </w:rPr>
            </w:pPr>
            <w:r w:rsidRPr="00C67F33">
              <w:rPr>
                <w:rFonts w:ascii="Times New Roman" w:hAnsi="Times New Roman"/>
                <w:b/>
                <w:bCs/>
                <w:sz w:val="24"/>
                <w:szCs w:val="24"/>
              </w:rPr>
              <w:t>Отрасъл</w:t>
            </w:r>
          </w:p>
        </w:tc>
        <w:tc>
          <w:tcPr>
            <w:tcW w:w="0" w:type="auto"/>
            <w:hideMark/>
          </w:tcPr>
          <w:p w14:paraId="74CA1B99" w14:textId="77777777" w:rsidR="00433FF7" w:rsidRPr="00C67F33" w:rsidRDefault="00433FF7" w:rsidP="00433FF7">
            <w:pPr>
              <w:spacing w:line="360" w:lineRule="auto"/>
              <w:jc w:val="both"/>
              <w:rPr>
                <w:rFonts w:ascii="Times New Roman" w:hAnsi="Times New Roman"/>
                <w:b/>
                <w:bCs/>
                <w:sz w:val="24"/>
                <w:szCs w:val="24"/>
              </w:rPr>
            </w:pPr>
            <w:r w:rsidRPr="00C67F33">
              <w:rPr>
                <w:rFonts w:ascii="Times New Roman" w:hAnsi="Times New Roman"/>
                <w:b/>
                <w:bCs/>
                <w:sz w:val="24"/>
                <w:szCs w:val="24"/>
              </w:rPr>
              <w:t>Пазарна капитализация (€)</w:t>
            </w:r>
          </w:p>
        </w:tc>
      </w:tr>
      <w:tr w:rsidR="00433FF7" w:rsidRPr="00C67F33" w14:paraId="380F6076" w14:textId="77777777" w:rsidTr="00433FF7">
        <w:tc>
          <w:tcPr>
            <w:tcW w:w="0" w:type="auto"/>
            <w:hideMark/>
          </w:tcPr>
          <w:p w14:paraId="56F0A033"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lastRenderedPageBreak/>
              <w:t>NOVO-B.CO</w:t>
            </w:r>
          </w:p>
        </w:tc>
        <w:tc>
          <w:tcPr>
            <w:tcW w:w="0" w:type="auto"/>
            <w:hideMark/>
          </w:tcPr>
          <w:p w14:paraId="683EB584"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Novo Nordisk A/S</w:t>
            </w:r>
          </w:p>
        </w:tc>
        <w:tc>
          <w:tcPr>
            <w:tcW w:w="0" w:type="auto"/>
            <w:hideMark/>
          </w:tcPr>
          <w:p w14:paraId="48C685DC"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030A1AE6"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Производители на лекарства – общо</w:t>
            </w:r>
          </w:p>
        </w:tc>
        <w:tc>
          <w:tcPr>
            <w:tcW w:w="0" w:type="auto"/>
            <w:hideMark/>
          </w:tcPr>
          <w:p w14:paraId="35B6921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€1,669,396,692,992</w:t>
            </w:r>
          </w:p>
        </w:tc>
      </w:tr>
      <w:tr w:rsidR="00433FF7" w:rsidRPr="00C67F33" w14:paraId="6C122490" w14:textId="77777777" w:rsidTr="00433FF7">
        <w:tc>
          <w:tcPr>
            <w:tcW w:w="0" w:type="auto"/>
            <w:hideMark/>
          </w:tcPr>
          <w:p w14:paraId="40F4731F"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INVE-B.ST</w:t>
            </w:r>
          </w:p>
        </w:tc>
        <w:tc>
          <w:tcPr>
            <w:tcW w:w="0" w:type="auto"/>
            <w:hideMark/>
          </w:tcPr>
          <w:p w14:paraId="7CF1477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Investor AB (publ)</w:t>
            </w:r>
          </w:p>
        </w:tc>
        <w:tc>
          <w:tcPr>
            <w:tcW w:w="0" w:type="auto"/>
            <w:hideMark/>
          </w:tcPr>
          <w:p w14:paraId="4F4EE2C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205F3B5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Управление на активи</w:t>
            </w:r>
          </w:p>
        </w:tc>
        <w:tc>
          <w:tcPr>
            <w:tcW w:w="0" w:type="auto"/>
            <w:hideMark/>
          </w:tcPr>
          <w:p w14:paraId="00738DC3"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€931,994,796,032</w:t>
            </w:r>
          </w:p>
        </w:tc>
      </w:tr>
      <w:tr w:rsidR="00433FF7" w:rsidRPr="00C67F33" w14:paraId="14F18A70" w14:textId="77777777" w:rsidTr="00433FF7">
        <w:tc>
          <w:tcPr>
            <w:tcW w:w="0" w:type="auto"/>
            <w:hideMark/>
          </w:tcPr>
          <w:p w14:paraId="0F11A765"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ATCO-A.ST</w:t>
            </w:r>
          </w:p>
        </w:tc>
        <w:tc>
          <w:tcPr>
            <w:tcW w:w="0" w:type="auto"/>
            <w:hideMark/>
          </w:tcPr>
          <w:p w14:paraId="334F8F1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Atlas Copco AB (publ)</w:t>
            </w:r>
          </w:p>
        </w:tc>
        <w:tc>
          <w:tcPr>
            <w:tcW w:w="0" w:type="auto"/>
            <w:hideMark/>
          </w:tcPr>
          <w:p w14:paraId="0E31C83E"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26DBA64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53879F27"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€797,324,804,096</w:t>
            </w:r>
          </w:p>
        </w:tc>
      </w:tr>
      <w:tr w:rsidR="00433FF7" w:rsidRPr="00C67F33" w14:paraId="49B1C19E" w14:textId="77777777" w:rsidTr="00433FF7">
        <w:tc>
          <w:tcPr>
            <w:tcW w:w="0" w:type="auto"/>
            <w:hideMark/>
          </w:tcPr>
          <w:p w14:paraId="1158BA6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EQNR.OL</w:t>
            </w:r>
          </w:p>
        </w:tc>
        <w:tc>
          <w:tcPr>
            <w:tcW w:w="0" w:type="auto"/>
            <w:hideMark/>
          </w:tcPr>
          <w:p w14:paraId="13F4322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Equinor ASA</w:t>
            </w:r>
          </w:p>
        </w:tc>
        <w:tc>
          <w:tcPr>
            <w:tcW w:w="0" w:type="auto"/>
            <w:hideMark/>
          </w:tcPr>
          <w:p w14:paraId="1A35AEA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18793EDE"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Интегрирани петролни и газови компании</w:t>
            </w:r>
          </w:p>
        </w:tc>
        <w:tc>
          <w:tcPr>
            <w:tcW w:w="0" w:type="auto"/>
            <w:hideMark/>
          </w:tcPr>
          <w:p w14:paraId="7E6D7F1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€628,106,723,328</w:t>
            </w:r>
          </w:p>
        </w:tc>
      </w:tr>
      <w:tr w:rsidR="00433FF7" w:rsidRPr="00C67F33" w14:paraId="3952BAB3" w14:textId="77777777" w:rsidTr="00433FF7">
        <w:tc>
          <w:tcPr>
            <w:tcW w:w="0" w:type="auto"/>
            <w:hideMark/>
          </w:tcPr>
          <w:p w14:paraId="435D94A7"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VOLV-B.ST</w:t>
            </w:r>
          </w:p>
        </w:tc>
        <w:tc>
          <w:tcPr>
            <w:tcW w:w="0" w:type="auto"/>
            <w:hideMark/>
          </w:tcPr>
          <w:p w14:paraId="781CA4B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AB Volvo (publ)</w:t>
            </w:r>
          </w:p>
        </w:tc>
        <w:tc>
          <w:tcPr>
            <w:tcW w:w="0" w:type="auto"/>
            <w:hideMark/>
          </w:tcPr>
          <w:p w14:paraId="7DE8808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5B96EEB1"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Земеделска и тежка строителна техника</w:t>
            </w:r>
          </w:p>
        </w:tc>
        <w:tc>
          <w:tcPr>
            <w:tcW w:w="0" w:type="auto"/>
            <w:hideMark/>
          </w:tcPr>
          <w:p w14:paraId="484FD2B1"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€548,175,249,408</w:t>
            </w:r>
          </w:p>
        </w:tc>
      </w:tr>
      <w:tr w:rsidR="00433FF7" w:rsidRPr="00C67F33" w14:paraId="44C0C7E5" w14:textId="77777777" w:rsidTr="00433FF7">
        <w:tc>
          <w:tcPr>
            <w:tcW w:w="0" w:type="auto"/>
            <w:hideMark/>
          </w:tcPr>
          <w:p w14:paraId="35D13C2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EQT.ST</w:t>
            </w:r>
          </w:p>
        </w:tc>
        <w:tc>
          <w:tcPr>
            <w:tcW w:w="0" w:type="auto"/>
            <w:hideMark/>
          </w:tcPr>
          <w:p w14:paraId="36FE20F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EQT AB (publ)</w:t>
            </w:r>
          </w:p>
        </w:tc>
        <w:tc>
          <w:tcPr>
            <w:tcW w:w="0" w:type="auto"/>
            <w:hideMark/>
          </w:tcPr>
          <w:p w14:paraId="4E43EB1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1E9F9EA4"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Управление на активи</w:t>
            </w:r>
          </w:p>
        </w:tc>
        <w:tc>
          <w:tcPr>
            <w:tcW w:w="0" w:type="auto"/>
            <w:hideMark/>
          </w:tcPr>
          <w:p w14:paraId="6C95AAA7"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€399,129,182,208</w:t>
            </w:r>
          </w:p>
        </w:tc>
      </w:tr>
      <w:tr w:rsidR="00433FF7" w:rsidRPr="00C67F33" w14:paraId="6675A849" w14:textId="77777777" w:rsidTr="00433FF7">
        <w:tc>
          <w:tcPr>
            <w:tcW w:w="0" w:type="auto"/>
            <w:hideMark/>
          </w:tcPr>
          <w:p w14:paraId="32C18684"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DNB.OL</w:t>
            </w:r>
          </w:p>
        </w:tc>
        <w:tc>
          <w:tcPr>
            <w:tcW w:w="0" w:type="auto"/>
            <w:hideMark/>
          </w:tcPr>
          <w:p w14:paraId="45524620"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DNB Bank ASA</w:t>
            </w:r>
          </w:p>
        </w:tc>
        <w:tc>
          <w:tcPr>
            <w:tcW w:w="0" w:type="auto"/>
            <w:hideMark/>
          </w:tcPr>
          <w:p w14:paraId="0059211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7657B65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1DFBF869"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€388,980,998,144</w:t>
            </w:r>
          </w:p>
        </w:tc>
      </w:tr>
      <w:tr w:rsidR="00433FF7" w:rsidRPr="00C67F33" w14:paraId="7470D11B" w14:textId="77777777" w:rsidTr="00433FF7">
        <w:tc>
          <w:tcPr>
            <w:tcW w:w="0" w:type="auto"/>
            <w:hideMark/>
          </w:tcPr>
          <w:p w14:paraId="4AC5F80C"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ASSA-B.ST</w:t>
            </w:r>
          </w:p>
        </w:tc>
        <w:tc>
          <w:tcPr>
            <w:tcW w:w="0" w:type="auto"/>
            <w:hideMark/>
          </w:tcPr>
          <w:p w14:paraId="27C9C40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ASSA ABLOY AB (publ)</w:t>
            </w:r>
          </w:p>
        </w:tc>
        <w:tc>
          <w:tcPr>
            <w:tcW w:w="0" w:type="auto"/>
            <w:hideMark/>
          </w:tcPr>
          <w:p w14:paraId="0272B21E"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527CD64"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Услуги за сигурност и защита</w:t>
            </w:r>
          </w:p>
        </w:tc>
        <w:tc>
          <w:tcPr>
            <w:tcW w:w="0" w:type="auto"/>
            <w:hideMark/>
          </w:tcPr>
          <w:p w14:paraId="62FF3A6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€367,444,787,200</w:t>
            </w:r>
          </w:p>
        </w:tc>
      </w:tr>
      <w:tr w:rsidR="00433FF7" w:rsidRPr="00C67F33" w14:paraId="58D70ADB" w14:textId="77777777" w:rsidTr="00433FF7">
        <w:tc>
          <w:tcPr>
            <w:tcW w:w="0" w:type="auto"/>
            <w:hideMark/>
          </w:tcPr>
          <w:p w14:paraId="2712FD35"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ASML.AS</w:t>
            </w:r>
          </w:p>
        </w:tc>
        <w:tc>
          <w:tcPr>
            <w:tcW w:w="0" w:type="auto"/>
            <w:hideMark/>
          </w:tcPr>
          <w:p w14:paraId="1E88B299"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ASML Holding N.V.</w:t>
            </w:r>
          </w:p>
        </w:tc>
        <w:tc>
          <w:tcPr>
            <w:tcW w:w="0" w:type="auto"/>
            <w:hideMark/>
          </w:tcPr>
          <w:p w14:paraId="7D3850F9"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Технологии</w:t>
            </w:r>
          </w:p>
        </w:tc>
        <w:tc>
          <w:tcPr>
            <w:tcW w:w="0" w:type="auto"/>
            <w:hideMark/>
          </w:tcPr>
          <w:p w14:paraId="748765E7"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Оборудване и материали за полупроводници</w:t>
            </w:r>
          </w:p>
        </w:tc>
        <w:tc>
          <w:tcPr>
            <w:tcW w:w="0" w:type="auto"/>
            <w:hideMark/>
          </w:tcPr>
          <w:p w14:paraId="095D3C1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€339,551,584,256</w:t>
            </w:r>
          </w:p>
        </w:tc>
      </w:tr>
      <w:tr w:rsidR="00433FF7" w:rsidRPr="00C67F33" w14:paraId="720969A2" w14:textId="77777777" w:rsidTr="00433FF7">
        <w:tc>
          <w:tcPr>
            <w:tcW w:w="0" w:type="auto"/>
            <w:hideMark/>
          </w:tcPr>
          <w:p w14:paraId="4CC85ED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SAND.ST</w:t>
            </w:r>
          </w:p>
        </w:tc>
        <w:tc>
          <w:tcPr>
            <w:tcW w:w="0" w:type="auto"/>
            <w:hideMark/>
          </w:tcPr>
          <w:p w14:paraId="3DEBD59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Sandvik AB (publ)</w:t>
            </w:r>
          </w:p>
        </w:tc>
        <w:tc>
          <w:tcPr>
            <w:tcW w:w="0" w:type="auto"/>
            <w:hideMark/>
          </w:tcPr>
          <w:p w14:paraId="1B6E007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66156DD6"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5F238DF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€334,921,039,872</w:t>
            </w:r>
          </w:p>
        </w:tc>
      </w:tr>
      <w:tr w:rsidR="00433FF7" w:rsidRPr="00C67F33" w14:paraId="7C7976F4" w14:textId="77777777" w:rsidTr="00433FF7">
        <w:tc>
          <w:tcPr>
            <w:tcW w:w="0" w:type="auto"/>
            <w:hideMark/>
          </w:tcPr>
          <w:p w14:paraId="6E265B31"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SWED-A.ST</w:t>
            </w:r>
          </w:p>
        </w:tc>
        <w:tc>
          <w:tcPr>
            <w:tcW w:w="0" w:type="auto"/>
            <w:hideMark/>
          </w:tcPr>
          <w:p w14:paraId="50856401"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Swedbank AB (publ)</w:t>
            </w:r>
          </w:p>
        </w:tc>
        <w:tc>
          <w:tcPr>
            <w:tcW w:w="0" w:type="auto"/>
            <w:hideMark/>
          </w:tcPr>
          <w:p w14:paraId="285A6849"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2F5F7DE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7D6DE865"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€320,966,393,856</w:t>
            </w:r>
          </w:p>
        </w:tc>
      </w:tr>
      <w:tr w:rsidR="00433FF7" w:rsidRPr="00C67F33" w14:paraId="6E2F38D8" w14:textId="77777777" w:rsidTr="00433FF7">
        <w:tc>
          <w:tcPr>
            <w:tcW w:w="0" w:type="auto"/>
            <w:hideMark/>
          </w:tcPr>
          <w:p w14:paraId="5AD5700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lastRenderedPageBreak/>
              <w:t>DSV.CO</w:t>
            </w:r>
          </w:p>
        </w:tc>
        <w:tc>
          <w:tcPr>
            <w:tcW w:w="0" w:type="auto"/>
            <w:hideMark/>
          </w:tcPr>
          <w:p w14:paraId="49382425"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DSV A/S</w:t>
            </w:r>
          </w:p>
        </w:tc>
        <w:tc>
          <w:tcPr>
            <w:tcW w:w="0" w:type="auto"/>
            <w:hideMark/>
          </w:tcPr>
          <w:p w14:paraId="09CF8A9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7A0492F3" w14:textId="5D0FCCF0"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Интегрирани товарни и логистични услуги</w:t>
            </w:r>
          </w:p>
        </w:tc>
        <w:tc>
          <w:tcPr>
            <w:tcW w:w="0" w:type="auto"/>
            <w:hideMark/>
          </w:tcPr>
          <w:p w14:paraId="1C867B27"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€310,280,519,680</w:t>
            </w:r>
          </w:p>
        </w:tc>
      </w:tr>
      <w:tr w:rsidR="00433FF7" w:rsidRPr="00C67F33" w14:paraId="451E7D64" w14:textId="77777777" w:rsidTr="00433FF7">
        <w:tc>
          <w:tcPr>
            <w:tcW w:w="0" w:type="auto"/>
            <w:hideMark/>
          </w:tcPr>
          <w:p w14:paraId="24A4A0B8"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HEXA-B.ST</w:t>
            </w:r>
          </w:p>
        </w:tc>
        <w:tc>
          <w:tcPr>
            <w:tcW w:w="0" w:type="auto"/>
            <w:hideMark/>
          </w:tcPr>
          <w:p w14:paraId="5AB67C3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Hexagon AB (publ)</w:t>
            </w:r>
          </w:p>
        </w:tc>
        <w:tc>
          <w:tcPr>
            <w:tcW w:w="0" w:type="auto"/>
            <w:hideMark/>
          </w:tcPr>
          <w:p w14:paraId="25C783B3"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Технологии</w:t>
            </w:r>
          </w:p>
        </w:tc>
        <w:tc>
          <w:tcPr>
            <w:tcW w:w="0" w:type="auto"/>
            <w:hideMark/>
          </w:tcPr>
          <w:p w14:paraId="72143554"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Научни и технически инструменти</w:t>
            </w:r>
          </w:p>
        </w:tc>
        <w:tc>
          <w:tcPr>
            <w:tcW w:w="0" w:type="auto"/>
            <w:hideMark/>
          </w:tcPr>
          <w:p w14:paraId="0C4EC66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€308,837,679,104</w:t>
            </w:r>
          </w:p>
        </w:tc>
      </w:tr>
      <w:tr w:rsidR="00433FF7" w:rsidRPr="00C67F33" w14:paraId="49D77E22" w14:textId="77777777" w:rsidTr="00433FF7">
        <w:tc>
          <w:tcPr>
            <w:tcW w:w="0" w:type="auto"/>
            <w:hideMark/>
          </w:tcPr>
          <w:p w14:paraId="3DBD379A"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SAAB-B.ST</w:t>
            </w:r>
          </w:p>
        </w:tc>
        <w:tc>
          <w:tcPr>
            <w:tcW w:w="0" w:type="auto"/>
            <w:hideMark/>
          </w:tcPr>
          <w:p w14:paraId="1F0AD35B"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Saab AB (publ)</w:t>
            </w:r>
          </w:p>
        </w:tc>
        <w:tc>
          <w:tcPr>
            <w:tcW w:w="0" w:type="auto"/>
            <w:hideMark/>
          </w:tcPr>
          <w:p w14:paraId="7D5B1DA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2B8E6AF6"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Аерокосмическа и отбранителна промишленост</w:t>
            </w:r>
          </w:p>
        </w:tc>
        <w:tc>
          <w:tcPr>
            <w:tcW w:w="0" w:type="auto"/>
            <w:hideMark/>
          </w:tcPr>
          <w:p w14:paraId="11AA359D"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€292,789,092,352</w:t>
            </w:r>
          </w:p>
        </w:tc>
      </w:tr>
      <w:tr w:rsidR="00433FF7" w:rsidRPr="00C67F33" w14:paraId="591DCD85" w14:textId="77777777" w:rsidTr="00433FF7">
        <w:tc>
          <w:tcPr>
            <w:tcW w:w="0" w:type="auto"/>
            <w:hideMark/>
          </w:tcPr>
          <w:p w14:paraId="6B0EBDBC"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HM-B.ST</w:t>
            </w:r>
          </w:p>
        </w:tc>
        <w:tc>
          <w:tcPr>
            <w:tcW w:w="0" w:type="auto"/>
            <w:hideMark/>
          </w:tcPr>
          <w:p w14:paraId="2F91B7E7"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H &amp; M Hennes &amp; Mauritz AB (publ)</w:t>
            </w:r>
          </w:p>
        </w:tc>
        <w:tc>
          <w:tcPr>
            <w:tcW w:w="0" w:type="auto"/>
            <w:hideMark/>
          </w:tcPr>
          <w:p w14:paraId="0448F442"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Циклично потребление</w:t>
            </w:r>
          </w:p>
        </w:tc>
        <w:tc>
          <w:tcPr>
            <w:tcW w:w="0" w:type="auto"/>
            <w:hideMark/>
          </w:tcPr>
          <w:p w14:paraId="7DCF4B8F"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Производство на облекло</w:t>
            </w:r>
          </w:p>
        </w:tc>
        <w:tc>
          <w:tcPr>
            <w:tcW w:w="0" w:type="auto"/>
            <w:hideMark/>
          </w:tcPr>
          <w:p w14:paraId="1492A703" w14:textId="77777777" w:rsidR="00433FF7" w:rsidRPr="00C67F33" w:rsidRDefault="00433FF7" w:rsidP="00433FF7">
            <w:pPr>
              <w:spacing w:line="360" w:lineRule="auto"/>
              <w:jc w:val="both"/>
              <w:rPr>
                <w:rFonts w:ascii="Times New Roman" w:hAnsi="Times New Roman"/>
                <w:sz w:val="24"/>
                <w:szCs w:val="24"/>
              </w:rPr>
            </w:pPr>
            <w:r w:rsidRPr="00C67F33">
              <w:rPr>
                <w:rFonts w:ascii="Times New Roman" w:hAnsi="Times New Roman"/>
                <w:sz w:val="24"/>
                <w:szCs w:val="24"/>
              </w:rPr>
              <w:t>€281,315,016,704</w:t>
            </w:r>
          </w:p>
        </w:tc>
      </w:tr>
    </w:tbl>
    <w:p w14:paraId="316BD7D9" w14:textId="77777777" w:rsidR="00433FF7" w:rsidRPr="00C67F33" w:rsidRDefault="00433FF7" w:rsidP="00057B6F">
      <w:pPr>
        <w:spacing w:line="360" w:lineRule="auto"/>
        <w:ind w:firstLine="708"/>
        <w:jc w:val="both"/>
        <w:rPr>
          <w:rFonts w:ascii="Times New Roman" w:hAnsi="Times New Roman"/>
          <w:sz w:val="24"/>
          <w:szCs w:val="24"/>
        </w:rPr>
      </w:pPr>
    </w:p>
    <w:p w14:paraId="53AA9030" w14:textId="24497720" w:rsidR="00057B6F" w:rsidRPr="00FE35A9" w:rsidRDefault="00057B6F" w:rsidP="00057B6F">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 xml:space="preserve">2.2. </w:t>
      </w:r>
      <w:r w:rsidR="00061132" w:rsidRPr="00FE35A9">
        <w:rPr>
          <w:rFonts w:ascii="Times New Roman" w:hAnsi="Times New Roman"/>
          <w:b/>
          <w:bCs/>
          <w:sz w:val="24"/>
          <w:szCs w:val="24"/>
        </w:rPr>
        <w:t>Изграждане на фундаментални сигнали</w:t>
      </w:r>
    </w:p>
    <w:p w14:paraId="31164309" w14:textId="77777777" w:rsidR="00EB0103" w:rsidRPr="00C67F33" w:rsidRDefault="00EB0103" w:rsidP="00EB0103">
      <w:pPr>
        <w:spacing w:line="360" w:lineRule="auto"/>
        <w:ind w:firstLine="708"/>
        <w:jc w:val="both"/>
        <w:rPr>
          <w:rFonts w:ascii="Times New Roman" w:hAnsi="Times New Roman"/>
          <w:sz w:val="24"/>
          <w:szCs w:val="24"/>
        </w:rPr>
      </w:pPr>
      <w:r w:rsidRPr="00C67F33">
        <w:rPr>
          <w:rFonts w:ascii="Times New Roman" w:hAnsi="Times New Roman"/>
          <w:sz w:val="24"/>
          <w:szCs w:val="24"/>
        </w:rPr>
        <w:t>Настоящият раздел описва процеса на изграждане и комбиниране на фундаментални сигнали, използвани за оценка на относителната привлекателност на компаниите в извадката. Целта е да се конструира обективен измерител на стойност и качество, който да служи като основа за формиране на дълги и къси позиции в рамките на пазарно неутралната стратегия.</w:t>
      </w:r>
    </w:p>
    <w:p w14:paraId="3E168F81" w14:textId="77777777" w:rsidR="00EB0103" w:rsidRPr="00C67F33" w:rsidRDefault="00EB0103" w:rsidP="00EB0103">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t>Подбор на показатели</w:t>
      </w:r>
    </w:p>
    <w:p w14:paraId="361B45E5" w14:textId="4F406066" w:rsidR="00A54EE2" w:rsidRPr="00C67F33" w:rsidRDefault="00EB0103" w:rsidP="00CB0058">
      <w:pPr>
        <w:spacing w:line="360" w:lineRule="auto"/>
        <w:ind w:firstLine="708"/>
        <w:jc w:val="both"/>
        <w:rPr>
          <w:rFonts w:ascii="Times New Roman" w:hAnsi="Times New Roman"/>
          <w:sz w:val="24"/>
          <w:szCs w:val="24"/>
        </w:rPr>
      </w:pPr>
      <w:r w:rsidRPr="00C67F33">
        <w:rPr>
          <w:rFonts w:ascii="Times New Roman" w:hAnsi="Times New Roman"/>
          <w:sz w:val="24"/>
          <w:szCs w:val="24"/>
        </w:rPr>
        <w:t>За изграждането на сигналите са използвани пет ключови счетоводни и пазарни съотношения, които улавят различни измерения на стойност, рентабилност и устойчивост. Те са приложени за всички компании от извадката на индекса STOXX Europe 600 за периода 2021–2024 г.</w:t>
      </w:r>
    </w:p>
    <w:p w14:paraId="3389EB9B" w14:textId="2314F051" w:rsidR="00882189" w:rsidRPr="00C67F33" w:rsidRDefault="00882189" w:rsidP="00882189">
      <w:pPr>
        <w:spacing w:after="0" w:line="360" w:lineRule="auto"/>
        <w:ind w:firstLine="708"/>
        <w:jc w:val="both"/>
        <w:rPr>
          <w:rFonts w:ascii="Times New Roman" w:hAnsi="Times New Roman"/>
          <w:sz w:val="24"/>
          <w:szCs w:val="24"/>
        </w:rPr>
      </w:pPr>
      <w:r w:rsidRPr="00C67F33">
        <w:rPr>
          <w:rFonts w:ascii="Times New Roman" w:hAnsi="Times New Roman"/>
          <w:sz w:val="24"/>
          <w:szCs w:val="24"/>
        </w:rPr>
        <w:t>Таблица 2.</w:t>
      </w:r>
    </w:p>
    <w:tbl>
      <w:tblPr>
        <w:tblStyle w:val="TableGrid"/>
        <w:tblW w:w="0" w:type="auto"/>
        <w:tblLook w:val="04A0" w:firstRow="1" w:lastRow="0" w:firstColumn="1" w:lastColumn="0" w:noHBand="0" w:noVBand="1"/>
      </w:tblPr>
      <w:tblGrid>
        <w:gridCol w:w="2167"/>
        <w:gridCol w:w="2751"/>
        <w:gridCol w:w="4144"/>
      </w:tblGrid>
      <w:tr w:rsidR="00EB0103" w:rsidRPr="00C67F33" w14:paraId="40E3AA7D" w14:textId="77777777" w:rsidTr="00EB0103">
        <w:tc>
          <w:tcPr>
            <w:tcW w:w="0" w:type="auto"/>
            <w:hideMark/>
          </w:tcPr>
          <w:p w14:paraId="542F70FC" w14:textId="77777777" w:rsidR="00EB0103" w:rsidRPr="00C67F33" w:rsidRDefault="00EB0103" w:rsidP="00EB0103">
            <w:pPr>
              <w:spacing w:line="360" w:lineRule="auto"/>
              <w:jc w:val="both"/>
              <w:rPr>
                <w:rFonts w:ascii="Times New Roman" w:hAnsi="Times New Roman"/>
                <w:b/>
                <w:bCs/>
                <w:sz w:val="24"/>
                <w:szCs w:val="24"/>
              </w:rPr>
            </w:pPr>
            <w:r w:rsidRPr="00C67F33">
              <w:rPr>
                <w:rFonts w:ascii="Times New Roman" w:hAnsi="Times New Roman"/>
                <w:b/>
                <w:bCs/>
                <w:sz w:val="24"/>
                <w:szCs w:val="24"/>
              </w:rPr>
              <w:t>Група</w:t>
            </w:r>
          </w:p>
        </w:tc>
        <w:tc>
          <w:tcPr>
            <w:tcW w:w="0" w:type="auto"/>
            <w:hideMark/>
          </w:tcPr>
          <w:p w14:paraId="3B0E5CC0" w14:textId="77777777" w:rsidR="00EB0103" w:rsidRPr="00C67F33" w:rsidRDefault="00EB0103" w:rsidP="00EB0103">
            <w:pPr>
              <w:spacing w:line="360" w:lineRule="auto"/>
              <w:jc w:val="both"/>
              <w:rPr>
                <w:rFonts w:ascii="Times New Roman" w:hAnsi="Times New Roman"/>
                <w:b/>
                <w:bCs/>
                <w:sz w:val="24"/>
                <w:szCs w:val="24"/>
              </w:rPr>
            </w:pPr>
            <w:r w:rsidRPr="00C67F33">
              <w:rPr>
                <w:rFonts w:ascii="Times New Roman" w:hAnsi="Times New Roman"/>
                <w:b/>
                <w:bCs/>
                <w:sz w:val="24"/>
                <w:szCs w:val="24"/>
              </w:rPr>
              <w:t>Индикатор</w:t>
            </w:r>
          </w:p>
        </w:tc>
        <w:tc>
          <w:tcPr>
            <w:tcW w:w="0" w:type="auto"/>
            <w:hideMark/>
          </w:tcPr>
          <w:p w14:paraId="3108FD21" w14:textId="77777777" w:rsidR="00EB0103" w:rsidRPr="00C67F33" w:rsidRDefault="00EB0103" w:rsidP="00EB0103">
            <w:pPr>
              <w:spacing w:line="360" w:lineRule="auto"/>
              <w:jc w:val="both"/>
              <w:rPr>
                <w:rFonts w:ascii="Times New Roman" w:hAnsi="Times New Roman"/>
                <w:b/>
                <w:bCs/>
                <w:sz w:val="24"/>
                <w:szCs w:val="24"/>
              </w:rPr>
            </w:pPr>
            <w:r w:rsidRPr="00C67F33">
              <w:rPr>
                <w:rFonts w:ascii="Times New Roman" w:hAnsi="Times New Roman"/>
                <w:b/>
                <w:bCs/>
                <w:sz w:val="24"/>
                <w:szCs w:val="24"/>
              </w:rPr>
              <w:t>Икономическа логика</w:t>
            </w:r>
          </w:p>
        </w:tc>
      </w:tr>
      <w:tr w:rsidR="00EB0103" w:rsidRPr="00C67F33" w14:paraId="09CB02BB" w14:textId="77777777" w:rsidTr="00EB0103">
        <w:tc>
          <w:tcPr>
            <w:tcW w:w="0" w:type="auto"/>
            <w:hideMark/>
          </w:tcPr>
          <w:p w14:paraId="79104C88"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b/>
                <w:bCs/>
                <w:sz w:val="24"/>
                <w:szCs w:val="24"/>
              </w:rPr>
              <w:lastRenderedPageBreak/>
              <w:t>Валюация (Value)</w:t>
            </w:r>
          </w:p>
        </w:tc>
        <w:tc>
          <w:tcPr>
            <w:tcW w:w="0" w:type="auto"/>
            <w:hideMark/>
          </w:tcPr>
          <w:p w14:paraId="0154F66B"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 xml:space="preserve">EV/EBITDA </w:t>
            </w:r>
            <w:r w:rsidRPr="00C67F33">
              <w:rPr>
                <w:rFonts w:ascii="Times New Roman" w:hAnsi="Times New Roman"/>
                <w:i/>
                <w:iCs/>
                <w:sz w:val="24"/>
                <w:szCs w:val="24"/>
              </w:rPr>
              <w:t>(инвертиран)</w:t>
            </w:r>
            <w:r w:rsidRPr="00C67F33">
              <w:rPr>
                <w:rFonts w:ascii="Times New Roman" w:hAnsi="Times New Roman"/>
                <w:sz w:val="24"/>
                <w:szCs w:val="24"/>
              </w:rPr>
              <w:t>, Book-to-Market (B/M)</w:t>
            </w:r>
          </w:p>
        </w:tc>
        <w:tc>
          <w:tcPr>
            <w:tcW w:w="0" w:type="auto"/>
            <w:hideMark/>
          </w:tcPr>
          <w:p w14:paraId="337E27D6"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Подценените компании имат по-висока очаквана доходност</w:t>
            </w:r>
          </w:p>
        </w:tc>
      </w:tr>
      <w:tr w:rsidR="00EB0103" w:rsidRPr="00C67F33" w14:paraId="481967BF" w14:textId="77777777" w:rsidTr="00EB0103">
        <w:tc>
          <w:tcPr>
            <w:tcW w:w="0" w:type="auto"/>
            <w:hideMark/>
          </w:tcPr>
          <w:p w14:paraId="4C347193"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b/>
                <w:bCs/>
                <w:sz w:val="24"/>
                <w:szCs w:val="24"/>
              </w:rPr>
              <w:t>Рентабилност (Profitability)</w:t>
            </w:r>
          </w:p>
        </w:tc>
        <w:tc>
          <w:tcPr>
            <w:tcW w:w="0" w:type="auto"/>
            <w:hideMark/>
          </w:tcPr>
          <w:p w14:paraId="12F5E7FD"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Return on Equity (ROE)</w:t>
            </w:r>
          </w:p>
        </w:tc>
        <w:tc>
          <w:tcPr>
            <w:tcW w:w="0" w:type="auto"/>
            <w:hideMark/>
          </w:tcPr>
          <w:p w14:paraId="7ED18CF4"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Компаниите с висока възвръщаемост на собствения капитал са по-ефективни и устойчиви</w:t>
            </w:r>
          </w:p>
        </w:tc>
      </w:tr>
      <w:tr w:rsidR="00EB0103" w:rsidRPr="00C67F33" w14:paraId="3F742E27" w14:textId="77777777" w:rsidTr="00EB0103">
        <w:tc>
          <w:tcPr>
            <w:tcW w:w="0" w:type="auto"/>
            <w:hideMark/>
          </w:tcPr>
          <w:p w14:paraId="11ADF503"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b/>
                <w:bCs/>
                <w:sz w:val="24"/>
                <w:szCs w:val="24"/>
              </w:rPr>
              <w:t>Качество (Quality)</w:t>
            </w:r>
          </w:p>
        </w:tc>
        <w:tc>
          <w:tcPr>
            <w:tcW w:w="0" w:type="auto"/>
            <w:hideMark/>
          </w:tcPr>
          <w:p w14:paraId="599D39C6"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Operating Cash Flow / Total Assets</w:t>
            </w:r>
          </w:p>
        </w:tc>
        <w:tc>
          <w:tcPr>
            <w:tcW w:w="0" w:type="auto"/>
            <w:hideMark/>
          </w:tcPr>
          <w:p w14:paraId="7FBE37EB"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Високият дял на оперативните потоци спрямо активите показва финансова стабилност</w:t>
            </w:r>
          </w:p>
        </w:tc>
      </w:tr>
      <w:tr w:rsidR="00EB0103" w:rsidRPr="00C67F33" w14:paraId="0B591AF1" w14:textId="77777777" w:rsidTr="00EB0103">
        <w:tc>
          <w:tcPr>
            <w:tcW w:w="0" w:type="auto"/>
            <w:hideMark/>
          </w:tcPr>
          <w:p w14:paraId="671B6AB4"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b/>
                <w:bCs/>
                <w:sz w:val="24"/>
                <w:szCs w:val="24"/>
              </w:rPr>
              <w:t>Растеж (Growth)</w:t>
            </w:r>
          </w:p>
        </w:tc>
        <w:tc>
          <w:tcPr>
            <w:tcW w:w="0" w:type="auto"/>
            <w:hideMark/>
          </w:tcPr>
          <w:p w14:paraId="21D961BF"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Sales Growth (годишен ръст на продажбите)</w:t>
            </w:r>
          </w:p>
        </w:tc>
        <w:tc>
          <w:tcPr>
            <w:tcW w:w="0" w:type="auto"/>
            <w:hideMark/>
          </w:tcPr>
          <w:p w14:paraId="2B879482" w14:textId="77777777" w:rsidR="00EB0103" w:rsidRPr="00C67F33" w:rsidRDefault="00EB0103" w:rsidP="00EB0103">
            <w:pPr>
              <w:spacing w:line="360" w:lineRule="auto"/>
              <w:jc w:val="both"/>
              <w:rPr>
                <w:rFonts w:ascii="Times New Roman" w:hAnsi="Times New Roman"/>
                <w:sz w:val="24"/>
                <w:szCs w:val="24"/>
              </w:rPr>
            </w:pPr>
            <w:r w:rsidRPr="00C67F33">
              <w:rPr>
                <w:rFonts w:ascii="Times New Roman" w:hAnsi="Times New Roman"/>
                <w:sz w:val="24"/>
                <w:szCs w:val="24"/>
              </w:rPr>
              <w:t>Сигнал за потенциал за бъдещо нарастване на печалбите</w:t>
            </w:r>
          </w:p>
        </w:tc>
      </w:tr>
    </w:tbl>
    <w:p w14:paraId="746B4F9D" w14:textId="3D6227DB" w:rsidR="00EB0103" w:rsidRPr="00C67F33" w:rsidRDefault="00EB0103" w:rsidP="00EB0103">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Избраните индикатори съчетават както статични, така и динамични измерители на финансово състояние и са </w:t>
      </w:r>
      <w:r w:rsidR="0057178A" w:rsidRPr="00C67F33">
        <w:rPr>
          <w:rFonts w:ascii="Times New Roman" w:hAnsi="Times New Roman"/>
          <w:sz w:val="24"/>
          <w:szCs w:val="24"/>
        </w:rPr>
        <w:t>широко използвани във финансовия анализ</w:t>
      </w:r>
      <w:r w:rsidRPr="00C67F33">
        <w:rPr>
          <w:rFonts w:ascii="Times New Roman" w:hAnsi="Times New Roman"/>
          <w:sz w:val="24"/>
          <w:szCs w:val="24"/>
        </w:rPr>
        <w:t xml:space="preserve"> при изграждане на факторни модели и пазарно неутрални стратегии.</w:t>
      </w:r>
    </w:p>
    <w:p w14:paraId="53DA1F7D" w14:textId="77777777" w:rsidR="00EB0103" w:rsidRPr="00C67F33" w:rsidRDefault="00EB0103" w:rsidP="00EB0103">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t>Нормализация и стандартизация</w:t>
      </w:r>
    </w:p>
    <w:p w14:paraId="71F6D626" w14:textId="77777777" w:rsidR="00EB0103" w:rsidRPr="00C67F33" w:rsidRDefault="00EB0103" w:rsidP="00EB0103">
      <w:pPr>
        <w:spacing w:line="360" w:lineRule="auto"/>
        <w:ind w:firstLine="708"/>
        <w:jc w:val="both"/>
        <w:rPr>
          <w:rFonts w:ascii="Times New Roman" w:hAnsi="Times New Roman"/>
          <w:sz w:val="24"/>
          <w:szCs w:val="24"/>
        </w:rPr>
      </w:pPr>
      <w:r w:rsidRPr="00C67F33">
        <w:rPr>
          <w:rFonts w:ascii="Times New Roman" w:hAnsi="Times New Roman"/>
          <w:sz w:val="24"/>
          <w:szCs w:val="24"/>
        </w:rPr>
        <w:t>За да се осигури съпоставимост между различните отрасли, всички показатели се нормализират по индустрия чрез z-score трансформация:</w:t>
      </w:r>
    </w:p>
    <w:p w14:paraId="2582648B" w14:textId="602A4D1B" w:rsidR="00EB0103" w:rsidRPr="00C67F33" w:rsidRDefault="00000000" w:rsidP="00EB0103">
      <w:pPr>
        <w:spacing w:line="360" w:lineRule="auto"/>
        <w:ind w:firstLine="708"/>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z</m:t>
              </m:r>
            </m:e>
            <m:sub>
              <m:r>
                <w:rPr>
                  <w:rFonts w:ascii="Cambria Math" w:hAnsi="Cambria Math"/>
                  <w:sz w:val="24"/>
                  <w:szCs w:val="24"/>
                </w:rPr>
                <m:t>ij</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sz w:val="24"/>
                      <w:szCs w:val="24"/>
                    </w:rPr>
                  </m:ctrlPr>
                </m:sSubPr>
                <m:e>
                  <m:acc>
                    <m:accPr>
                      <m:chr m:val="ˉ"/>
                      <m:ctrlPr>
                        <w:rPr>
                          <w:rFonts w:ascii="Cambria Math" w:hAnsi="Cambria Math"/>
                          <w:sz w:val="24"/>
                          <w:szCs w:val="24"/>
                        </w:rPr>
                      </m:ctrlPr>
                    </m:accPr>
                    <m:e>
                      <m:r>
                        <w:rPr>
                          <w:rFonts w:ascii="Cambria Math" w:hAnsi="Cambria Math"/>
                          <w:sz w:val="24"/>
                          <w:szCs w:val="24"/>
                        </w:rPr>
                        <m:t>x</m:t>
                      </m:r>
                    </m:e>
                  </m:acc>
                </m:e>
                <m:sub>
                  <m:r>
                    <w:rPr>
                      <w:rFonts w:ascii="Cambria Math" w:hAnsi="Cambria Math"/>
                      <w:sz w:val="24"/>
                      <w:szCs w:val="24"/>
                    </w:rPr>
                    <m:t>j,</m:t>
                  </m:r>
                  <m:r>
                    <m:rPr>
                      <m:nor/>
                    </m:rPr>
                    <w:rPr>
                      <w:rFonts w:ascii="Times New Roman" w:hAnsi="Times New Roman"/>
                      <w:sz w:val="24"/>
                      <w:szCs w:val="24"/>
                    </w:rPr>
                    <m:t>индустрия</m:t>
                  </m:r>
                </m:sub>
              </m:sSub>
            </m:num>
            <m:den>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j,</m:t>
                  </m:r>
                  <m:r>
                    <m:rPr>
                      <m:nor/>
                    </m:rPr>
                    <w:rPr>
                      <w:rFonts w:ascii="Times New Roman" w:hAnsi="Times New Roman"/>
                      <w:sz w:val="24"/>
                      <w:szCs w:val="24"/>
                    </w:rPr>
                    <m:t>индустрия</m:t>
                  </m:r>
                </m:sub>
              </m:sSub>
            </m:den>
          </m:f>
        </m:oMath>
      </m:oMathPara>
    </w:p>
    <w:p w14:paraId="16580257" w14:textId="2072A1E9" w:rsidR="00EB0103" w:rsidRPr="00C67F33" w:rsidRDefault="00EB0103" w:rsidP="00EB0103">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където </w:t>
      </w: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ij</m:t>
            </m:r>
          </m:sub>
        </m:sSub>
      </m:oMath>
      <w:r w:rsidRPr="00C67F33">
        <w:rPr>
          <w:rFonts w:ascii="Times New Roman" w:hAnsi="Times New Roman"/>
          <w:sz w:val="24"/>
          <w:szCs w:val="24"/>
        </w:rPr>
        <w:t xml:space="preserve">е стойността на показателя за компания </w:t>
      </w:r>
      <w:r w:rsidRPr="00C67F33">
        <w:rPr>
          <w:rFonts w:ascii="Times New Roman" w:hAnsi="Times New Roman"/>
          <w:i/>
          <w:iCs/>
          <w:sz w:val="24"/>
          <w:szCs w:val="24"/>
        </w:rPr>
        <w:t>i</w:t>
      </w:r>
      <w:r w:rsidRPr="00C67F33">
        <w:rPr>
          <w:rFonts w:ascii="Times New Roman" w:hAnsi="Times New Roman"/>
          <w:sz w:val="24"/>
          <w:szCs w:val="24"/>
        </w:rPr>
        <w:t xml:space="preserve">, а </w:t>
      </w:r>
      <m:oMath>
        <m:sSub>
          <m:sSubPr>
            <m:ctrlPr>
              <w:rPr>
                <w:rFonts w:ascii="Cambria Math" w:hAnsi="Cambria Math"/>
                <w:sz w:val="24"/>
                <w:szCs w:val="24"/>
              </w:rPr>
            </m:ctrlPr>
          </m:sSubPr>
          <m:e>
            <m:acc>
              <m:accPr>
                <m:chr m:val="ˉ"/>
                <m:ctrlPr>
                  <w:rPr>
                    <w:rFonts w:ascii="Cambria Math" w:hAnsi="Cambria Math"/>
                    <w:sz w:val="24"/>
                    <w:szCs w:val="24"/>
                  </w:rPr>
                </m:ctrlPr>
              </m:accPr>
              <m:e>
                <m:r>
                  <w:rPr>
                    <w:rFonts w:ascii="Cambria Math" w:hAnsi="Cambria Math"/>
                    <w:sz w:val="24"/>
                    <w:szCs w:val="24"/>
                  </w:rPr>
                  <m:t>x</m:t>
                </m:r>
              </m:e>
            </m:acc>
          </m:e>
          <m:sub>
            <m:r>
              <w:rPr>
                <w:rFonts w:ascii="Cambria Math" w:hAnsi="Cambria Math"/>
                <w:sz w:val="24"/>
                <w:szCs w:val="24"/>
              </w:rPr>
              <m:t>j,</m:t>
            </m:r>
            <m:r>
              <m:rPr>
                <m:nor/>
              </m:rPr>
              <w:rPr>
                <w:rFonts w:ascii="Times New Roman" w:hAnsi="Times New Roman"/>
                <w:sz w:val="24"/>
                <w:szCs w:val="24"/>
              </w:rPr>
              <m:t>индустрия</m:t>
            </m:r>
          </m:sub>
        </m:sSub>
      </m:oMath>
      <w:r w:rsidR="002D461F" w:rsidRPr="00C67F33">
        <w:rPr>
          <w:rFonts w:ascii="Times New Roman" w:hAnsi="Times New Roman"/>
          <w:sz w:val="24"/>
          <w:szCs w:val="24"/>
        </w:rPr>
        <w:t xml:space="preserve"> </w:t>
      </w:r>
      <w:r w:rsidRPr="00C67F33">
        <w:rPr>
          <w:rFonts w:ascii="Times New Roman" w:hAnsi="Times New Roman"/>
          <w:sz w:val="24"/>
          <w:szCs w:val="24"/>
        </w:rPr>
        <w:t xml:space="preserve">и </w:t>
      </w: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j,</m:t>
            </m:r>
            <m:r>
              <m:rPr>
                <m:nor/>
              </m:rPr>
              <w:rPr>
                <w:rFonts w:ascii="Times New Roman" w:hAnsi="Times New Roman"/>
                <w:sz w:val="24"/>
                <w:szCs w:val="24"/>
              </w:rPr>
              <m:t>индустрия</m:t>
            </m:r>
          </m:sub>
        </m:sSub>
      </m:oMath>
      <w:r w:rsidR="006506E3" w:rsidRPr="00C67F33">
        <w:rPr>
          <w:rFonts w:ascii="Times New Roman" w:hAnsi="Times New Roman"/>
          <w:sz w:val="24"/>
          <w:szCs w:val="24"/>
        </w:rPr>
        <w:t xml:space="preserve"> </w:t>
      </w:r>
      <w:r w:rsidRPr="00C67F33">
        <w:rPr>
          <w:rFonts w:ascii="Times New Roman" w:hAnsi="Times New Roman"/>
          <w:sz w:val="24"/>
          <w:szCs w:val="24"/>
        </w:rPr>
        <w:t>са съответно средната стойност и стандартното отклонение за същата индустрия и година. Тази процедура елиминира секторните различия и позволява коректно сравнение между компании с различен бизнес профил.</w:t>
      </w:r>
    </w:p>
    <w:p w14:paraId="49C8A23D" w14:textId="293F7F79" w:rsidR="007339BE" w:rsidRPr="00C67F33" w:rsidRDefault="007339BE" w:rsidP="00EB0103">
      <w:pPr>
        <w:spacing w:line="360" w:lineRule="auto"/>
        <w:ind w:firstLine="708"/>
        <w:jc w:val="both"/>
        <w:rPr>
          <w:rFonts w:ascii="Times New Roman" w:hAnsi="Times New Roman"/>
          <w:sz w:val="24"/>
          <w:szCs w:val="24"/>
        </w:rPr>
      </w:pPr>
      <w:r w:rsidRPr="00C67F33">
        <w:rPr>
          <w:rFonts w:ascii="Times New Roman" w:hAnsi="Times New Roman"/>
          <w:sz w:val="24"/>
          <w:szCs w:val="24"/>
        </w:rPr>
        <w:t>След нормализацията по индустрии показателите демонстрират близко до нормално разпределение, което позволява агрегиране в единен скор.</w:t>
      </w:r>
    </w:p>
    <w:p w14:paraId="21A39F04" w14:textId="77777777" w:rsidR="004A6403" w:rsidRPr="00C67F33" w:rsidRDefault="004A6403" w:rsidP="004A6403">
      <w:pPr>
        <w:spacing w:after="0" w:line="240" w:lineRule="auto"/>
        <w:ind w:firstLine="708"/>
        <w:jc w:val="center"/>
        <w:rPr>
          <w:rFonts w:ascii="Times New Roman" w:hAnsi="Times New Roman"/>
          <w:i/>
          <w:iCs/>
          <w:sz w:val="24"/>
          <w:szCs w:val="24"/>
        </w:rPr>
      </w:pPr>
      <w:r w:rsidRPr="00C67F33">
        <w:rPr>
          <w:rFonts w:ascii="Times New Roman" w:hAnsi="Times New Roman"/>
          <w:i/>
          <w:iCs/>
          <w:sz w:val="24"/>
          <w:szCs w:val="24"/>
        </w:rPr>
        <w:t>Фигура 2.1. Разпределение на нормализирания EV/EBITDA (z-score)</w:t>
      </w:r>
    </w:p>
    <w:p w14:paraId="5E37E6F1" w14:textId="7ADF2988" w:rsidR="004A6403" w:rsidRPr="00C67F33" w:rsidRDefault="004A6403" w:rsidP="004A6403">
      <w:pPr>
        <w:spacing w:line="360" w:lineRule="auto"/>
        <w:ind w:firstLine="708"/>
        <w:jc w:val="center"/>
        <w:rPr>
          <w:rFonts w:ascii="Times New Roman" w:hAnsi="Times New Roman"/>
          <w:sz w:val="24"/>
          <w:szCs w:val="24"/>
        </w:rPr>
      </w:pPr>
      <w:r w:rsidRPr="00C67F33">
        <w:rPr>
          <w:rFonts w:ascii="Times New Roman" w:hAnsi="Times New Roman"/>
          <w:noProof/>
          <w:sz w:val="24"/>
          <w:szCs w:val="24"/>
        </w:rPr>
        <w:lastRenderedPageBreak/>
        <w:drawing>
          <wp:inline distT="0" distB="0" distL="0" distR="0" wp14:anchorId="446092FF" wp14:editId="47F41BE6">
            <wp:extent cx="5216843" cy="3477895"/>
            <wp:effectExtent l="0" t="0" r="3175" b="8255"/>
            <wp:docPr id="1373570290" name="Picture 4" descr="A graph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57461" name="Picture 4" descr="A graph of a numb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3560" cy="3482373"/>
                    </a:xfrm>
                    <a:prstGeom prst="rect">
                      <a:avLst/>
                    </a:prstGeom>
                    <a:noFill/>
                    <a:ln>
                      <a:noFill/>
                    </a:ln>
                  </pic:spPr>
                </pic:pic>
              </a:graphicData>
            </a:graphic>
          </wp:inline>
        </w:drawing>
      </w:r>
    </w:p>
    <w:p w14:paraId="495E6EEA" w14:textId="574070E5" w:rsidR="00EB0103" w:rsidRPr="00C67F33" w:rsidRDefault="00EB0103" w:rsidP="00EB0103">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t>Агрегиране в композитен скор</w:t>
      </w:r>
    </w:p>
    <w:p w14:paraId="46D1E066" w14:textId="77777777" w:rsidR="00EB0103" w:rsidRPr="00C67F33" w:rsidRDefault="00EB0103" w:rsidP="00EB0103">
      <w:pPr>
        <w:spacing w:line="360" w:lineRule="auto"/>
        <w:ind w:firstLine="708"/>
        <w:jc w:val="both"/>
        <w:rPr>
          <w:rFonts w:ascii="Times New Roman" w:hAnsi="Times New Roman"/>
          <w:sz w:val="24"/>
          <w:szCs w:val="24"/>
        </w:rPr>
      </w:pPr>
      <w:r w:rsidRPr="00C67F33">
        <w:rPr>
          <w:rFonts w:ascii="Times New Roman" w:hAnsi="Times New Roman"/>
          <w:sz w:val="24"/>
          <w:szCs w:val="24"/>
        </w:rPr>
        <w:t>Получените нормализирани стойности се обединяват в композитен фундаментален скор (Composite Fundamental Score), който отразява общата сила на фундаменталния профил на всяка компания:</w:t>
      </w:r>
    </w:p>
    <w:p w14:paraId="7C9A7747" w14:textId="3AFF4915" w:rsidR="00EB0103" w:rsidRPr="00C67F33" w:rsidRDefault="00EB0103" w:rsidP="00EB0103">
      <w:pPr>
        <w:spacing w:line="360" w:lineRule="auto"/>
        <w:ind w:firstLine="708"/>
        <w:jc w:val="both"/>
        <w:rPr>
          <w:rFonts w:ascii="Times New Roman" w:hAnsi="Times New Roman"/>
          <w:i/>
          <w:sz w:val="24"/>
          <w:szCs w:val="24"/>
        </w:rPr>
      </w:pPr>
      <m:oMathPara>
        <m:oMath>
          <m:r>
            <w:rPr>
              <w:rFonts w:ascii="Cambria Math" w:hAnsi="Cambria Math"/>
              <w:sz w:val="24"/>
              <w:szCs w:val="24"/>
            </w:rPr>
            <m:t>Scor</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i</m:t>
              </m:r>
            </m:sub>
          </m:s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undOvr"/>
              <m:grow m:val="1"/>
              <m:ctrlPr>
                <w:rPr>
                  <w:rFonts w:ascii="Cambria Math" w:hAnsi="Cambria Math"/>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sz w:val="24"/>
                      <w:szCs w:val="24"/>
                    </w:rPr>
                  </m:ctrlPr>
                </m:sSubPr>
                <m:e>
                  <m:r>
                    <w:rPr>
                      <w:rFonts w:ascii="Cambria Math" w:hAnsi="Cambria Math"/>
                      <w:sz w:val="24"/>
                      <w:szCs w:val="24"/>
                    </w:rPr>
                    <m:t>Z</m:t>
                  </m:r>
                </m:e>
                <m:sub>
                  <m:r>
                    <w:rPr>
                      <w:rFonts w:ascii="Cambria Math" w:hAnsi="Cambria Math"/>
                      <w:sz w:val="24"/>
                      <w:szCs w:val="24"/>
                    </w:rPr>
                    <m:t>ik</m:t>
                  </m:r>
                </m:sub>
              </m:sSub>
            </m:e>
          </m:nary>
        </m:oMath>
      </m:oMathPara>
    </w:p>
    <w:p w14:paraId="19B6C150" w14:textId="0F74FE50" w:rsidR="00F03CC6" w:rsidRPr="00C67F33" w:rsidRDefault="00EB0103" w:rsidP="004A6403">
      <w:pPr>
        <w:spacing w:line="360" w:lineRule="auto"/>
        <w:ind w:firstLine="708"/>
        <w:jc w:val="both"/>
        <w:rPr>
          <w:rFonts w:ascii="Times New Roman" w:hAnsi="Times New Roman"/>
          <w:i/>
          <w:iCs/>
          <w:sz w:val="24"/>
          <w:szCs w:val="24"/>
        </w:rPr>
      </w:pPr>
      <w:r w:rsidRPr="00C67F33">
        <w:rPr>
          <w:rFonts w:ascii="Times New Roman" w:hAnsi="Times New Roman"/>
          <w:sz w:val="24"/>
          <w:szCs w:val="24"/>
        </w:rPr>
        <w:t xml:space="preserve">където </w:t>
      </w:r>
      <m:oMath>
        <m:sSub>
          <m:sSubPr>
            <m:ctrlPr>
              <w:rPr>
                <w:rFonts w:ascii="Cambria Math" w:hAnsi="Cambria Math"/>
                <w:sz w:val="24"/>
                <w:szCs w:val="24"/>
              </w:rPr>
            </m:ctrlPr>
          </m:sSubPr>
          <m:e>
            <m:r>
              <w:rPr>
                <w:rFonts w:ascii="Cambria Math" w:hAnsi="Cambria Math"/>
                <w:sz w:val="24"/>
                <w:szCs w:val="24"/>
              </w:rPr>
              <m:t>Z</m:t>
            </m:r>
          </m:e>
          <m:sub>
            <m:r>
              <w:rPr>
                <w:rFonts w:ascii="Cambria Math" w:hAnsi="Cambria Math"/>
                <w:sz w:val="24"/>
                <w:szCs w:val="24"/>
              </w:rPr>
              <m:t>ik</m:t>
            </m:r>
          </m:sub>
        </m:sSub>
      </m:oMath>
      <w:r w:rsidR="00D76BC3" w:rsidRPr="00C67F33">
        <w:rPr>
          <w:rFonts w:ascii="Times New Roman" w:hAnsi="Times New Roman"/>
          <w:sz w:val="24"/>
          <w:szCs w:val="24"/>
        </w:rPr>
        <w:t xml:space="preserve"> </w:t>
      </w:r>
      <w:r w:rsidRPr="00C67F33">
        <w:rPr>
          <w:rFonts w:ascii="Times New Roman" w:hAnsi="Times New Roman"/>
          <w:sz w:val="24"/>
          <w:szCs w:val="24"/>
        </w:rPr>
        <w:t xml:space="preserve">са нормализираните показатели по отделните измерения, а </w:t>
      </w:r>
      <m:oMath>
        <m:r>
          <w:rPr>
            <w:rFonts w:ascii="Cambria Math" w:hAnsi="Cambria Math"/>
            <w:sz w:val="24"/>
            <w:szCs w:val="24"/>
          </w:rPr>
          <m:t>N</m:t>
        </m:r>
      </m:oMath>
      <w:r w:rsidRPr="00C67F33">
        <w:rPr>
          <w:rFonts w:ascii="Times New Roman" w:hAnsi="Times New Roman"/>
          <w:sz w:val="24"/>
          <w:szCs w:val="24"/>
        </w:rPr>
        <w:t>е броят на включените фактори. По-високите стойности на скоровете показват по-благоприятна комбинация от оценка, рентабилност, растеж и качество, докато по-ниските отразяват относителна слабост на компанията.</w:t>
      </w:r>
    </w:p>
    <w:p w14:paraId="48A76150" w14:textId="5AAB6F2A" w:rsidR="00875FBF" w:rsidRPr="00C67F33" w:rsidRDefault="00875FBF" w:rsidP="008F041D">
      <w:pPr>
        <w:spacing w:after="0" w:line="240" w:lineRule="auto"/>
        <w:ind w:firstLine="708"/>
        <w:jc w:val="center"/>
        <w:rPr>
          <w:rFonts w:ascii="Times New Roman" w:hAnsi="Times New Roman"/>
          <w:i/>
          <w:iCs/>
          <w:sz w:val="24"/>
          <w:szCs w:val="24"/>
        </w:rPr>
      </w:pPr>
      <w:r w:rsidRPr="00C67F33">
        <w:rPr>
          <w:rFonts w:ascii="Times New Roman" w:hAnsi="Times New Roman"/>
          <w:i/>
          <w:iCs/>
          <w:sz w:val="24"/>
          <w:szCs w:val="24"/>
        </w:rPr>
        <w:t>Фигура 2</w:t>
      </w:r>
      <w:r w:rsidR="00AB2F05" w:rsidRPr="00C67F33">
        <w:rPr>
          <w:rFonts w:ascii="Times New Roman" w:hAnsi="Times New Roman"/>
          <w:i/>
          <w:iCs/>
          <w:sz w:val="24"/>
          <w:szCs w:val="24"/>
        </w:rPr>
        <w:t>.2</w:t>
      </w:r>
      <w:r w:rsidRPr="00C67F33">
        <w:rPr>
          <w:rFonts w:ascii="Times New Roman" w:hAnsi="Times New Roman"/>
          <w:i/>
          <w:iCs/>
          <w:sz w:val="24"/>
          <w:szCs w:val="24"/>
        </w:rPr>
        <w:t>.</w:t>
      </w:r>
      <w:r w:rsidR="00C36E87" w:rsidRPr="00C67F33">
        <w:t xml:space="preserve"> </w:t>
      </w:r>
      <w:r w:rsidR="002E6E9F" w:rsidRPr="00C67F33">
        <w:rPr>
          <w:rFonts w:ascii="Times New Roman" w:hAnsi="Times New Roman"/>
          <w:i/>
          <w:iCs/>
          <w:sz w:val="24"/>
          <w:szCs w:val="24"/>
        </w:rPr>
        <w:t>Корелации между фундаменталните показатели (матрица на z-score)</w:t>
      </w:r>
    </w:p>
    <w:p w14:paraId="1A25D234" w14:textId="6A620CCA" w:rsidR="00495856" w:rsidRPr="00C67F33" w:rsidRDefault="00495856" w:rsidP="00002703">
      <w:pPr>
        <w:spacing w:line="360" w:lineRule="auto"/>
        <w:ind w:firstLine="708"/>
        <w:jc w:val="center"/>
        <w:rPr>
          <w:rFonts w:ascii="Times New Roman" w:hAnsi="Times New Roman"/>
          <w:sz w:val="24"/>
          <w:szCs w:val="24"/>
        </w:rPr>
      </w:pPr>
      <w:r w:rsidRPr="00C67F33">
        <w:rPr>
          <w:rFonts w:ascii="Times New Roman" w:hAnsi="Times New Roman"/>
          <w:noProof/>
          <w:sz w:val="24"/>
          <w:szCs w:val="24"/>
        </w:rPr>
        <w:lastRenderedPageBreak/>
        <w:drawing>
          <wp:inline distT="0" distB="0" distL="0" distR="0" wp14:anchorId="218F304F" wp14:editId="2A6B6903">
            <wp:extent cx="4164920" cy="3332120"/>
            <wp:effectExtent l="0" t="0" r="7620" b="1905"/>
            <wp:docPr id="1847285089" name="Picture 2" descr="A colorful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85089" name="Picture 2" descr="A colorful squares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205" cy="3338749"/>
                    </a:xfrm>
                    <a:prstGeom prst="rect">
                      <a:avLst/>
                    </a:prstGeom>
                    <a:noFill/>
                    <a:ln>
                      <a:noFill/>
                    </a:ln>
                  </pic:spPr>
                </pic:pic>
              </a:graphicData>
            </a:graphic>
          </wp:inline>
        </w:drawing>
      </w:r>
    </w:p>
    <w:p w14:paraId="390A80F7" w14:textId="73EA2419" w:rsidR="00D04B9A" w:rsidRPr="00FE35A9" w:rsidRDefault="00057B6F" w:rsidP="00EC0031">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 xml:space="preserve">2.3. </w:t>
      </w:r>
      <w:r w:rsidR="00061132" w:rsidRPr="00FE35A9">
        <w:rPr>
          <w:rFonts w:ascii="Times New Roman" w:hAnsi="Times New Roman"/>
          <w:b/>
          <w:bCs/>
          <w:sz w:val="24"/>
          <w:szCs w:val="24"/>
        </w:rPr>
        <w:t>Моделиране на очакваната доходност (алфа)</w:t>
      </w:r>
    </w:p>
    <w:p w14:paraId="4059D161" w14:textId="77777777" w:rsidR="00D01BD1" w:rsidRPr="00C67F33" w:rsidRDefault="00D01BD1" w:rsidP="00D01BD1">
      <w:pPr>
        <w:spacing w:line="360" w:lineRule="auto"/>
        <w:ind w:firstLine="708"/>
        <w:jc w:val="both"/>
        <w:rPr>
          <w:rFonts w:ascii="Times New Roman" w:hAnsi="Times New Roman"/>
          <w:sz w:val="24"/>
          <w:szCs w:val="24"/>
        </w:rPr>
      </w:pPr>
      <w:r w:rsidRPr="00C67F33">
        <w:rPr>
          <w:rFonts w:ascii="Times New Roman" w:hAnsi="Times New Roman"/>
          <w:sz w:val="24"/>
          <w:szCs w:val="24"/>
        </w:rPr>
        <w:t>След изчисляването на композитния фундаментален скор за всяка компания, следващата стъпка е неговото преобразуване в очаквана доходност. В рамките на пазарно неутралната стратегия скорът се разглежда като индикатор за относителна превъзходна доходност (</w:t>
      </w:r>
      <w:r w:rsidRPr="00C67F33">
        <w:rPr>
          <w:rFonts w:ascii="Times New Roman" w:hAnsi="Times New Roman"/>
          <w:i/>
          <w:iCs/>
          <w:sz w:val="24"/>
          <w:szCs w:val="24"/>
        </w:rPr>
        <w:t>cross-sectional alpha</w:t>
      </w:r>
      <w:r w:rsidRPr="00C67F33">
        <w:rPr>
          <w:rFonts w:ascii="Times New Roman" w:hAnsi="Times New Roman"/>
          <w:sz w:val="24"/>
          <w:szCs w:val="24"/>
        </w:rPr>
        <w:t>), показваща кои акции имат по-добри перспективи за представяне спрямо останалите в извадката.</w:t>
      </w:r>
    </w:p>
    <w:p w14:paraId="50C23B66" w14:textId="77777777" w:rsidR="00D01BD1" w:rsidRPr="00C67F33" w:rsidRDefault="00D01BD1" w:rsidP="00D01BD1">
      <w:pPr>
        <w:spacing w:line="360" w:lineRule="auto"/>
        <w:ind w:firstLine="708"/>
        <w:jc w:val="both"/>
        <w:rPr>
          <w:rFonts w:ascii="Times New Roman" w:hAnsi="Times New Roman"/>
          <w:sz w:val="24"/>
          <w:szCs w:val="24"/>
        </w:rPr>
      </w:pPr>
      <w:r w:rsidRPr="00C67F33">
        <w:rPr>
          <w:rFonts w:ascii="Times New Roman" w:hAnsi="Times New Roman"/>
          <w:sz w:val="24"/>
          <w:szCs w:val="24"/>
        </w:rPr>
        <w:t>Основната хипотеза е, че компаниите с по-висок фундаментален скор реализират по-висока доходност в следващия период. В най-опростен вид връзката може да се представи чрез линейна зависимост:</w:t>
      </w:r>
    </w:p>
    <w:p w14:paraId="3F0078F8" w14:textId="3E2A32C2" w:rsidR="00EC0031" w:rsidRPr="00C67F33" w:rsidRDefault="00EC0031" w:rsidP="00EC0031">
      <w:pPr>
        <w:spacing w:line="360" w:lineRule="auto"/>
        <w:ind w:firstLine="708"/>
        <w:jc w:val="both"/>
        <w:rPr>
          <w:rFonts w:ascii="Times New Roman" w:hAnsi="Times New Roman"/>
          <w:sz w:val="24"/>
          <w:szCs w:val="24"/>
        </w:rPr>
      </w:pPr>
      <m:oMathPara>
        <m:oMath>
          <m:r>
            <w:rPr>
              <w:rFonts w:ascii="Cambria Math" w:hAnsi="Cambria Math"/>
              <w:sz w:val="24"/>
              <w:szCs w:val="24"/>
            </w:rPr>
            <m:t>E[</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i,t+1</m:t>
              </m:r>
            </m:sub>
          </m:sSub>
          <m:r>
            <w:rPr>
              <w:rFonts w:ascii="Cambria Math" w:hAnsi="Cambria Math"/>
              <w:sz w:val="24"/>
              <w:szCs w:val="24"/>
            </w:rPr>
            <m:t>]=α+β⋅Scor</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m:oMathPara>
    </w:p>
    <w:p w14:paraId="5E562812" w14:textId="2A4C1521" w:rsidR="00D01BD1" w:rsidRPr="00C67F33" w:rsidRDefault="00EC0031" w:rsidP="00EC003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където </w:t>
      </w: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i,t+1</m:t>
            </m:r>
          </m:sub>
        </m:sSub>
      </m:oMath>
      <w:r w:rsidR="00EE763A" w:rsidRPr="00C67F33">
        <w:rPr>
          <w:rFonts w:ascii="Times New Roman" w:hAnsi="Times New Roman"/>
          <w:sz w:val="24"/>
          <w:szCs w:val="24"/>
        </w:rPr>
        <w:t xml:space="preserve"> </w:t>
      </w:r>
      <w:r w:rsidR="00D01BD1" w:rsidRPr="00C67F33">
        <w:rPr>
          <w:rFonts w:ascii="Times New Roman" w:hAnsi="Times New Roman"/>
          <w:sz w:val="24"/>
          <w:szCs w:val="24"/>
        </w:rPr>
        <w:t xml:space="preserve">е доходността на акцията </w:t>
      </w:r>
      <w:r w:rsidR="00D01BD1" w:rsidRPr="00C67F33">
        <w:rPr>
          <w:rFonts w:ascii="Times New Roman" w:hAnsi="Times New Roman"/>
          <w:i/>
          <w:iCs/>
          <w:sz w:val="24"/>
          <w:szCs w:val="24"/>
        </w:rPr>
        <w:t>i</w:t>
      </w:r>
      <w:r w:rsidR="00D01BD1" w:rsidRPr="00C67F33">
        <w:rPr>
          <w:rFonts w:ascii="Times New Roman" w:hAnsi="Times New Roman"/>
          <w:sz w:val="24"/>
          <w:szCs w:val="24"/>
        </w:rPr>
        <w:t xml:space="preserve"> в следващия период, а </w:t>
      </w:r>
      <m:oMath>
        <m:r>
          <w:rPr>
            <w:rFonts w:ascii="Cambria Math" w:hAnsi="Cambria Math"/>
            <w:sz w:val="24"/>
            <w:szCs w:val="24"/>
          </w:rPr>
          <m:t>Scor</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i,t</m:t>
            </m:r>
          </m:sub>
        </m:sSub>
      </m:oMath>
      <w:r w:rsidR="00D01BD1" w:rsidRPr="00C67F33">
        <w:rPr>
          <w:rFonts w:ascii="Times New Roman" w:hAnsi="Times New Roman"/>
          <w:sz w:val="24"/>
          <w:szCs w:val="24"/>
        </w:rPr>
        <w:t xml:space="preserve"> — нейният фундаментален скор.</w:t>
      </w:r>
    </w:p>
    <w:p w14:paraId="08C7F2A0" w14:textId="77777777" w:rsidR="00A33D38" w:rsidRPr="00C67F33" w:rsidRDefault="00A33D38" w:rsidP="00A33D38">
      <w:pPr>
        <w:spacing w:line="360" w:lineRule="auto"/>
        <w:ind w:firstLine="708"/>
        <w:jc w:val="both"/>
        <w:rPr>
          <w:rFonts w:ascii="Times New Roman" w:hAnsi="Times New Roman"/>
          <w:sz w:val="24"/>
          <w:szCs w:val="24"/>
        </w:rPr>
      </w:pPr>
      <w:r w:rsidRPr="00C67F33">
        <w:rPr>
          <w:rFonts w:ascii="Times New Roman" w:hAnsi="Times New Roman"/>
          <w:sz w:val="24"/>
          <w:szCs w:val="24"/>
        </w:rPr>
        <w:t>За количествена оценка на тази зависимост се използва подход, вдъхновен от Фама–Макбет (Fama–MacBeth, 1973), при който доходностите на компаниите се регресират спрямо фундаменталните им характеристики за всеки отделен период, а средните стойности на коефициентите описват стабилността на връзката във времето.</w:t>
      </w:r>
    </w:p>
    <w:p w14:paraId="79B3AB61" w14:textId="77777777" w:rsidR="00A33D38" w:rsidRPr="00C67F33" w:rsidRDefault="00A33D38" w:rsidP="00A33D38">
      <w:pPr>
        <w:spacing w:line="360" w:lineRule="auto"/>
        <w:ind w:firstLine="708"/>
        <w:jc w:val="both"/>
        <w:rPr>
          <w:rFonts w:ascii="Times New Roman" w:hAnsi="Times New Roman"/>
          <w:sz w:val="24"/>
          <w:szCs w:val="24"/>
        </w:rPr>
      </w:pPr>
      <w:r w:rsidRPr="00C67F33">
        <w:rPr>
          <w:rFonts w:ascii="Times New Roman" w:hAnsi="Times New Roman"/>
          <w:sz w:val="24"/>
          <w:szCs w:val="24"/>
        </w:rPr>
        <w:lastRenderedPageBreak/>
        <w:t xml:space="preserve">В допълнение, за повишаване на устойчивостта на резултатите е приложена регуляризация от типа </w:t>
      </w:r>
      <w:r w:rsidRPr="00C67F33">
        <w:rPr>
          <w:rFonts w:ascii="Times New Roman" w:hAnsi="Times New Roman"/>
          <w:i/>
          <w:iCs/>
          <w:sz w:val="24"/>
          <w:szCs w:val="24"/>
        </w:rPr>
        <w:t>Lasso</w:t>
      </w:r>
      <w:r w:rsidRPr="00C67F33">
        <w:rPr>
          <w:rFonts w:ascii="Times New Roman" w:hAnsi="Times New Roman"/>
          <w:sz w:val="24"/>
          <w:szCs w:val="24"/>
        </w:rPr>
        <w:t>, която ограничава влиянието на слабоинформативни фактори и позволява по-ясно разграничаване на значимите променливи.</w:t>
      </w:r>
    </w:p>
    <w:p w14:paraId="7CC29E79" w14:textId="77777777" w:rsidR="00A33D38" w:rsidRPr="00C67F33" w:rsidRDefault="00A33D38" w:rsidP="00A33D38">
      <w:pPr>
        <w:spacing w:line="360" w:lineRule="auto"/>
        <w:ind w:firstLine="708"/>
        <w:jc w:val="both"/>
        <w:rPr>
          <w:rFonts w:ascii="Times New Roman" w:hAnsi="Times New Roman"/>
          <w:sz w:val="24"/>
          <w:szCs w:val="24"/>
        </w:rPr>
      </w:pPr>
      <w:r w:rsidRPr="00C67F33">
        <w:rPr>
          <w:rFonts w:ascii="Times New Roman" w:hAnsi="Times New Roman"/>
          <w:sz w:val="24"/>
          <w:szCs w:val="24"/>
        </w:rPr>
        <w:t>След това доходностите се разлагат спрямо факторен модел от типа на Фама–Френч, който контролира експозициите към основните стилови фактори — пазар, размер, стойност и моментум. Това позволява да се отдели „чистата“ алфа, която отразява ефекта на фундаменталните сигнали, а не на общите пазарни движения.</w:t>
      </w:r>
    </w:p>
    <w:p w14:paraId="23ABABB6" w14:textId="24495801" w:rsidR="00EC0031" w:rsidRPr="00C67F33" w:rsidRDefault="00A33D38" w:rsidP="00A33D38">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За симулиране на реална инвестиционна среда се прилага </w:t>
      </w:r>
      <w:r w:rsidRPr="00C67F33">
        <w:rPr>
          <w:rFonts w:ascii="Times New Roman" w:hAnsi="Times New Roman"/>
          <w:i/>
          <w:iCs/>
          <w:sz w:val="24"/>
          <w:szCs w:val="24"/>
        </w:rPr>
        <w:t>walk-forward</w:t>
      </w:r>
      <w:r w:rsidRPr="00C67F33">
        <w:rPr>
          <w:rFonts w:ascii="Times New Roman" w:hAnsi="Times New Roman"/>
          <w:sz w:val="24"/>
          <w:szCs w:val="24"/>
        </w:rPr>
        <w:t xml:space="preserve"> процедура, при която моделът се обучава върху минали данни и се тества върху следващи под-периоди. Получените резултати показват последователна положителна връзка между композитния скор и реализираната доходност, което потвърждава предсказателната стойност на използвания фундаментален модел.</w:t>
      </w:r>
    </w:p>
    <w:p w14:paraId="4A064FA9" w14:textId="2D08028D" w:rsidR="00864F73" w:rsidRPr="00C67F33" w:rsidRDefault="00864F73" w:rsidP="00173383">
      <w:pPr>
        <w:spacing w:after="0" w:line="240" w:lineRule="auto"/>
        <w:ind w:firstLine="708"/>
        <w:jc w:val="center"/>
        <w:rPr>
          <w:rFonts w:ascii="Times New Roman" w:hAnsi="Times New Roman"/>
          <w:sz w:val="24"/>
          <w:szCs w:val="24"/>
        </w:rPr>
      </w:pPr>
      <w:r w:rsidRPr="00C67F33">
        <w:rPr>
          <w:rFonts w:ascii="Times New Roman" w:hAnsi="Times New Roman"/>
          <w:i/>
          <w:iCs/>
          <w:sz w:val="24"/>
          <w:szCs w:val="24"/>
        </w:rPr>
        <w:t>Фигура 2.3.</w:t>
      </w:r>
      <w:r w:rsidRPr="00C67F33">
        <w:rPr>
          <w:rFonts w:ascii="Times New Roman" w:hAnsi="Times New Roman"/>
          <w:sz w:val="24"/>
          <w:szCs w:val="24"/>
        </w:rPr>
        <w:t xml:space="preserve"> </w:t>
      </w:r>
      <w:r w:rsidRPr="00C67F33">
        <w:rPr>
          <w:rFonts w:ascii="Times New Roman" w:hAnsi="Times New Roman"/>
          <w:i/>
          <w:iCs/>
          <w:sz w:val="24"/>
          <w:szCs w:val="24"/>
        </w:rPr>
        <w:t>Схематично представяне на процеса по моделиране на очакваната доходност</w:t>
      </w:r>
    </w:p>
    <w:p w14:paraId="7D79FFC4" w14:textId="77D7D1A0" w:rsidR="00864F73" w:rsidRPr="00C67F33" w:rsidRDefault="00864F73" w:rsidP="00E04EFB">
      <w:pPr>
        <w:spacing w:line="360" w:lineRule="auto"/>
        <w:ind w:firstLine="708"/>
        <w:rPr>
          <w:rFonts w:ascii="Times New Roman" w:hAnsi="Times New Roman"/>
          <w:sz w:val="24"/>
          <w:szCs w:val="24"/>
        </w:rPr>
      </w:pPr>
      <w:r w:rsidRPr="00C67F33">
        <w:rPr>
          <w:rFonts w:ascii="Times New Roman" w:hAnsi="Times New Roman"/>
          <w:noProof/>
          <w:sz w:val="24"/>
          <w:szCs w:val="24"/>
        </w:rPr>
        <w:drawing>
          <wp:inline distT="0" distB="0" distL="0" distR="0" wp14:anchorId="64F6AFB0" wp14:editId="35681407">
            <wp:extent cx="5305245" cy="1256489"/>
            <wp:effectExtent l="0" t="0" r="0" b="1270"/>
            <wp:docPr id="20509814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999" cy="1261878"/>
                    </a:xfrm>
                    <a:prstGeom prst="rect">
                      <a:avLst/>
                    </a:prstGeom>
                    <a:noFill/>
                    <a:ln>
                      <a:noFill/>
                    </a:ln>
                  </pic:spPr>
                </pic:pic>
              </a:graphicData>
            </a:graphic>
          </wp:inline>
        </w:drawing>
      </w:r>
    </w:p>
    <w:p w14:paraId="6A4898AD" w14:textId="5A1F4A80" w:rsidR="00D04B9A" w:rsidRPr="00C67F33" w:rsidRDefault="00791009" w:rsidP="00791009">
      <w:pPr>
        <w:spacing w:line="360" w:lineRule="auto"/>
        <w:ind w:firstLine="708"/>
        <w:jc w:val="both"/>
        <w:rPr>
          <w:rFonts w:ascii="Times New Roman" w:hAnsi="Times New Roman"/>
          <w:sz w:val="24"/>
          <w:szCs w:val="24"/>
        </w:rPr>
      </w:pPr>
      <w:r w:rsidRPr="00C67F33">
        <w:rPr>
          <w:rFonts w:ascii="Times New Roman" w:hAnsi="Times New Roman"/>
          <w:sz w:val="24"/>
          <w:szCs w:val="24"/>
        </w:rPr>
        <w:t>2.4. Конструиране на пазарно неутралния long/short портфейл</w:t>
      </w:r>
    </w:p>
    <w:p w14:paraId="3CE4C92E" w14:textId="77777777" w:rsidR="00AD157D" w:rsidRPr="00C67F33" w:rsidRDefault="00AD157D" w:rsidP="00AD157D">
      <w:pPr>
        <w:spacing w:line="360" w:lineRule="auto"/>
        <w:ind w:firstLine="708"/>
        <w:jc w:val="both"/>
        <w:rPr>
          <w:rFonts w:ascii="Times New Roman" w:hAnsi="Times New Roman"/>
          <w:sz w:val="24"/>
          <w:szCs w:val="24"/>
        </w:rPr>
      </w:pPr>
      <w:r w:rsidRPr="00C67F33">
        <w:rPr>
          <w:rFonts w:ascii="Times New Roman" w:hAnsi="Times New Roman"/>
          <w:sz w:val="24"/>
          <w:szCs w:val="24"/>
        </w:rPr>
        <w:t>На основата на изчислените композитни фундаментални скорове се изгражда пазарно неутрален портфейл от акции, при който доходността се извлича от относителните разлики във фундаменталната оценка между компаниите, а не от общото движение на пазара. Основната цел е да се изолира ефектът на подценените и надценените дружества, като експозицията спрямо пазарния риск остава балансирана.</w:t>
      </w:r>
    </w:p>
    <w:p w14:paraId="3006D097" w14:textId="77777777" w:rsidR="00AD157D" w:rsidRPr="00C67F33" w:rsidRDefault="00AD157D" w:rsidP="00AD157D">
      <w:pPr>
        <w:spacing w:line="360" w:lineRule="auto"/>
        <w:ind w:firstLine="708"/>
        <w:jc w:val="both"/>
        <w:rPr>
          <w:rFonts w:ascii="Times New Roman" w:hAnsi="Times New Roman"/>
          <w:sz w:val="24"/>
          <w:szCs w:val="24"/>
        </w:rPr>
      </w:pPr>
      <w:r w:rsidRPr="00C67F33">
        <w:rPr>
          <w:rFonts w:ascii="Times New Roman" w:hAnsi="Times New Roman"/>
          <w:sz w:val="24"/>
          <w:szCs w:val="24"/>
        </w:rPr>
        <w:t>Компаниите се подреждат по низходящ ред според стойността на композитния скор. На тази основа се формират две симетрични кошници:</w:t>
      </w:r>
    </w:p>
    <w:p w14:paraId="107CF365" w14:textId="77777777" w:rsidR="00AD157D" w:rsidRPr="00C67F33" w:rsidRDefault="00AD157D" w:rsidP="00AD157D">
      <w:pPr>
        <w:numPr>
          <w:ilvl w:val="0"/>
          <w:numId w:val="38"/>
        </w:numPr>
        <w:spacing w:line="360" w:lineRule="auto"/>
        <w:jc w:val="both"/>
        <w:rPr>
          <w:rFonts w:ascii="Times New Roman" w:hAnsi="Times New Roman"/>
          <w:sz w:val="24"/>
          <w:szCs w:val="24"/>
        </w:rPr>
      </w:pPr>
      <w:r w:rsidRPr="00C67F33">
        <w:rPr>
          <w:rFonts w:ascii="Times New Roman" w:hAnsi="Times New Roman"/>
          <w:b/>
          <w:bCs/>
          <w:sz w:val="24"/>
          <w:szCs w:val="24"/>
        </w:rPr>
        <w:t>Long портфейл</w:t>
      </w:r>
      <w:r w:rsidRPr="00C67F33">
        <w:rPr>
          <w:rFonts w:ascii="Times New Roman" w:hAnsi="Times New Roman"/>
          <w:sz w:val="24"/>
          <w:szCs w:val="24"/>
        </w:rPr>
        <w:t xml:space="preserve"> – включва 20% от компаниите с най-високи скорове, характеризиращи се с привлекателна оценка, стабилна рентабилност и добър финансов профил.</w:t>
      </w:r>
    </w:p>
    <w:p w14:paraId="2492288F" w14:textId="77777777" w:rsidR="00AD157D" w:rsidRPr="00C67F33" w:rsidRDefault="00AD157D" w:rsidP="00AD157D">
      <w:pPr>
        <w:numPr>
          <w:ilvl w:val="0"/>
          <w:numId w:val="38"/>
        </w:numPr>
        <w:spacing w:line="360" w:lineRule="auto"/>
        <w:jc w:val="both"/>
        <w:rPr>
          <w:rFonts w:ascii="Times New Roman" w:hAnsi="Times New Roman"/>
          <w:sz w:val="24"/>
          <w:szCs w:val="24"/>
        </w:rPr>
      </w:pPr>
      <w:r w:rsidRPr="00C67F33">
        <w:rPr>
          <w:rFonts w:ascii="Times New Roman" w:hAnsi="Times New Roman"/>
          <w:b/>
          <w:bCs/>
          <w:sz w:val="24"/>
          <w:szCs w:val="24"/>
        </w:rPr>
        <w:lastRenderedPageBreak/>
        <w:t>Short портфейл</w:t>
      </w:r>
      <w:r w:rsidRPr="00C67F33">
        <w:rPr>
          <w:rFonts w:ascii="Times New Roman" w:hAnsi="Times New Roman"/>
          <w:sz w:val="24"/>
          <w:szCs w:val="24"/>
        </w:rPr>
        <w:t xml:space="preserve"> – съдържа 20% от компаниите с най-ниски скорове, често отличаващи се с по-високи нива на задлъжнялост или по-слаба ефективност.</w:t>
      </w:r>
    </w:p>
    <w:p w14:paraId="162AB8A3" w14:textId="77777777" w:rsidR="00AD157D" w:rsidRPr="00C67F33" w:rsidRDefault="00AD157D" w:rsidP="00AD157D">
      <w:pPr>
        <w:spacing w:line="360" w:lineRule="auto"/>
        <w:ind w:firstLine="708"/>
        <w:jc w:val="both"/>
        <w:rPr>
          <w:rFonts w:ascii="Times New Roman" w:hAnsi="Times New Roman"/>
          <w:sz w:val="24"/>
          <w:szCs w:val="24"/>
        </w:rPr>
      </w:pPr>
      <w:r w:rsidRPr="00C67F33">
        <w:rPr>
          <w:rFonts w:ascii="Times New Roman" w:hAnsi="Times New Roman"/>
          <w:sz w:val="24"/>
          <w:szCs w:val="24"/>
        </w:rPr>
        <w:t>Двете кошници се комбинират в единна структура, при която сумарната дълга и къса експозиция са приблизително равни. Това осигурява пазарна неутралност – портфейлът не зависи от общата посока на пазара, а от относителното представяне между отделните позиции.</w:t>
      </w:r>
    </w:p>
    <w:p w14:paraId="7FFA1203" w14:textId="77777777" w:rsidR="00AD157D" w:rsidRPr="00C67F33" w:rsidRDefault="00AD157D" w:rsidP="00AD157D">
      <w:pPr>
        <w:spacing w:line="360" w:lineRule="auto"/>
        <w:ind w:firstLine="708"/>
        <w:jc w:val="both"/>
        <w:rPr>
          <w:rFonts w:ascii="Times New Roman" w:hAnsi="Times New Roman"/>
          <w:sz w:val="24"/>
          <w:szCs w:val="24"/>
        </w:rPr>
      </w:pPr>
      <w:r w:rsidRPr="00C67F33">
        <w:rPr>
          <w:rFonts w:ascii="Times New Roman" w:hAnsi="Times New Roman"/>
          <w:sz w:val="24"/>
          <w:szCs w:val="24"/>
        </w:rPr>
        <w:t>Секторната балансираност се постига чрез равномерно разпределение на теглата по индустрии, така че в дългата и късата част да не доминира определен сектор. По този начин се намалява влиянието на структурни различия между отраслите и се запазва чистотата на фундаменталните сигнали.</w:t>
      </w:r>
    </w:p>
    <w:p w14:paraId="37920443" w14:textId="77777777" w:rsidR="00AD157D" w:rsidRPr="00C67F33" w:rsidRDefault="00AD157D" w:rsidP="00AD157D">
      <w:pPr>
        <w:spacing w:line="360" w:lineRule="auto"/>
        <w:ind w:firstLine="708"/>
        <w:jc w:val="both"/>
        <w:rPr>
          <w:rFonts w:ascii="Times New Roman" w:hAnsi="Times New Roman"/>
          <w:sz w:val="24"/>
          <w:szCs w:val="24"/>
        </w:rPr>
      </w:pPr>
      <w:r w:rsidRPr="00C67F33">
        <w:rPr>
          <w:rFonts w:ascii="Times New Roman" w:hAnsi="Times New Roman"/>
          <w:sz w:val="24"/>
          <w:szCs w:val="24"/>
        </w:rPr>
        <w:t>Ребалансирането се извършва на тримесечна база, като при всяка итерация се актуализират фундаменталните показатели и се преизчисляват скоровете. Позициите се обновяват само при съществена промяна в класирането (например ±10% промяна в скор), което ограничава излишните транзакции и поддържа стабилност на стратегията.</w:t>
      </w:r>
    </w:p>
    <w:p w14:paraId="0BA5870B" w14:textId="21045423" w:rsidR="00AD157D" w:rsidRPr="00C67F33" w:rsidRDefault="00AD157D" w:rsidP="00AD157D">
      <w:pPr>
        <w:spacing w:line="360" w:lineRule="auto"/>
        <w:ind w:firstLine="708"/>
        <w:jc w:val="both"/>
        <w:rPr>
          <w:rFonts w:ascii="Times New Roman" w:hAnsi="Times New Roman"/>
          <w:sz w:val="24"/>
          <w:szCs w:val="24"/>
        </w:rPr>
      </w:pPr>
      <w:r w:rsidRPr="00C67F33">
        <w:rPr>
          <w:rFonts w:ascii="Times New Roman" w:hAnsi="Times New Roman"/>
          <w:sz w:val="24"/>
          <w:szCs w:val="24"/>
        </w:rPr>
        <w:t>В резултат, полученият портфейл представлява балансирана конструкция от дълги и къси позиции, която улавя относителната сила на избраните компании и предлага устойчив профил на доходност при контролирано ниво на риск.</w:t>
      </w:r>
    </w:p>
    <w:p w14:paraId="79C5DBBA" w14:textId="7CDBA7A5" w:rsidR="00A1029B" w:rsidRPr="00C67F33" w:rsidRDefault="00A1029B" w:rsidP="00A1029B">
      <w:pPr>
        <w:spacing w:line="360" w:lineRule="auto"/>
        <w:ind w:firstLine="708"/>
        <w:jc w:val="both"/>
        <w:rPr>
          <w:rFonts w:ascii="Times New Roman" w:hAnsi="Times New Roman"/>
          <w:sz w:val="24"/>
          <w:szCs w:val="24"/>
        </w:rPr>
      </w:pPr>
      <w:r w:rsidRPr="00C67F33">
        <w:rPr>
          <w:rFonts w:ascii="Times New Roman" w:hAnsi="Times New Roman"/>
          <w:sz w:val="24"/>
          <w:szCs w:val="24"/>
        </w:rPr>
        <w:t>След прилагането на описаната процедура за класиране и селекция на компаниите се формира първият пазарно неутрален портфейл. Дългата и късата кошница включват по 30 акции, избрани съответно от горния и долния квинтил на композитния фундаментален скор. Полученото разпределение отразява балансирана структура по индустрии и пазарна капитализация, при приблизително равни тегла на дългите и късите експозиции. Обобщените характеристики на този портфейл са представени в таблицата по-долу.</w:t>
      </w:r>
    </w:p>
    <w:p w14:paraId="7008F3C9" w14:textId="18A7E9B3" w:rsidR="00E60D78" w:rsidRPr="00C67F33" w:rsidRDefault="00C76499" w:rsidP="00E60D78">
      <w:pPr>
        <w:spacing w:line="360" w:lineRule="auto"/>
        <w:ind w:firstLine="708"/>
        <w:jc w:val="center"/>
        <w:rPr>
          <w:rFonts w:ascii="Times New Roman" w:hAnsi="Times New Roman"/>
          <w:i/>
          <w:iCs/>
          <w:sz w:val="24"/>
          <w:szCs w:val="24"/>
        </w:rPr>
      </w:pPr>
      <w:r w:rsidRPr="00C67F33">
        <w:rPr>
          <w:rFonts w:ascii="Times New Roman" w:hAnsi="Times New Roman"/>
          <w:i/>
          <w:iCs/>
          <w:sz w:val="24"/>
          <w:szCs w:val="24"/>
        </w:rPr>
        <w:t xml:space="preserve">Таблица 3. </w:t>
      </w:r>
      <w:r w:rsidR="003375A6" w:rsidRPr="00C67F33">
        <w:rPr>
          <w:rFonts w:ascii="Times New Roman" w:hAnsi="Times New Roman"/>
          <w:i/>
          <w:iCs/>
          <w:sz w:val="24"/>
          <w:szCs w:val="24"/>
        </w:rPr>
        <w:t>Състав и характеристики на пазарно неутралния портфейл при първо ребалансиране</w:t>
      </w:r>
    </w:p>
    <w:tbl>
      <w:tblPr>
        <w:tblStyle w:val="TableGrid"/>
        <w:tblW w:w="0" w:type="auto"/>
        <w:tblLook w:val="04A0" w:firstRow="1" w:lastRow="0" w:firstColumn="1" w:lastColumn="0" w:noHBand="0" w:noVBand="1"/>
      </w:tblPr>
      <w:tblGrid>
        <w:gridCol w:w="2733"/>
        <w:gridCol w:w="3297"/>
        <w:gridCol w:w="3032"/>
      </w:tblGrid>
      <w:tr w:rsidR="003375A6" w:rsidRPr="00C67F33" w14:paraId="0C3445FE" w14:textId="77777777" w:rsidTr="003375A6">
        <w:tc>
          <w:tcPr>
            <w:tcW w:w="0" w:type="auto"/>
            <w:hideMark/>
          </w:tcPr>
          <w:p w14:paraId="72F364EB" w14:textId="77777777" w:rsidR="003375A6" w:rsidRPr="00C67F33" w:rsidRDefault="003375A6" w:rsidP="003375A6">
            <w:pPr>
              <w:spacing w:line="360" w:lineRule="auto"/>
              <w:rPr>
                <w:rFonts w:ascii="Times New Roman" w:hAnsi="Times New Roman"/>
                <w:b/>
                <w:bCs/>
                <w:sz w:val="24"/>
                <w:szCs w:val="24"/>
              </w:rPr>
            </w:pPr>
            <w:r w:rsidRPr="00C67F33">
              <w:rPr>
                <w:rFonts w:ascii="Times New Roman" w:hAnsi="Times New Roman"/>
                <w:b/>
                <w:bCs/>
                <w:sz w:val="24"/>
                <w:szCs w:val="24"/>
              </w:rPr>
              <w:t>Показател</w:t>
            </w:r>
          </w:p>
        </w:tc>
        <w:tc>
          <w:tcPr>
            <w:tcW w:w="0" w:type="auto"/>
            <w:hideMark/>
          </w:tcPr>
          <w:p w14:paraId="7E737C06" w14:textId="77777777" w:rsidR="003375A6" w:rsidRPr="00C67F33" w:rsidRDefault="003375A6" w:rsidP="003375A6">
            <w:pPr>
              <w:spacing w:line="360" w:lineRule="auto"/>
              <w:rPr>
                <w:rFonts w:ascii="Times New Roman" w:hAnsi="Times New Roman"/>
                <w:b/>
                <w:bCs/>
                <w:sz w:val="24"/>
                <w:szCs w:val="24"/>
              </w:rPr>
            </w:pPr>
            <w:r w:rsidRPr="00C67F33">
              <w:rPr>
                <w:rFonts w:ascii="Times New Roman" w:hAnsi="Times New Roman"/>
                <w:b/>
                <w:bCs/>
                <w:sz w:val="24"/>
                <w:szCs w:val="24"/>
              </w:rPr>
              <w:t>Long портфейл (Top 20 %)</w:t>
            </w:r>
          </w:p>
        </w:tc>
        <w:tc>
          <w:tcPr>
            <w:tcW w:w="0" w:type="auto"/>
            <w:hideMark/>
          </w:tcPr>
          <w:p w14:paraId="2F69E2F3" w14:textId="77777777" w:rsidR="003375A6" w:rsidRPr="00C67F33" w:rsidRDefault="003375A6" w:rsidP="003375A6">
            <w:pPr>
              <w:spacing w:line="360" w:lineRule="auto"/>
              <w:rPr>
                <w:rFonts w:ascii="Times New Roman" w:hAnsi="Times New Roman"/>
                <w:b/>
                <w:bCs/>
                <w:sz w:val="24"/>
                <w:szCs w:val="24"/>
              </w:rPr>
            </w:pPr>
            <w:r w:rsidRPr="00C67F33">
              <w:rPr>
                <w:rFonts w:ascii="Times New Roman" w:hAnsi="Times New Roman"/>
                <w:b/>
                <w:bCs/>
                <w:sz w:val="24"/>
                <w:szCs w:val="24"/>
              </w:rPr>
              <w:t>Short портфейл (Bottom 20 %)</w:t>
            </w:r>
          </w:p>
        </w:tc>
      </w:tr>
      <w:tr w:rsidR="003375A6" w:rsidRPr="00C67F33" w14:paraId="7564525F" w14:textId="77777777" w:rsidTr="003375A6">
        <w:tc>
          <w:tcPr>
            <w:tcW w:w="0" w:type="auto"/>
            <w:hideMark/>
          </w:tcPr>
          <w:p w14:paraId="4C6DE036"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Брой компании</w:t>
            </w:r>
          </w:p>
        </w:tc>
        <w:tc>
          <w:tcPr>
            <w:tcW w:w="0" w:type="auto"/>
            <w:hideMark/>
          </w:tcPr>
          <w:p w14:paraId="2E3F67A3"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30</w:t>
            </w:r>
          </w:p>
        </w:tc>
        <w:tc>
          <w:tcPr>
            <w:tcW w:w="0" w:type="auto"/>
            <w:hideMark/>
          </w:tcPr>
          <w:p w14:paraId="5177A0E5"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30</w:t>
            </w:r>
          </w:p>
        </w:tc>
      </w:tr>
      <w:tr w:rsidR="003375A6" w:rsidRPr="00C67F33" w14:paraId="7FF83A63" w14:textId="77777777" w:rsidTr="003375A6">
        <w:tc>
          <w:tcPr>
            <w:tcW w:w="0" w:type="auto"/>
            <w:hideMark/>
          </w:tcPr>
          <w:p w14:paraId="24B8F6E8"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lastRenderedPageBreak/>
              <w:t>Среден композитен скор</w:t>
            </w:r>
          </w:p>
        </w:tc>
        <w:tc>
          <w:tcPr>
            <w:tcW w:w="0" w:type="auto"/>
            <w:hideMark/>
          </w:tcPr>
          <w:p w14:paraId="66E4E770"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+0.90</w:t>
            </w:r>
          </w:p>
        </w:tc>
        <w:tc>
          <w:tcPr>
            <w:tcW w:w="0" w:type="auto"/>
            <w:hideMark/>
          </w:tcPr>
          <w:p w14:paraId="768FA6A0"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–1.02</w:t>
            </w:r>
          </w:p>
        </w:tc>
      </w:tr>
      <w:tr w:rsidR="003375A6" w:rsidRPr="00C67F33" w14:paraId="345A469C" w14:textId="77777777" w:rsidTr="003375A6">
        <w:tc>
          <w:tcPr>
            <w:tcW w:w="0" w:type="auto"/>
            <w:hideMark/>
          </w:tcPr>
          <w:p w14:paraId="70E4E850"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Средно тегло на позиция</w:t>
            </w:r>
          </w:p>
        </w:tc>
        <w:tc>
          <w:tcPr>
            <w:tcW w:w="0" w:type="auto"/>
            <w:hideMark/>
          </w:tcPr>
          <w:p w14:paraId="18B14B1D"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+0.033</w:t>
            </w:r>
          </w:p>
        </w:tc>
        <w:tc>
          <w:tcPr>
            <w:tcW w:w="0" w:type="auto"/>
            <w:hideMark/>
          </w:tcPr>
          <w:p w14:paraId="649B495C"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–0.033</w:t>
            </w:r>
          </w:p>
        </w:tc>
      </w:tr>
      <w:tr w:rsidR="003375A6" w:rsidRPr="00C67F33" w14:paraId="1276DAD8" w14:textId="77777777" w:rsidTr="003375A6">
        <w:tc>
          <w:tcPr>
            <w:tcW w:w="0" w:type="auto"/>
            <w:hideMark/>
          </w:tcPr>
          <w:p w14:paraId="06538FA3"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Средна пазарна капитализация (€ млрд.)</w:t>
            </w:r>
          </w:p>
        </w:tc>
        <w:tc>
          <w:tcPr>
            <w:tcW w:w="0" w:type="auto"/>
            <w:hideMark/>
          </w:tcPr>
          <w:p w14:paraId="4EBA2633"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45.2</w:t>
            </w:r>
          </w:p>
        </w:tc>
        <w:tc>
          <w:tcPr>
            <w:tcW w:w="0" w:type="auto"/>
            <w:hideMark/>
          </w:tcPr>
          <w:p w14:paraId="56583F07"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42.8</w:t>
            </w:r>
          </w:p>
        </w:tc>
      </w:tr>
      <w:tr w:rsidR="003375A6" w:rsidRPr="00C67F33" w14:paraId="13FEEA6D" w14:textId="77777777" w:rsidTr="003375A6">
        <w:tc>
          <w:tcPr>
            <w:tcW w:w="0" w:type="auto"/>
            <w:hideMark/>
          </w:tcPr>
          <w:p w14:paraId="74B64823" w14:textId="29C317D9"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Среден ROE</w:t>
            </w:r>
          </w:p>
        </w:tc>
        <w:tc>
          <w:tcPr>
            <w:tcW w:w="0" w:type="auto"/>
            <w:hideMark/>
          </w:tcPr>
          <w:p w14:paraId="0FFA6559"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13.6 %</w:t>
            </w:r>
          </w:p>
        </w:tc>
        <w:tc>
          <w:tcPr>
            <w:tcW w:w="0" w:type="auto"/>
            <w:hideMark/>
          </w:tcPr>
          <w:p w14:paraId="140EB9E9"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8.2 %</w:t>
            </w:r>
          </w:p>
        </w:tc>
      </w:tr>
      <w:tr w:rsidR="003375A6" w:rsidRPr="00C67F33" w14:paraId="6315C7C3" w14:textId="77777777" w:rsidTr="003375A6">
        <w:tc>
          <w:tcPr>
            <w:tcW w:w="0" w:type="auto"/>
            <w:hideMark/>
          </w:tcPr>
          <w:p w14:paraId="357415B7"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Среден дълг/капитал</w:t>
            </w:r>
          </w:p>
        </w:tc>
        <w:tc>
          <w:tcPr>
            <w:tcW w:w="0" w:type="auto"/>
            <w:hideMark/>
          </w:tcPr>
          <w:p w14:paraId="4171D736"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0.48</w:t>
            </w:r>
          </w:p>
        </w:tc>
        <w:tc>
          <w:tcPr>
            <w:tcW w:w="0" w:type="auto"/>
            <w:hideMark/>
          </w:tcPr>
          <w:p w14:paraId="475A0244"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0.81</w:t>
            </w:r>
          </w:p>
        </w:tc>
      </w:tr>
      <w:tr w:rsidR="003375A6" w:rsidRPr="00C67F33" w14:paraId="4311DE0C" w14:textId="77777777" w:rsidTr="003375A6">
        <w:tc>
          <w:tcPr>
            <w:tcW w:w="0" w:type="auto"/>
            <w:hideMark/>
          </w:tcPr>
          <w:p w14:paraId="559D749B"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Водещи сектори</w:t>
            </w:r>
          </w:p>
        </w:tc>
        <w:tc>
          <w:tcPr>
            <w:tcW w:w="0" w:type="auto"/>
            <w:hideMark/>
          </w:tcPr>
          <w:p w14:paraId="148F4650"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Финансови услуги (банки, застраховане), Индустрия, Здравеопазване</w:t>
            </w:r>
          </w:p>
        </w:tc>
        <w:tc>
          <w:tcPr>
            <w:tcW w:w="0" w:type="auto"/>
            <w:hideMark/>
          </w:tcPr>
          <w:p w14:paraId="57892308"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Индустрия, Енергетика, Финансови услуги</w:t>
            </w:r>
          </w:p>
        </w:tc>
      </w:tr>
      <w:tr w:rsidR="003375A6" w:rsidRPr="00C67F33" w14:paraId="5D7E4126" w14:textId="77777777" w:rsidTr="003375A6">
        <w:tc>
          <w:tcPr>
            <w:tcW w:w="0" w:type="auto"/>
            <w:hideMark/>
          </w:tcPr>
          <w:p w14:paraId="1F803AAB"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Основни примери</w:t>
            </w:r>
          </w:p>
        </w:tc>
        <w:tc>
          <w:tcPr>
            <w:tcW w:w="0" w:type="auto"/>
            <w:hideMark/>
          </w:tcPr>
          <w:p w14:paraId="15577077"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Unicaja Banco S.A., Telefónica S.A., Novo Nordisk A/S, Engie S.A.</w:t>
            </w:r>
          </w:p>
        </w:tc>
        <w:tc>
          <w:tcPr>
            <w:tcW w:w="0" w:type="auto"/>
            <w:hideMark/>
          </w:tcPr>
          <w:p w14:paraId="56823D80"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Rolls-Royce Holdings plc, BP p.l.c., AstraZeneca PLC, Galp Energia S.A.</w:t>
            </w:r>
          </w:p>
        </w:tc>
      </w:tr>
      <w:tr w:rsidR="003375A6" w:rsidRPr="00C67F33" w14:paraId="2F261A96" w14:textId="77777777" w:rsidTr="003375A6">
        <w:tc>
          <w:tcPr>
            <w:tcW w:w="0" w:type="auto"/>
            <w:hideMark/>
          </w:tcPr>
          <w:p w14:paraId="4F962CFD"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b/>
                <w:bCs/>
                <w:sz w:val="24"/>
                <w:szCs w:val="24"/>
              </w:rPr>
              <w:t>Характеристика</w:t>
            </w:r>
          </w:p>
        </w:tc>
        <w:tc>
          <w:tcPr>
            <w:tcW w:w="0" w:type="auto"/>
            <w:hideMark/>
          </w:tcPr>
          <w:p w14:paraId="4F48CC1D"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Компании с висока рентабилност и стабилен паричен поток</w:t>
            </w:r>
          </w:p>
        </w:tc>
        <w:tc>
          <w:tcPr>
            <w:tcW w:w="0" w:type="auto"/>
            <w:hideMark/>
          </w:tcPr>
          <w:p w14:paraId="36CB4515" w14:textId="77777777" w:rsidR="003375A6" w:rsidRPr="00C67F33" w:rsidRDefault="003375A6" w:rsidP="003375A6">
            <w:pPr>
              <w:spacing w:line="360" w:lineRule="auto"/>
              <w:rPr>
                <w:rFonts w:ascii="Times New Roman" w:hAnsi="Times New Roman"/>
                <w:sz w:val="24"/>
                <w:szCs w:val="24"/>
              </w:rPr>
            </w:pPr>
            <w:r w:rsidRPr="00C67F33">
              <w:rPr>
                <w:rFonts w:ascii="Times New Roman" w:hAnsi="Times New Roman"/>
                <w:sz w:val="24"/>
                <w:szCs w:val="24"/>
              </w:rPr>
              <w:t>Надценени или по-слабо ефективни компании с по-висок риск</w:t>
            </w:r>
          </w:p>
        </w:tc>
      </w:tr>
    </w:tbl>
    <w:p w14:paraId="7B9B560B" w14:textId="1935B451" w:rsidR="00FB2A54" w:rsidRPr="00C67F33" w:rsidRDefault="00E60D78" w:rsidP="00E60D78">
      <w:pPr>
        <w:spacing w:line="360" w:lineRule="auto"/>
        <w:ind w:firstLine="708"/>
        <w:rPr>
          <w:rFonts w:ascii="Times New Roman" w:hAnsi="Times New Roman"/>
          <w:sz w:val="24"/>
          <w:szCs w:val="24"/>
        </w:rPr>
      </w:pPr>
      <w:r w:rsidRPr="00C67F33">
        <w:rPr>
          <w:rFonts w:ascii="Times New Roman" w:hAnsi="Times New Roman"/>
          <w:sz w:val="24"/>
          <w:szCs w:val="24"/>
        </w:rPr>
        <w:t xml:space="preserve"> </w:t>
      </w:r>
      <w:r w:rsidR="00EB1A4B" w:rsidRPr="00C67F33">
        <w:rPr>
          <w:rFonts w:ascii="Times New Roman" w:hAnsi="Times New Roman"/>
          <w:sz w:val="24"/>
          <w:szCs w:val="24"/>
        </w:rPr>
        <w:t xml:space="preserve">Таблица 3 обобщава резултатите от първото ребалансиране на портфейла. В дългата кошница преобладават финансови и индустриални компании със стабилна доходност и по-ниски нива на задлъжнялост. Късата кошница включва дружества с по-слаба рентабилност и по-висок ливъридж, концентрирани основно в енергетиката и тежката индустрия. Балансът по тегла гарантира пазарна неутралност, като експозицията на дългата и късата част е приблизително равна. Пълният списък с всички 60 компании е представен в </w:t>
      </w:r>
      <w:r w:rsidR="000065E8">
        <w:rPr>
          <w:rFonts w:ascii="Times New Roman" w:hAnsi="Times New Roman"/>
          <w:sz w:val="24"/>
          <w:szCs w:val="24"/>
        </w:rPr>
        <w:t>Приложение 1.</w:t>
      </w:r>
    </w:p>
    <w:p w14:paraId="142DFF95" w14:textId="5DD626CC" w:rsidR="006F40AE" w:rsidRPr="000065E8" w:rsidRDefault="00057B6F" w:rsidP="00F800AC">
      <w:pPr>
        <w:spacing w:line="360" w:lineRule="auto"/>
        <w:ind w:firstLine="708"/>
        <w:jc w:val="both"/>
        <w:rPr>
          <w:rFonts w:ascii="Times New Roman" w:hAnsi="Times New Roman"/>
          <w:b/>
          <w:bCs/>
          <w:sz w:val="24"/>
          <w:szCs w:val="24"/>
        </w:rPr>
      </w:pPr>
      <w:r w:rsidRPr="000065E8">
        <w:rPr>
          <w:rFonts w:ascii="Times New Roman" w:hAnsi="Times New Roman"/>
          <w:b/>
          <w:bCs/>
          <w:sz w:val="24"/>
          <w:szCs w:val="24"/>
        </w:rPr>
        <w:t xml:space="preserve">2.5. </w:t>
      </w:r>
      <w:r w:rsidR="00061132" w:rsidRPr="000065E8">
        <w:rPr>
          <w:rFonts w:ascii="Times New Roman" w:hAnsi="Times New Roman"/>
          <w:b/>
          <w:bCs/>
          <w:sz w:val="24"/>
          <w:szCs w:val="24"/>
        </w:rPr>
        <w:t>Метрики за оценка на ефективността</w:t>
      </w:r>
    </w:p>
    <w:p w14:paraId="3DE82C16" w14:textId="77777777" w:rsidR="00DE75C5" w:rsidRPr="00C67F33" w:rsidRDefault="00DE75C5" w:rsidP="00DE75C5">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След конструирането на пазарно неутралния портфейл е необходимо да се оцени неговата ефективност чрез набор от количествени показатели, които измерват както реализираната доходност, така и поетия риск. Подходът следва класическата рамка на </w:t>
      </w:r>
      <w:r w:rsidRPr="00C67F33">
        <w:rPr>
          <w:rFonts w:ascii="Times New Roman" w:hAnsi="Times New Roman"/>
          <w:sz w:val="24"/>
          <w:szCs w:val="24"/>
        </w:rPr>
        <w:lastRenderedPageBreak/>
        <w:t>портфейлния анализ, като комбинира абсолютни и относителни метрики, съобразени с целите на стратегията.</w:t>
      </w:r>
    </w:p>
    <w:p w14:paraId="0EF015FF" w14:textId="77777777" w:rsidR="00DE75C5" w:rsidRPr="00C67F33" w:rsidRDefault="00DE75C5" w:rsidP="00DE75C5">
      <w:pPr>
        <w:spacing w:line="360" w:lineRule="auto"/>
        <w:ind w:firstLine="708"/>
        <w:jc w:val="both"/>
        <w:rPr>
          <w:rFonts w:ascii="Times New Roman" w:hAnsi="Times New Roman"/>
          <w:sz w:val="24"/>
          <w:szCs w:val="24"/>
        </w:rPr>
      </w:pPr>
      <w:r w:rsidRPr="00C67F33">
        <w:rPr>
          <w:rFonts w:ascii="Times New Roman" w:hAnsi="Times New Roman"/>
          <w:sz w:val="24"/>
          <w:szCs w:val="24"/>
        </w:rPr>
        <w:t>Първата група показатели включва основните измерители на доходност и риск. Изчисляват се средната годишна доходност и стандартното отклонение за целия анализиран период, както и коефициентът на Шарп (Sharpe ratio), който показва колко единици излишна доходност се реализират на единица риск. Тази метрика служи като основен индикатор за общата ефективност на портфейла.</w:t>
      </w:r>
    </w:p>
    <w:p w14:paraId="2B888E7C" w14:textId="77777777" w:rsidR="00DE75C5" w:rsidRPr="00C67F33" w:rsidRDefault="00DE75C5" w:rsidP="00DE75C5">
      <w:pPr>
        <w:spacing w:line="360" w:lineRule="auto"/>
        <w:ind w:firstLine="708"/>
        <w:jc w:val="both"/>
        <w:rPr>
          <w:rFonts w:ascii="Times New Roman" w:hAnsi="Times New Roman"/>
          <w:sz w:val="24"/>
          <w:szCs w:val="24"/>
        </w:rPr>
      </w:pPr>
      <w:r w:rsidRPr="00C67F33">
        <w:rPr>
          <w:rFonts w:ascii="Times New Roman" w:hAnsi="Times New Roman"/>
          <w:sz w:val="24"/>
          <w:szCs w:val="24"/>
        </w:rPr>
        <w:t>Втората група отразява представянето спрямо референтния индекс STOXX Europe 600. Използват се Information ratio – съотношение между свръхдоходността и нейната волатилност, както и Jensen’s alpha, която измерва добавената стойност над доходността, обяснена от пазарния риск. Паралелно се оценява бета-коефициентът спрямо индекса, за да се потвърди, че портфейлът остава пазарно неутрален.</w:t>
      </w:r>
    </w:p>
    <w:p w14:paraId="30CF0363" w14:textId="77777777" w:rsidR="00DE75C5" w:rsidRPr="00C67F33" w:rsidRDefault="00DE75C5" w:rsidP="00DE75C5">
      <w:pPr>
        <w:spacing w:line="360" w:lineRule="auto"/>
        <w:ind w:firstLine="708"/>
        <w:jc w:val="both"/>
        <w:rPr>
          <w:rFonts w:ascii="Times New Roman" w:hAnsi="Times New Roman"/>
          <w:sz w:val="24"/>
          <w:szCs w:val="24"/>
        </w:rPr>
      </w:pPr>
      <w:r w:rsidRPr="00C67F33">
        <w:rPr>
          <w:rFonts w:ascii="Times New Roman" w:hAnsi="Times New Roman"/>
          <w:sz w:val="24"/>
          <w:szCs w:val="24"/>
        </w:rPr>
        <w:t>Следващият етап проверява факторната неутралност на стратегията. Провежда се регресионен анализ на доходностите спрямо класическите стилови фактори – стойност (value), размер (size), инерция (momentum) и качество (quality). Липсата на значими експозиции показва, че реализираната доходност произтича основно от избраните фундаментални сигнали, а не от систематични пазарни наклонности.</w:t>
      </w:r>
    </w:p>
    <w:p w14:paraId="10C1CCBA" w14:textId="77777777" w:rsidR="00DE75C5" w:rsidRPr="00C67F33" w:rsidRDefault="00DE75C5" w:rsidP="00DE75C5">
      <w:pPr>
        <w:spacing w:line="360" w:lineRule="auto"/>
        <w:ind w:firstLine="708"/>
        <w:jc w:val="both"/>
        <w:rPr>
          <w:rFonts w:ascii="Times New Roman" w:hAnsi="Times New Roman"/>
          <w:sz w:val="24"/>
          <w:szCs w:val="24"/>
        </w:rPr>
      </w:pPr>
      <w:r w:rsidRPr="00C67F33">
        <w:rPr>
          <w:rFonts w:ascii="Times New Roman" w:hAnsi="Times New Roman"/>
          <w:sz w:val="24"/>
          <w:szCs w:val="24"/>
        </w:rPr>
        <w:t>Оценката на риска се допълва от агрегирани мерки като Value-at-Risk (VaR), Conditional Value-at-Risk (CVaR) и максимален спад (maximum drawdown), които дават ориентир за потенциалните загуби при неблагоприятни пазарни условия. За по-реалистична оценка се вземат предвид и транзакционните разходи, като се отчита оборотът на портфейла и се изчислява нетната доходност след приспадане на спредове и комисиони.</w:t>
      </w:r>
    </w:p>
    <w:p w14:paraId="3804E2E1" w14:textId="64C6A98C" w:rsidR="00F800AC" w:rsidRPr="00C67F33" w:rsidRDefault="00DE75C5" w:rsidP="00DE75C5">
      <w:pPr>
        <w:spacing w:line="360" w:lineRule="auto"/>
        <w:ind w:firstLine="708"/>
        <w:jc w:val="both"/>
        <w:rPr>
          <w:rFonts w:ascii="Times New Roman" w:hAnsi="Times New Roman"/>
          <w:sz w:val="24"/>
          <w:szCs w:val="24"/>
        </w:rPr>
      </w:pPr>
      <w:r w:rsidRPr="00C67F33">
        <w:rPr>
          <w:rFonts w:ascii="Times New Roman" w:hAnsi="Times New Roman"/>
          <w:sz w:val="24"/>
          <w:szCs w:val="24"/>
        </w:rPr>
        <w:t>Системата от тези показатели позволява пълна и последователна оценка на стратегията – както по отношение на абсолютната ѝ ефективност, така и спрямо пазарните и стиловите фактори. Обобщените резултати от този анализ са представени в следващата глава, посветена на емпиричните резултати и тестовете на модела.</w:t>
      </w:r>
    </w:p>
    <w:p w14:paraId="4E3B7853" w14:textId="77777777" w:rsidR="00806528" w:rsidRPr="00C67F33" w:rsidRDefault="00806528">
      <w:pPr>
        <w:spacing w:after="0" w:line="240" w:lineRule="auto"/>
        <w:rPr>
          <w:rFonts w:ascii="Times New Roman" w:hAnsi="Times New Roman"/>
          <w:b/>
          <w:bCs/>
          <w:sz w:val="24"/>
          <w:szCs w:val="24"/>
        </w:rPr>
      </w:pPr>
      <w:r w:rsidRPr="00C67F33">
        <w:rPr>
          <w:rFonts w:ascii="Times New Roman" w:hAnsi="Times New Roman"/>
          <w:b/>
          <w:bCs/>
          <w:sz w:val="24"/>
          <w:szCs w:val="24"/>
        </w:rPr>
        <w:br w:type="page"/>
      </w:r>
    </w:p>
    <w:p w14:paraId="3831B5B4" w14:textId="6657B805" w:rsidR="00057B6F" w:rsidRPr="00C67F33" w:rsidRDefault="00057B6F" w:rsidP="00057B6F">
      <w:pPr>
        <w:spacing w:line="360" w:lineRule="auto"/>
        <w:ind w:firstLine="708"/>
        <w:jc w:val="both"/>
        <w:rPr>
          <w:rFonts w:ascii="Times New Roman" w:hAnsi="Times New Roman"/>
          <w:b/>
          <w:bCs/>
          <w:sz w:val="24"/>
          <w:szCs w:val="24"/>
        </w:rPr>
      </w:pPr>
      <w:r w:rsidRPr="00C67F33">
        <w:rPr>
          <w:rFonts w:ascii="Times New Roman" w:hAnsi="Times New Roman"/>
          <w:b/>
          <w:bCs/>
          <w:sz w:val="24"/>
          <w:szCs w:val="24"/>
        </w:rPr>
        <w:lastRenderedPageBreak/>
        <w:t>Глава 3. Представяне и анализ на резултатите от емпиричното изследване</w:t>
      </w:r>
    </w:p>
    <w:p w14:paraId="66149B0C" w14:textId="55CE4D30" w:rsidR="00057B6F" w:rsidRPr="00FE35A9" w:rsidRDefault="00057B6F" w:rsidP="00057B6F">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 xml:space="preserve">3.1. </w:t>
      </w:r>
      <w:r w:rsidR="00C07E97" w:rsidRPr="00FE35A9">
        <w:rPr>
          <w:rFonts w:ascii="Times New Roman" w:hAnsi="Times New Roman"/>
          <w:b/>
          <w:bCs/>
          <w:sz w:val="24"/>
          <w:szCs w:val="24"/>
        </w:rPr>
        <w:t>Описание на извадката и разпределението на фундаменталните показатели</w:t>
      </w:r>
    </w:p>
    <w:p w14:paraId="78B656A5" w14:textId="77777777" w:rsidR="006E424E" w:rsidRPr="006E424E" w:rsidRDefault="006E424E" w:rsidP="006E424E">
      <w:pPr>
        <w:spacing w:line="360" w:lineRule="auto"/>
        <w:ind w:firstLine="708"/>
        <w:jc w:val="both"/>
        <w:rPr>
          <w:rFonts w:ascii="Times New Roman" w:hAnsi="Times New Roman"/>
          <w:sz w:val="24"/>
          <w:szCs w:val="24"/>
        </w:rPr>
      </w:pPr>
      <w:r w:rsidRPr="006E424E">
        <w:rPr>
          <w:rFonts w:ascii="Times New Roman" w:hAnsi="Times New Roman"/>
          <w:sz w:val="24"/>
          <w:szCs w:val="24"/>
        </w:rPr>
        <w:t>Емпиричният анализ използва финалната извадка от приблизително 60 дружества от STOXX Europe 600 (филтри по минимална капитализация, свободно търгуем флоут и наличност на данни), за които са изчислени индустриално неутрализирани z-score показатели и композитен фундаментален скор. Нормализацията по индустрии редуцира систематичните различия между отрасли със специфична капиталова структура и цикличност, а агрегирането в композитен скор позволява комбинация на стойност, рентабилност, качество и растеж в единна скала.</w:t>
      </w:r>
    </w:p>
    <w:p w14:paraId="0626F946" w14:textId="77777777" w:rsidR="006E424E" w:rsidRPr="006E424E" w:rsidRDefault="006E424E" w:rsidP="006E424E">
      <w:pPr>
        <w:spacing w:line="360" w:lineRule="auto"/>
        <w:ind w:firstLine="708"/>
        <w:jc w:val="both"/>
        <w:rPr>
          <w:rFonts w:ascii="Times New Roman" w:hAnsi="Times New Roman"/>
          <w:sz w:val="24"/>
          <w:szCs w:val="24"/>
        </w:rPr>
      </w:pPr>
      <w:r w:rsidRPr="006E424E">
        <w:rPr>
          <w:rFonts w:ascii="Times New Roman" w:hAnsi="Times New Roman"/>
          <w:sz w:val="24"/>
          <w:szCs w:val="24"/>
        </w:rPr>
        <w:t>Разпределението на ключовите нормализирани показатели е приблизително симетрично и без прекомерни опашки след winsorize/стандартизиране; корелационната структура между домейните е умерена (напр. value и quality са слабо отрицателно корелирани, growth има ниска до умерена корелация с останалите). Хистограмата на композитния/нормализирания показател (Фигура 3.1) показва центрирано около нулата разпределение с единична модалност, което е благоприятно за рангово селектиране в квинтили/децили.</w:t>
      </w:r>
    </w:p>
    <w:p w14:paraId="460EC3D2" w14:textId="70A4585F" w:rsidR="0013055B" w:rsidRDefault="0013055B" w:rsidP="0013055B">
      <w:pPr>
        <w:spacing w:line="360" w:lineRule="auto"/>
        <w:ind w:firstLine="708"/>
        <w:jc w:val="both"/>
        <w:rPr>
          <w:rFonts w:ascii="Times New Roman" w:hAnsi="Times New Roman"/>
          <w:sz w:val="24"/>
          <w:szCs w:val="24"/>
        </w:rPr>
      </w:pPr>
      <w:r w:rsidRPr="00C67F33">
        <w:rPr>
          <w:rFonts w:ascii="Times New Roman" w:hAnsi="Times New Roman"/>
          <w:noProof/>
          <w:sz w:val="24"/>
          <w:szCs w:val="24"/>
        </w:rPr>
        <w:drawing>
          <wp:inline distT="0" distB="0" distL="0" distR="0" wp14:anchorId="216FB731" wp14:editId="05CA0CD2">
            <wp:extent cx="4765675" cy="3152427"/>
            <wp:effectExtent l="0" t="0" r="0" b="0"/>
            <wp:docPr id="1561593863" name="Picture 2" descr="A graph with numbers and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93863" name="Picture 2" descr="A graph with numbers and a blue li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4196" cy="3158064"/>
                    </a:xfrm>
                    <a:prstGeom prst="rect">
                      <a:avLst/>
                    </a:prstGeom>
                    <a:noFill/>
                    <a:ln>
                      <a:noFill/>
                    </a:ln>
                  </pic:spPr>
                </pic:pic>
              </a:graphicData>
            </a:graphic>
          </wp:inline>
        </w:drawing>
      </w:r>
    </w:p>
    <w:p w14:paraId="52FDB759" w14:textId="77777777" w:rsidR="00FE35A9" w:rsidRPr="00C67F33" w:rsidRDefault="00FE35A9" w:rsidP="00FE35A9">
      <w:pPr>
        <w:spacing w:line="360" w:lineRule="auto"/>
        <w:ind w:firstLine="708"/>
        <w:jc w:val="both"/>
        <w:rPr>
          <w:rFonts w:ascii="Times New Roman" w:hAnsi="Times New Roman"/>
          <w:sz w:val="24"/>
          <w:szCs w:val="24"/>
        </w:rPr>
      </w:pPr>
      <w:r w:rsidRPr="006E424E">
        <w:rPr>
          <w:rFonts w:ascii="Times New Roman" w:hAnsi="Times New Roman"/>
          <w:sz w:val="24"/>
          <w:szCs w:val="24"/>
        </w:rPr>
        <w:t>Фигура 3.1</w:t>
      </w:r>
      <w:r>
        <w:rPr>
          <w:rFonts w:ascii="Times New Roman" w:hAnsi="Times New Roman"/>
          <w:sz w:val="24"/>
          <w:szCs w:val="24"/>
        </w:rPr>
        <w:t xml:space="preserve">. </w:t>
      </w:r>
      <w:r w:rsidRPr="006E424E">
        <w:rPr>
          <w:rFonts w:ascii="Times New Roman" w:hAnsi="Times New Roman"/>
          <w:sz w:val="24"/>
          <w:szCs w:val="24"/>
        </w:rPr>
        <w:t>Разпределение на композитния/нормализиран показател</w:t>
      </w:r>
    </w:p>
    <w:p w14:paraId="7D1666D3" w14:textId="6A6FA45A" w:rsidR="00476005" w:rsidRPr="00C67F33" w:rsidRDefault="00476005" w:rsidP="00FE35A9">
      <w:pPr>
        <w:spacing w:line="360" w:lineRule="auto"/>
        <w:jc w:val="center"/>
        <w:rPr>
          <w:rFonts w:ascii="Times New Roman" w:hAnsi="Times New Roman"/>
          <w:sz w:val="24"/>
          <w:szCs w:val="24"/>
        </w:rPr>
      </w:pPr>
      <w:r w:rsidRPr="00C67F33">
        <w:rPr>
          <w:rFonts w:ascii="Times New Roman" w:hAnsi="Times New Roman"/>
          <w:sz w:val="24"/>
          <w:szCs w:val="24"/>
        </w:rPr>
        <w:lastRenderedPageBreak/>
        <w:t>Таблица 3.1.B. обобщени статистики на z-показатели</w:t>
      </w:r>
    </w:p>
    <w:tbl>
      <w:tblPr>
        <w:tblStyle w:val="TableGrid"/>
        <w:tblW w:w="0" w:type="auto"/>
        <w:tblLook w:val="04A0" w:firstRow="1" w:lastRow="0" w:firstColumn="1" w:lastColumn="0" w:noHBand="0" w:noVBand="1"/>
      </w:tblPr>
      <w:tblGrid>
        <w:gridCol w:w="1776"/>
        <w:gridCol w:w="975"/>
        <w:gridCol w:w="2960"/>
      </w:tblGrid>
      <w:tr w:rsidR="00476005" w:rsidRPr="00476005" w14:paraId="5CFCD021" w14:textId="77777777" w:rsidTr="00476005">
        <w:tc>
          <w:tcPr>
            <w:tcW w:w="0" w:type="auto"/>
            <w:hideMark/>
          </w:tcPr>
          <w:p w14:paraId="5F73A7C2" w14:textId="77777777" w:rsidR="00476005" w:rsidRPr="00476005" w:rsidRDefault="00476005" w:rsidP="00476005">
            <w:pPr>
              <w:spacing w:line="360" w:lineRule="auto"/>
              <w:jc w:val="both"/>
              <w:rPr>
                <w:rFonts w:ascii="Times New Roman" w:hAnsi="Times New Roman"/>
                <w:b/>
                <w:bCs/>
                <w:i/>
                <w:iCs/>
                <w:sz w:val="24"/>
                <w:szCs w:val="24"/>
              </w:rPr>
            </w:pPr>
            <w:r w:rsidRPr="00476005">
              <w:rPr>
                <w:rFonts w:ascii="Times New Roman" w:hAnsi="Times New Roman"/>
                <w:b/>
                <w:bCs/>
                <w:i/>
                <w:iCs/>
                <w:sz w:val="24"/>
                <w:szCs w:val="24"/>
              </w:rPr>
              <w:t>Показател</w:t>
            </w:r>
          </w:p>
        </w:tc>
        <w:tc>
          <w:tcPr>
            <w:tcW w:w="0" w:type="auto"/>
            <w:hideMark/>
          </w:tcPr>
          <w:p w14:paraId="72F7A819" w14:textId="77777777" w:rsidR="00476005" w:rsidRPr="00476005" w:rsidRDefault="00476005" w:rsidP="00476005">
            <w:pPr>
              <w:spacing w:line="360" w:lineRule="auto"/>
              <w:jc w:val="both"/>
              <w:rPr>
                <w:rFonts w:ascii="Times New Roman" w:hAnsi="Times New Roman"/>
                <w:b/>
                <w:bCs/>
                <w:i/>
                <w:iCs/>
                <w:sz w:val="24"/>
                <w:szCs w:val="24"/>
              </w:rPr>
            </w:pPr>
            <w:r w:rsidRPr="00476005">
              <w:rPr>
                <w:rFonts w:ascii="Times New Roman" w:hAnsi="Times New Roman"/>
                <w:b/>
                <w:bCs/>
                <w:i/>
                <w:iCs/>
                <w:sz w:val="24"/>
                <w:szCs w:val="24"/>
              </w:rPr>
              <w:t>Средно</w:t>
            </w:r>
          </w:p>
        </w:tc>
        <w:tc>
          <w:tcPr>
            <w:tcW w:w="0" w:type="auto"/>
            <w:hideMark/>
          </w:tcPr>
          <w:p w14:paraId="21F8B321" w14:textId="77777777" w:rsidR="00476005" w:rsidRPr="00476005" w:rsidRDefault="00476005" w:rsidP="00476005">
            <w:pPr>
              <w:spacing w:line="360" w:lineRule="auto"/>
              <w:jc w:val="both"/>
              <w:rPr>
                <w:rFonts w:ascii="Times New Roman" w:hAnsi="Times New Roman"/>
                <w:b/>
                <w:bCs/>
                <w:i/>
                <w:iCs/>
                <w:sz w:val="24"/>
                <w:szCs w:val="24"/>
              </w:rPr>
            </w:pPr>
            <w:r w:rsidRPr="00476005">
              <w:rPr>
                <w:rFonts w:ascii="Times New Roman" w:hAnsi="Times New Roman"/>
                <w:b/>
                <w:bCs/>
                <w:i/>
                <w:iCs/>
                <w:sz w:val="24"/>
                <w:szCs w:val="24"/>
              </w:rPr>
              <w:t>Стандартно отклонение</w:t>
            </w:r>
          </w:p>
        </w:tc>
      </w:tr>
      <w:tr w:rsidR="00476005" w:rsidRPr="00476005" w14:paraId="7971707D" w14:textId="77777777" w:rsidTr="00476005">
        <w:tc>
          <w:tcPr>
            <w:tcW w:w="0" w:type="auto"/>
            <w:hideMark/>
          </w:tcPr>
          <w:p w14:paraId="69C96557"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z_count</w:t>
            </w:r>
          </w:p>
        </w:tc>
        <w:tc>
          <w:tcPr>
            <w:tcW w:w="0" w:type="auto"/>
            <w:hideMark/>
          </w:tcPr>
          <w:p w14:paraId="6E41B543"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3.10</w:t>
            </w:r>
          </w:p>
        </w:tc>
        <w:tc>
          <w:tcPr>
            <w:tcW w:w="0" w:type="auto"/>
            <w:hideMark/>
          </w:tcPr>
          <w:p w14:paraId="69D3B270"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1.30</w:t>
            </w:r>
          </w:p>
        </w:tc>
      </w:tr>
      <w:tr w:rsidR="00476005" w:rsidRPr="00476005" w14:paraId="221EBED0" w14:textId="77777777" w:rsidTr="00476005">
        <w:tc>
          <w:tcPr>
            <w:tcW w:w="0" w:type="auto"/>
            <w:hideMark/>
          </w:tcPr>
          <w:p w14:paraId="0FF56AA4"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z_roe</w:t>
            </w:r>
          </w:p>
        </w:tc>
        <w:tc>
          <w:tcPr>
            <w:tcW w:w="0" w:type="auto"/>
            <w:hideMark/>
          </w:tcPr>
          <w:p w14:paraId="5508D98A"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0.02</w:t>
            </w:r>
          </w:p>
        </w:tc>
        <w:tc>
          <w:tcPr>
            <w:tcW w:w="0" w:type="auto"/>
            <w:hideMark/>
          </w:tcPr>
          <w:p w14:paraId="4F8E534E"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0.98</w:t>
            </w:r>
          </w:p>
        </w:tc>
      </w:tr>
      <w:tr w:rsidR="00476005" w:rsidRPr="00476005" w14:paraId="7F252C97" w14:textId="77777777" w:rsidTr="00476005">
        <w:tc>
          <w:tcPr>
            <w:tcW w:w="0" w:type="auto"/>
            <w:hideMark/>
          </w:tcPr>
          <w:p w14:paraId="108B057C"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z_ocf_assets</w:t>
            </w:r>
          </w:p>
        </w:tc>
        <w:tc>
          <w:tcPr>
            <w:tcW w:w="0" w:type="auto"/>
            <w:hideMark/>
          </w:tcPr>
          <w:p w14:paraId="405E2A4F"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−0.03</w:t>
            </w:r>
          </w:p>
        </w:tc>
        <w:tc>
          <w:tcPr>
            <w:tcW w:w="0" w:type="auto"/>
            <w:hideMark/>
          </w:tcPr>
          <w:p w14:paraId="7789DE61"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1.05</w:t>
            </w:r>
          </w:p>
        </w:tc>
      </w:tr>
      <w:tr w:rsidR="00476005" w:rsidRPr="00476005" w14:paraId="18194307" w14:textId="77777777" w:rsidTr="00476005">
        <w:tc>
          <w:tcPr>
            <w:tcW w:w="0" w:type="auto"/>
            <w:hideMark/>
          </w:tcPr>
          <w:p w14:paraId="502C98B6"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z_btm</w:t>
            </w:r>
          </w:p>
        </w:tc>
        <w:tc>
          <w:tcPr>
            <w:tcW w:w="0" w:type="auto"/>
            <w:hideMark/>
          </w:tcPr>
          <w:p w14:paraId="59EB61B2"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0.01</w:t>
            </w:r>
          </w:p>
        </w:tc>
        <w:tc>
          <w:tcPr>
            <w:tcW w:w="0" w:type="auto"/>
            <w:hideMark/>
          </w:tcPr>
          <w:p w14:paraId="360FD2DD"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0.99</w:t>
            </w:r>
          </w:p>
        </w:tc>
      </w:tr>
      <w:tr w:rsidR="00476005" w:rsidRPr="00476005" w14:paraId="1A184341" w14:textId="77777777" w:rsidTr="00476005">
        <w:tc>
          <w:tcPr>
            <w:tcW w:w="0" w:type="auto"/>
            <w:hideMark/>
          </w:tcPr>
          <w:p w14:paraId="1C2D15BF"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z_sales_growth</w:t>
            </w:r>
          </w:p>
        </w:tc>
        <w:tc>
          <w:tcPr>
            <w:tcW w:w="0" w:type="auto"/>
            <w:hideMark/>
          </w:tcPr>
          <w:p w14:paraId="08A80EB1"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0.05</w:t>
            </w:r>
          </w:p>
        </w:tc>
        <w:tc>
          <w:tcPr>
            <w:tcW w:w="0" w:type="auto"/>
            <w:hideMark/>
          </w:tcPr>
          <w:p w14:paraId="324848A9"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1.10</w:t>
            </w:r>
          </w:p>
        </w:tc>
      </w:tr>
      <w:tr w:rsidR="00476005" w:rsidRPr="00476005" w14:paraId="6733201F" w14:textId="77777777" w:rsidTr="00476005">
        <w:tc>
          <w:tcPr>
            <w:tcW w:w="0" w:type="auto"/>
            <w:hideMark/>
          </w:tcPr>
          <w:p w14:paraId="2FD8CF82"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z_ev_ebitda_inv</w:t>
            </w:r>
          </w:p>
        </w:tc>
        <w:tc>
          <w:tcPr>
            <w:tcW w:w="0" w:type="auto"/>
            <w:hideMark/>
          </w:tcPr>
          <w:p w14:paraId="2B9D7F3A"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−0.04</w:t>
            </w:r>
          </w:p>
        </w:tc>
        <w:tc>
          <w:tcPr>
            <w:tcW w:w="0" w:type="auto"/>
            <w:hideMark/>
          </w:tcPr>
          <w:p w14:paraId="5426951B" w14:textId="77777777" w:rsidR="00476005" w:rsidRPr="00476005" w:rsidRDefault="00476005" w:rsidP="00476005">
            <w:pPr>
              <w:spacing w:line="360" w:lineRule="auto"/>
              <w:jc w:val="both"/>
              <w:rPr>
                <w:rFonts w:ascii="Times New Roman" w:hAnsi="Times New Roman"/>
                <w:i/>
                <w:iCs/>
                <w:sz w:val="24"/>
                <w:szCs w:val="24"/>
              </w:rPr>
            </w:pPr>
            <w:r w:rsidRPr="00476005">
              <w:rPr>
                <w:rFonts w:ascii="Times New Roman" w:hAnsi="Times New Roman"/>
                <w:i/>
                <w:iCs/>
                <w:sz w:val="24"/>
                <w:szCs w:val="24"/>
              </w:rPr>
              <w:t>1.02</w:t>
            </w:r>
          </w:p>
        </w:tc>
      </w:tr>
    </w:tbl>
    <w:p w14:paraId="56CAA97F" w14:textId="24EEED68" w:rsidR="00476005" w:rsidRPr="00C67F33" w:rsidRDefault="00476005" w:rsidP="00256DD1">
      <w:pPr>
        <w:spacing w:line="360" w:lineRule="auto"/>
        <w:jc w:val="both"/>
        <w:rPr>
          <w:rFonts w:ascii="Times New Roman" w:hAnsi="Times New Roman"/>
          <w:i/>
          <w:iCs/>
          <w:sz w:val="24"/>
          <w:szCs w:val="24"/>
        </w:rPr>
      </w:pPr>
    </w:p>
    <w:p w14:paraId="2CBB7A7C" w14:textId="7356C765" w:rsidR="00256DD1" w:rsidRPr="00C67F33" w:rsidRDefault="00476005" w:rsidP="00476005">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Таблица 3.1.B съдържа средни стойности и стандартни отклонения за </w:t>
      </w:r>
      <w:r w:rsidRPr="00C67F33">
        <w:rPr>
          <w:rFonts w:ascii="Times New Roman" w:hAnsi="Times New Roman"/>
          <w:i/>
          <w:iCs/>
          <w:sz w:val="24"/>
          <w:szCs w:val="24"/>
        </w:rPr>
        <w:t>z_roe</w:t>
      </w:r>
      <w:r w:rsidRPr="00C67F33">
        <w:rPr>
          <w:rFonts w:ascii="Times New Roman" w:hAnsi="Times New Roman"/>
          <w:sz w:val="24"/>
          <w:szCs w:val="24"/>
        </w:rPr>
        <w:t xml:space="preserve">, </w:t>
      </w:r>
      <w:r w:rsidRPr="00C67F33">
        <w:rPr>
          <w:rFonts w:ascii="Times New Roman" w:hAnsi="Times New Roman"/>
          <w:i/>
          <w:iCs/>
          <w:sz w:val="24"/>
          <w:szCs w:val="24"/>
        </w:rPr>
        <w:t>z_ocf_assets</w:t>
      </w:r>
      <w:r w:rsidRPr="00C67F33">
        <w:rPr>
          <w:rFonts w:ascii="Times New Roman" w:hAnsi="Times New Roman"/>
          <w:sz w:val="24"/>
          <w:szCs w:val="24"/>
        </w:rPr>
        <w:t xml:space="preserve">, </w:t>
      </w:r>
      <w:r w:rsidRPr="00C67F33">
        <w:rPr>
          <w:rFonts w:ascii="Times New Roman" w:hAnsi="Times New Roman"/>
          <w:i/>
          <w:iCs/>
          <w:sz w:val="24"/>
          <w:szCs w:val="24"/>
        </w:rPr>
        <w:t>z_btm</w:t>
      </w:r>
      <w:r w:rsidRPr="00C67F33">
        <w:rPr>
          <w:rFonts w:ascii="Times New Roman" w:hAnsi="Times New Roman"/>
          <w:sz w:val="24"/>
          <w:szCs w:val="24"/>
        </w:rPr>
        <w:t xml:space="preserve">, </w:t>
      </w:r>
      <w:r w:rsidRPr="00C67F33">
        <w:rPr>
          <w:rFonts w:ascii="Times New Roman" w:hAnsi="Times New Roman"/>
          <w:i/>
          <w:iCs/>
          <w:sz w:val="24"/>
          <w:szCs w:val="24"/>
        </w:rPr>
        <w:t>z_sales_growth</w:t>
      </w:r>
      <w:r w:rsidRPr="00C67F33">
        <w:rPr>
          <w:rFonts w:ascii="Times New Roman" w:hAnsi="Times New Roman"/>
          <w:sz w:val="24"/>
          <w:szCs w:val="24"/>
        </w:rPr>
        <w:t xml:space="preserve"> и инвертирания </w:t>
      </w:r>
      <w:r w:rsidRPr="00C67F33">
        <w:rPr>
          <w:rFonts w:ascii="Times New Roman" w:hAnsi="Times New Roman"/>
          <w:i/>
          <w:iCs/>
          <w:sz w:val="24"/>
          <w:szCs w:val="24"/>
        </w:rPr>
        <w:t>z_ev_ebitda_inv</w:t>
      </w:r>
      <w:r w:rsidRPr="00C67F33">
        <w:rPr>
          <w:rFonts w:ascii="Times New Roman" w:hAnsi="Times New Roman"/>
          <w:sz w:val="24"/>
          <w:szCs w:val="24"/>
        </w:rPr>
        <w:t xml:space="preserve">, както и индикатора </w:t>
      </w:r>
      <w:r w:rsidRPr="00C67F33">
        <w:rPr>
          <w:rFonts w:ascii="Times New Roman" w:hAnsi="Times New Roman"/>
          <w:i/>
          <w:iCs/>
          <w:sz w:val="24"/>
          <w:szCs w:val="24"/>
        </w:rPr>
        <w:t>z_count</w:t>
      </w:r>
      <w:r w:rsidRPr="00C67F33">
        <w:rPr>
          <w:rFonts w:ascii="Times New Roman" w:hAnsi="Times New Roman"/>
          <w:sz w:val="24"/>
          <w:szCs w:val="24"/>
        </w:rPr>
        <w:t xml:space="preserve"> за броя налични метрики на наблюдение. Средните стойности са близки до нула, а стандартните отклонения – около единица, което потвърждава коректната нормализация по индустрии и години; малките отклонения са нормални за ограничена извадка и приложено клипване на крайности. Това дава основание композитният скор да се използва за рангово подреждане (квинтили/децили) без доминация на единичен фактор.</w:t>
      </w:r>
    </w:p>
    <w:p w14:paraId="3F8D0156" w14:textId="07504032" w:rsidR="00057B6F" w:rsidRPr="00FE35A9" w:rsidRDefault="00057B6F" w:rsidP="00057B6F">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 xml:space="preserve">3.2. </w:t>
      </w:r>
      <w:r w:rsidR="00C07E97" w:rsidRPr="00FE35A9">
        <w:rPr>
          <w:rFonts w:ascii="Times New Roman" w:hAnsi="Times New Roman"/>
          <w:b/>
          <w:bCs/>
          <w:sz w:val="24"/>
          <w:szCs w:val="24"/>
        </w:rPr>
        <w:t>Емпирични резултати от портфейла</w:t>
      </w:r>
    </w:p>
    <w:p w14:paraId="3AD52082"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 xml:space="preserve">Портфейлът се ребалансира веднъж годишно – през юли, като за всеки фискален период </w:t>
      </w:r>
      <w:r w:rsidRPr="00717898">
        <w:rPr>
          <w:rFonts w:ascii="Times New Roman" w:hAnsi="Times New Roman"/>
          <w:i/>
          <w:iCs/>
          <w:sz w:val="24"/>
          <w:szCs w:val="24"/>
        </w:rPr>
        <w:t>t</w:t>
      </w:r>
      <w:r w:rsidRPr="00717898">
        <w:rPr>
          <w:rFonts w:ascii="Times New Roman" w:hAnsi="Times New Roman"/>
          <w:sz w:val="24"/>
          <w:szCs w:val="24"/>
        </w:rPr>
        <w:t xml:space="preserve"> се формира кошница от </w:t>
      </w:r>
      <w:r w:rsidRPr="00717898">
        <w:rPr>
          <w:rFonts w:ascii="Times New Roman" w:hAnsi="Times New Roman"/>
          <w:b/>
          <w:bCs/>
          <w:sz w:val="24"/>
          <w:szCs w:val="24"/>
        </w:rPr>
        <w:t>30 дълги позиции</w:t>
      </w:r>
      <w:r w:rsidRPr="00717898">
        <w:rPr>
          <w:rFonts w:ascii="Times New Roman" w:hAnsi="Times New Roman"/>
          <w:sz w:val="24"/>
          <w:szCs w:val="24"/>
        </w:rPr>
        <w:t xml:space="preserve"> (компании с най-висок композитен фундаментален скор) и </w:t>
      </w:r>
      <w:r w:rsidRPr="00717898">
        <w:rPr>
          <w:rFonts w:ascii="Times New Roman" w:hAnsi="Times New Roman"/>
          <w:b/>
          <w:bCs/>
          <w:sz w:val="24"/>
          <w:szCs w:val="24"/>
        </w:rPr>
        <w:t>30 къси позиции</w:t>
      </w:r>
      <w:r w:rsidRPr="00717898">
        <w:rPr>
          <w:rFonts w:ascii="Times New Roman" w:hAnsi="Times New Roman"/>
          <w:sz w:val="24"/>
          <w:szCs w:val="24"/>
        </w:rPr>
        <w:t xml:space="preserve"> (най-нисък скор). Позициите се държат от юли на </w:t>
      </w:r>
      <w:r w:rsidRPr="00717898">
        <w:rPr>
          <w:rFonts w:ascii="Times New Roman" w:hAnsi="Times New Roman"/>
          <w:i/>
          <w:iCs/>
          <w:sz w:val="24"/>
          <w:szCs w:val="24"/>
        </w:rPr>
        <w:t>t+1</w:t>
      </w:r>
      <w:r w:rsidRPr="00717898">
        <w:rPr>
          <w:rFonts w:ascii="Times New Roman" w:hAnsi="Times New Roman"/>
          <w:sz w:val="24"/>
          <w:szCs w:val="24"/>
        </w:rPr>
        <w:t xml:space="preserve"> до юни на </w:t>
      </w:r>
      <w:r w:rsidRPr="00717898">
        <w:rPr>
          <w:rFonts w:ascii="Times New Roman" w:hAnsi="Times New Roman"/>
          <w:i/>
          <w:iCs/>
          <w:sz w:val="24"/>
          <w:szCs w:val="24"/>
        </w:rPr>
        <w:t>t+2</w:t>
      </w:r>
      <w:r w:rsidRPr="00717898">
        <w:rPr>
          <w:rFonts w:ascii="Times New Roman" w:hAnsi="Times New Roman"/>
          <w:sz w:val="24"/>
          <w:szCs w:val="24"/>
        </w:rPr>
        <w:t xml:space="preserve"> при приблизително равни тегла.</w:t>
      </w:r>
      <w:r w:rsidRPr="00717898">
        <w:rPr>
          <w:rFonts w:ascii="Times New Roman" w:hAnsi="Times New Roman"/>
          <w:sz w:val="24"/>
          <w:szCs w:val="24"/>
        </w:rPr>
        <w:br/>
        <w:t xml:space="preserve">Доходността на портфейла се изчислява като </w:t>
      </w:r>
      <w:r w:rsidRPr="00717898">
        <w:rPr>
          <w:rFonts w:ascii="Times New Roman" w:hAnsi="Times New Roman"/>
          <w:b/>
          <w:bCs/>
          <w:sz w:val="24"/>
          <w:szCs w:val="24"/>
        </w:rPr>
        <w:t>равнопретеглена средна</w:t>
      </w:r>
      <w:r w:rsidRPr="00717898">
        <w:rPr>
          <w:rFonts w:ascii="Times New Roman" w:hAnsi="Times New Roman"/>
          <w:sz w:val="24"/>
          <w:szCs w:val="24"/>
        </w:rPr>
        <w:t xml:space="preserve"> от месечните възвръщаемости на включените позиции, докато сравнителната серия е </w:t>
      </w:r>
      <w:r w:rsidRPr="00717898">
        <w:rPr>
          <w:rFonts w:ascii="Times New Roman" w:hAnsi="Times New Roman"/>
          <w:b/>
          <w:bCs/>
          <w:sz w:val="24"/>
          <w:szCs w:val="24"/>
        </w:rPr>
        <w:t>равнопретеглен бенчмарк</w:t>
      </w:r>
      <w:r w:rsidRPr="00717898">
        <w:rPr>
          <w:rFonts w:ascii="Times New Roman" w:hAnsi="Times New Roman"/>
          <w:sz w:val="24"/>
          <w:szCs w:val="24"/>
        </w:rPr>
        <w:t>, изграден от всички налични акции във вселената, за да се избегне пристрастие към размер или състав.</w:t>
      </w:r>
    </w:p>
    <w:p w14:paraId="2CB5BB19" w14:textId="5A5DC2B2"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Фигура</w:t>
      </w:r>
      <w:r w:rsidR="00FE35A9">
        <w:rPr>
          <w:rFonts w:ascii="Times New Roman" w:hAnsi="Times New Roman"/>
          <w:sz w:val="24"/>
          <w:szCs w:val="24"/>
        </w:rPr>
        <w:t xml:space="preserve"> 3.2.</w:t>
      </w:r>
      <w:r w:rsidRPr="00717898">
        <w:rPr>
          <w:rFonts w:ascii="Times New Roman" w:hAnsi="Times New Roman"/>
          <w:sz w:val="24"/>
          <w:szCs w:val="24"/>
        </w:rPr>
        <w:t xml:space="preserve"> показва динамиката на кумулативната доходност на портфейла спрямо равнопретегления бенчмарк за периода 2018–2025 г..</w:t>
      </w:r>
      <w:r w:rsidRPr="00717898">
        <w:rPr>
          <w:rFonts w:ascii="Times New Roman" w:hAnsi="Times New Roman"/>
          <w:sz w:val="24"/>
          <w:szCs w:val="24"/>
        </w:rPr>
        <w:br/>
      </w:r>
      <w:r w:rsidRPr="00717898">
        <w:rPr>
          <w:rFonts w:ascii="Times New Roman" w:hAnsi="Times New Roman"/>
          <w:sz w:val="24"/>
          <w:szCs w:val="24"/>
        </w:rPr>
        <w:lastRenderedPageBreak/>
        <w:t>Графиката е генерирана от скрипта на базата на изчислените месечни доходности.</w:t>
      </w:r>
      <w:r w:rsidRPr="00717898">
        <w:rPr>
          <w:rFonts w:ascii="Times New Roman" w:hAnsi="Times New Roman"/>
          <w:sz w:val="24"/>
          <w:szCs w:val="24"/>
        </w:rPr>
        <w:br/>
        <w:t>Пазарно неутралният портфейл демонстрира отчетлива свръхдоходност след 2023 г., когато фундаменталните сигнали (ROE, OCF/Assets, BTM, Sales Growth, EV/EBITDA) показват най-голяма диференциация между компаниите.</w:t>
      </w:r>
    </w:p>
    <w:p w14:paraId="30CB62D0" w14:textId="4042A605" w:rsidR="00717898" w:rsidRDefault="00717898" w:rsidP="00717898">
      <w:pPr>
        <w:spacing w:line="360" w:lineRule="auto"/>
        <w:ind w:firstLine="708"/>
        <w:jc w:val="both"/>
      </w:pPr>
      <w:r w:rsidRPr="00C67F33">
        <w:rPr>
          <w:noProof/>
        </w:rPr>
        <w:drawing>
          <wp:inline distT="0" distB="0" distL="0" distR="0" wp14:anchorId="0297E36D" wp14:editId="76892129">
            <wp:extent cx="5402580" cy="3050862"/>
            <wp:effectExtent l="0" t="0" r="7620" b="0"/>
            <wp:docPr id="99189069" name="Picture 4"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9069" name="Picture 4" descr="A graph with numbers an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9600" cy="3054826"/>
                    </a:xfrm>
                    <a:prstGeom prst="rect">
                      <a:avLst/>
                    </a:prstGeom>
                    <a:noFill/>
                    <a:ln>
                      <a:noFill/>
                    </a:ln>
                  </pic:spPr>
                </pic:pic>
              </a:graphicData>
            </a:graphic>
          </wp:inline>
        </w:drawing>
      </w:r>
    </w:p>
    <w:p w14:paraId="059A9E48" w14:textId="37CAEBCC" w:rsidR="00717898" w:rsidRPr="00717898" w:rsidRDefault="00FE35A9" w:rsidP="00FE35A9">
      <w:pPr>
        <w:spacing w:line="360" w:lineRule="auto"/>
        <w:ind w:firstLine="708"/>
        <w:jc w:val="center"/>
        <w:rPr>
          <w:rFonts w:ascii="Times New Roman" w:hAnsi="Times New Roman"/>
          <w:b/>
          <w:bCs/>
          <w:sz w:val="24"/>
          <w:szCs w:val="24"/>
        </w:rPr>
      </w:pPr>
      <w:r w:rsidRPr="00717898">
        <w:rPr>
          <w:rFonts w:ascii="Times New Roman" w:hAnsi="Times New Roman"/>
          <w:b/>
          <w:bCs/>
          <w:sz w:val="24"/>
          <w:szCs w:val="24"/>
        </w:rPr>
        <w:t>Фигура 3.2. Кумулативна доходност на пазарно неутралния портфейл и бенчмарка (начало=1)</w:t>
      </w:r>
      <w:r w:rsidRPr="00717898">
        <w:rPr>
          <w:rFonts w:ascii="Times New Roman" w:hAnsi="Times New Roman"/>
          <w:sz w:val="24"/>
          <w:szCs w:val="24"/>
        </w:rPr>
        <w:br/>
      </w:r>
      <w:r w:rsidR="00717898" w:rsidRPr="00717898">
        <w:rPr>
          <w:rFonts w:ascii="Times New Roman" w:hAnsi="Times New Roman"/>
          <w:b/>
          <w:bCs/>
          <w:sz w:val="24"/>
          <w:szCs w:val="24"/>
        </w:rPr>
        <w:t>Таблица 3.2. Основни показатели за ефективността (2021–2024)</w:t>
      </w:r>
    </w:p>
    <w:tbl>
      <w:tblPr>
        <w:tblStyle w:val="TableGrid"/>
        <w:tblW w:w="0" w:type="auto"/>
        <w:tblLook w:val="04A0" w:firstRow="1" w:lastRow="0" w:firstColumn="1" w:lastColumn="0" w:noHBand="0" w:noVBand="1"/>
      </w:tblPr>
      <w:tblGrid>
        <w:gridCol w:w="5308"/>
        <w:gridCol w:w="1957"/>
      </w:tblGrid>
      <w:tr w:rsidR="00717898" w:rsidRPr="00717898" w14:paraId="43271D92" w14:textId="77777777" w:rsidTr="00717898">
        <w:tc>
          <w:tcPr>
            <w:tcW w:w="0" w:type="auto"/>
            <w:hideMark/>
          </w:tcPr>
          <w:p w14:paraId="17B6E608" w14:textId="77777777" w:rsidR="00717898" w:rsidRPr="00717898" w:rsidRDefault="00717898" w:rsidP="00717898">
            <w:pPr>
              <w:spacing w:line="360" w:lineRule="auto"/>
              <w:ind w:firstLine="708"/>
              <w:jc w:val="both"/>
              <w:rPr>
                <w:rFonts w:ascii="Times New Roman" w:hAnsi="Times New Roman"/>
                <w:b/>
                <w:bCs/>
                <w:sz w:val="24"/>
                <w:szCs w:val="24"/>
              </w:rPr>
            </w:pPr>
            <w:r w:rsidRPr="00717898">
              <w:rPr>
                <w:rFonts w:ascii="Times New Roman" w:hAnsi="Times New Roman"/>
                <w:b/>
                <w:bCs/>
                <w:sz w:val="24"/>
                <w:szCs w:val="24"/>
              </w:rPr>
              <w:t>Показател</w:t>
            </w:r>
          </w:p>
        </w:tc>
        <w:tc>
          <w:tcPr>
            <w:tcW w:w="0" w:type="auto"/>
            <w:hideMark/>
          </w:tcPr>
          <w:p w14:paraId="5EA38B62" w14:textId="77777777" w:rsidR="00717898" w:rsidRPr="00717898" w:rsidRDefault="00717898" w:rsidP="00717898">
            <w:pPr>
              <w:spacing w:line="360" w:lineRule="auto"/>
              <w:ind w:firstLine="708"/>
              <w:jc w:val="both"/>
              <w:rPr>
                <w:rFonts w:ascii="Times New Roman" w:hAnsi="Times New Roman"/>
                <w:b/>
                <w:bCs/>
                <w:sz w:val="24"/>
                <w:szCs w:val="24"/>
              </w:rPr>
            </w:pPr>
            <w:r w:rsidRPr="00717898">
              <w:rPr>
                <w:rFonts w:ascii="Times New Roman" w:hAnsi="Times New Roman"/>
                <w:b/>
                <w:bCs/>
                <w:sz w:val="24"/>
                <w:szCs w:val="24"/>
              </w:rPr>
              <w:t>Стойност</w:t>
            </w:r>
          </w:p>
        </w:tc>
      </w:tr>
      <w:tr w:rsidR="00717898" w:rsidRPr="00717898" w14:paraId="07BC06FE" w14:textId="77777777" w:rsidTr="00717898">
        <w:tc>
          <w:tcPr>
            <w:tcW w:w="0" w:type="auto"/>
            <w:hideMark/>
          </w:tcPr>
          <w:p w14:paraId="4EA64441"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Средна годишна доходност</w:t>
            </w:r>
          </w:p>
        </w:tc>
        <w:tc>
          <w:tcPr>
            <w:tcW w:w="0" w:type="auto"/>
            <w:hideMark/>
          </w:tcPr>
          <w:p w14:paraId="5B953FC3"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8.1%</w:t>
            </w:r>
          </w:p>
        </w:tc>
      </w:tr>
      <w:tr w:rsidR="00717898" w:rsidRPr="00717898" w14:paraId="750F56D6" w14:textId="77777777" w:rsidTr="00717898">
        <w:tc>
          <w:tcPr>
            <w:tcW w:w="0" w:type="auto"/>
            <w:hideMark/>
          </w:tcPr>
          <w:p w14:paraId="5364E802"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Стандартно отклонение (год.)</w:t>
            </w:r>
          </w:p>
        </w:tc>
        <w:tc>
          <w:tcPr>
            <w:tcW w:w="0" w:type="auto"/>
            <w:hideMark/>
          </w:tcPr>
          <w:p w14:paraId="6125753C"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6.0%</w:t>
            </w:r>
          </w:p>
        </w:tc>
      </w:tr>
      <w:tr w:rsidR="00717898" w:rsidRPr="00717898" w14:paraId="7FF089A8" w14:textId="77777777" w:rsidTr="00717898">
        <w:tc>
          <w:tcPr>
            <w:tcW w:w="0" w:type="auto"/>
            <w:hideMark/>
          </w:tcPr>
          <w:p w14:paraId="688339FD"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Sharpe ratio (год.)</w:t>
            </w:r>
          </w:p>
        </w:tc>
        <w:tc>
          <w:tcPr>
            <w:tcW w:w="0" w:type="auto"/>
            <w:hideMark/>
          </w:tcPr>
          <w:p w14:paraId="0D548EA2"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1.33</w:t>
            </w:r>
          </w:p>
        </w:tc>
      </w:tr>
      <w:tr w:rsidR="00717898" w:rsidRPr="00717898" w14:paraId="0658AB12" w14:textId="77777777" w:rsidTr="00717898">
        <w:tc>
          <w:tcPr>
            <w:tcW w:w="0" w:type="auto"/>
            <w:hideMark/>
          </w:tcPr>
          <w:p w14:paraId="49DDE3B2"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Information ratio (спрямо бенчмарк)</w:t>
            </w:r>
          </w:p>
        </w:tc>
        <w:tc>
          <w:tcPr>
            <w:tcW w:w="0" w:type="auto"/>
            <w:hideMark/>
          </w:tcPr>
          <w:p w14:paraId="607512A2"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0.90</w:t>
            </w:r>
          </w:p>
        </w:tc>
      </w:tr>
      <w:tr w:rsidR="00717898" w:rsidRPr="00717898" w14:paraId="47A36A12" w14:textId="77777777" w:rsidTr="00717898">
        <w:tc>
          <w:tcPr>
            <w:tcW w:w="0" w:type="auto"/>
            <w:hideMark/>
          </w:tcPr>
          <w:p w14:paraId="12A77954"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Jensen’s alpha (спрямо STOXX Europe 600)</w:t>
            </w:r>
          </w:p>
        </w:tc>
        <w:tc>
          <w:tcPr>
            <w:tcW w:w="0" w:type="auto"/>
            <w:hideMark/>
          </w:tcPr>
          <w:p w14:paraId="3DE6504D"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+4.5%</w:t>
            </w:r>
          </w:p>
        </w:tc>
      </w:tr>
      <w:tr w:rsidR="00717898" w:rsidRPr="00717898" w14:paraId="7688444D" w14:textId="77777777" w:rsidTr="00717898">
        <w:tc>
          <w:tcPr>
            <w:tcW w:w="0" w:type="auto"/>
            <w:hideMark/>
          </w:tcPr>
          <w:p w14:paraId="6329150B"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Бета спрямо STOXX Europe 600</w:t>
            </w:r>
          </w:p>
        </w:tc>
        <w:tc>
          <w:tcPr>
            <w:tcW w:w="0" w:type="auto"/>
            <w:hideMark/>
          </w:tcPr>
          <w:p w14:paraId="3A194567"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0.05</w:t>
            </w:r>
          </w:p>
        </w:tc>
      </w:tr>
      <w:tr w:rsidR="00717898" w:rsidRPr="00717898" w14:paraId="636BA359" w14:textId="77777777" w:rsidTr="00717898">
        <w:tc>
          <w:tcPr>
            <w:tcW w:w="0" w:type="auto"/>
            <w:hideMark/>
          </w:tcPr>
          <w:p w14:paraId="64B12D8A"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Максимален спад (Max Drawdown)</w:t>
            </w:r>
          </w:p>
        </w:tc>
        <w:tc>
          <w:tcPr>
            <w:tcW w:w="0" w:type="auto"/>
            <w:hideMark/>
          </w:tcPr>
          <w:p w14:paraId="7C2CF2CD"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b/>
                <w:bCs/>
                <w:sz w:val="24"/>
                <w:szCs w:val="24"/>
              </w:rPr>
              <w:t>–5.8%</w:t>
            </w:r>
          </w:p>
        </w:tc>
      </w:tr>
    </w:tbl>
    <w:p w14:paraId="7CFDB8B8" w14:textId="125917D6" w:rsidR="00717898" w:rsidRPr="00717898" w:rsidRDefault="00717898" w:rsidP="00BC4FDB">
      <w:pPr>
        <w:spacing w:line="360" w:lineRule="auto"/>
        <w:ind w:firstLine="708"/>
        <w:jc w:val="both"/>
        <w:rPr>
          <w:rFonts w:ascii="Times New Roman" w:hAnsi="Times New Roman"/>
          <w:sz w:val="24"/>
          <w:szCs w:val="24"/>
        </w:rPr>
      </w:pPr>
      <w:r w:rsidRPr="00717898">
        <w:rPr>
          <w:rFonts w:ascii="Times New Roman" w:hAnsi="Times New Roman"/>
          <w:i/>
          <w:iCs/>
          <w:sz w:val="24"/>
          <w:szCs w:val="24"/>
        </w:rPr>
        <w:t>Източник: изчисления на автора.</w:t>
      </w:r>
    </w:p>
    <w:p w14:paraId="2CA462CE"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lastRenderedPageBreak/>
        <w:t>Резултатите показват стабилна положителна излишна доходност и ефективно съотношение доходност/риск при ниска пазарна чувствителност.</w:t>
      </w:r>
      <w:r w:rsidRPr="00717898">
        <w:rPr>
          <w:rFonts w:ascii="Times New Roman" w:hAnsi="Times New Roman"/>
          <w:sz w:val="24"/>
          <w:szCs w:val="24"/>
        </w:rPr>
        <w:br/>
        <w:t>Бета-коефициентът от 0.05 и Information ratio от 0.90 потвърждават, че доходността се генерира основно от идосинкратични фундаментални ефекти, а не от пазарни движения.</w:t>
      </w:r>
      <w:r w:rsidRPr="00717898">
        <w:rPr>
          <w:rFonts w:ascii="Times New Roman" w:hAnsi="Times New Roman"/>
          <w:sz w:val="24"/>
          <w:szCs w:val="24"/>
        </w:rPr>
        <w:br/>
        <w:t>Портфейлът превъзхожда равнопретегления бенчмарк в повечето под-периоди, особено след 2023 г., което е консистентно с хипотезата за предсказуемост на композитния фундаментален скор.</w:t>
      </w:r>
    </w:p>
    <w:p w14:paraId="396F4B55" w14:textId="77777777" w:rsidR="00717898" w:rsidRPr="00717898" w:rsidRDefault="00717898" w:rsidP="00717898">
      <w:pPr>
        <w:spacing w:line="360" w:lineRule="auto"/>
        <w:ind w:firstLine="708"/>
        <w:jc w:val="both"/>
        <w:rPr>
          <w:rFonts w:ascii="Times New Roman" w:hAnsi="Times New Roman"/>
          <w:sz w:val="24"/>
          <w:szCs w:val="24"/>
        </w:rPr>
      </w:pPr>
      <w:r w:rsidRPr="00717898">
        <w:rPr>
          <w:rFonts w:ascii="Times New Roman" w:hAnsi="Times New Roman"/>
          <w:sz w:val="24"/>
          <w:szCs w:val="24"/>
        </w:rPr>
        <w:t>Допълнителните анализи върху месечните възвръщаемости показват, че стратегическата доходност остава устойчива дори след включване на транзакционни разходи (≈0.6 п.п. годишно), а максималният спад от –5.8% свидетелства за висока стабилност и ограничен риск от сериозни загуби.</w:t>
      </w:r>
    </w:p>
    <w:p w14:paraId="1F792240" w14:textId="492E1AFF" w:rsidR="00057B6F" w:rsidRPr="00FE35A9" w:rsidRDefault="00057B6F" w:rsidP="00057B6F">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3.3. Проверка на пазарната и факторната неутралност</w:t>
      </w:r>
    </w:p>
    <w:p w14:paraId="08ED3674" w14:textId="77777777" w:rsidR="00197502" w:rsidRPr="00C67F33" w:rsidRDefault="00197502" w:rsidP="00FE35A9">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Един от най-важните етапи при верификацията на една пазарно неутрална стратегия е емпиричната проверка дали реализираната възвръщаемост на портфейла действително е независима от общите пазарни движения и от доминиращите стилови фактори. Тази проверка представлява критичен тест за това дали наблюдаваната алфа е </w:t>
      </w:r>
      <w:r w:rsidRPr="00C67F33">
        <w:rPr>
          <w:rStyle w:val="Strong"/>
          <w:rFonts w:ascii="Times New Roman" w:hAnsi="Times New Roman"/>
          <w:sz w:val="24"/>
          <w:szCs w:val="24"/>
        </w:rPr>
        <w:t>идосинкратична по своята същност</w:t>
      </w:r>
      <w:r w:rsidRPr="00C67F33">
        <w:rPr>
          <w:rFonts w:ascii="Times New Roman" w:hAnsi="Times New Roman"/>
          <w:sz w:val="24"/>
          <w:szCs w:val="24"/>
        </w:rPr>
        <w:t>, а не резултат от пасивна експозиция към някой добре известен рисков премиум, като стойност, размер, моментум или качество.</w:t>
      </w:r>
    </w:p>
    <w:p w14:paraId="0F4EA6BB" w14:textId="77777777" w:rsidR="00197502" w:rsidRPr="00C67F33" w:rsidRDefault="00197502" w:rsidP="00FE35A9">
      <w:pPr>
        <w:spacing w:line="360" w:lineRule="auto"/>
        <w:ind w:firstLine="708"/>
        <w:jc w:val="both"/>
        <w:rPr>
          <w:rFonts w:ascii="Times New Roman" w:hAnsi="Times New Roman"/>
          <w:sz w:val="24"/>
          <w:szCs w:val="24"/>
        </w:rPr>
      </w:pPr>
      <w:r w:rsidRPr="00C67F33">
        <w:rPr>
          <w:rFonts w:ascii="Times New Roman" w:hAnsi="Times New Roman"/>
          <w:sz w:val="24"/>
          <w:szCs w:val="24"/>
        </w:rPr>
        <w:t>Пазарна неутралност</w:t>
      </w:r>
    </w:p>
    <w:p w14:paraId="575F1C50" w14:textId="77777777" w:rsidR="00197502" w:rsidRPr="00C67F33" w:rsidRDefault="00197502" w:rsidP="00FE35A9">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Първо, се оценява </w:t>
      </w:r>
      <w:r w:rsidRPr="00C67F33">
        <w:rPr>
          <w:rStyle w:val="Strong"/>
          <w:rFonts w:ascii="Times New Roman" w:hAnsi="Times New Roman"/>
          <w:sz w:val="24"/>
          <w:szCs w:val="24"/>
        </w:rPr>
        <w:t>пазарната бета на портфейла</w:t>
      </w:r>
      <w:r w:rsidRPr="00C67F33">
        <w:rPr>
          <w:rFonts w:ascii="Times New Roman" w:hAnsi="Times New Roman"/>
          <w:sz w:val="24"/>
          <w:szCs w:val="24"/>
        </w:rPr>
        <w:t xml:space="preserve"> чрез линейна регресия на месечните доходности на портфейла спрямо доходността на индекса </w:t>
      </w:r>
      <w:r w:rsidRPr="00C67F33">
        <w:rPr>
          <w:rStyle w:val="Strong"/>
          <w:rFonts w:ascii="Times New Roman" w:hAnsi="Times New Roman"/>
          <w:sz w:val="24"/>
          <w:szCs w:val="24"/>
        </w:rPr>
        <w:t>STOXX Europe 600</w:t>
      </w:r>
      <w:r w:rsidRPr="00C67F33">
        <w:rPr>
          <w:rFonts w:ascii="Times New Roman" w:hAnsi="Times New Roman"/>
          <w:sz w:val="24"/>
          <w:szCs w:val="24"/>
        </w:rPr>
        <w:t xml:space="preserve">, представляващ широкия пазар на развити европейски икономики. Получената оценка на β ≈ </w:t>
      </w:r>
      <w:r w:rsidRPr="00C67F33">
        <w:rPr>
          <w:rStyle w:val="Strong"/>
          <w:rFonts w:ascii="Times New Roman" w:hAnsi="Times New Roman"/>
          <w:sz w:val="24"/>
          <w:szCs w:val="24"/>
        </w:rPr>
        <w:t>0.05</w:t>
      </w:r>
      <w:r w:rsidRPr="00C67F33">
        <w:rPr>
          <w:rFonts w:ascii="Times New Roman" w:hAnsi="Times New Roman"/>
          <w:sz w:val="24"/>
          <w:szCs w:val="24"/>
        </w:rPr>
        <w:t xml:space="preserve"> е </w:t>
      </w:r>
      <w:r w:rsidRPr="00C67F33">
        <w:rPr>
          <w:rStyle w:val="Strong"/>
          <w:rFonts w:ascii="Times New Roman" w:hAnsi="Times New Roman"/>
          <w:sz w:val="24"/>
          <w:szCs w:val="24"/>
        </w:rPr>
        <w:t>изключително ниска</w:t>
      </w:r>
      <w:r w:rsidRPr="00C67F33">
        <w:rPr>
          <w:rFonts w:ascii="Times New Roman" w:hAnsi="Times New Roman"/>
          <w:sz w:val="24"/>
          <w:szCs w:val="24"/>
        </w:rPr>
        <w:t xml:space="preserve"> и статистически незначима (t = 0.71), което ясно потвърждава, че портфейлът </w:t>
      </w:r>
      <w:r w:rsidRPr="00C67F33">
        <w:rPr>
          <w:rStyle w:val="Strong"/>
          <w:rFonts w:ascii="Times New Roman" w:hAnsi="Times New Roman"/>
          <w:sz w:val="24"/>
          <w:szCs w:val="24"/>
        </w:rPr>
        <w:t>няма систематична зависимост</w:t>
      </w:r>
      <w:r w:rsidRPr="00C67F33">
        <w:rPr>
          <w:rFonts w:ascii="Times New Roman" w:hAnsi="Times New Roman"/>
          <w:sz w:val="24"/>
          <w:szCs w:val="24"/>
        </w:rPr>
        <w:t xml:space="preserve"> от общото движение на пазара. Това означава, че стратегията не черпи доходност от възходящи или низходящи пазарни тенденции, а изцяло от относителните различия в представянето на отделните компании.</w:t>
      </w:r>
    </w:p>
    <w:p w14:paraId="76CE14BB" w14:textId="77777777" w:rsidR="00197502" w:rsidRPr="00C67F33" w:rsidRDefault="00197502" w:rsidP="00FE35A9">
      <w:pPr>
        <w:spacing w:line="360" w:lineRule="auto"/>
        <w:ind w:firstLine="708"/>
        <w:jc w:val="both"/>
        <w:rPr>
          <w:rFonts w:ascii="Times New Roman" w:hAnsi="Times New Roman"/>
          <w:sz w:val="24"/>
          <w:szCs w:val="24"/>
        </w:rPr>
      </w:pPr>
      <w:r w:rsidRPr="00C67F33">
        <w:rPr>
          <w:rFonts w:ascii="Times New Roman" w:hAnsi="Times New Roman"/>
          <w:sz w:val="24"/>
          <w:szCs w:val="24"/>
        </w:rPr>
        <w:t>Факторна неутралност</w:t>
      </w:r>
    </w:p>
    <w:p w14:paraId="5AFE4ACF" w14:textId="77777777" w:rsidR="00197502" w:rsidRPr="00C67F33" w:rsidRDefault="00197502" w:rsidP="00FE35A9">
      <w:pPr>
        <w:spacing w:line="360" w:lineRule="auto"/>
        <w:ind w:firstLine="708"/>
        <w:jc w:val="both"/>
        <w:rPr>
          <w:rFonts w:ascii="Times New Roman" w:hAnsi="Times New Roman"/>
          <w:sz w:val="24"/>
          <w:szCs w:val="24"/>
        </w:rPr>
      </w:pPr>
      <w:r w:rsidRPr="00C67F33">
        <w:rPr>
          <w:rFonts w:ascii="Times New Roman" w:hAnsi="Times New Roman"/>
          <w:sz w:val="24"/>
          <w:szCs w:val="24"/>
        </w:rPr>
        <w:lastRenderedPageBreak/>
        <w:t xml:space="preserve">Втората стъпка е проверка на </w:t>
      </w:r>
      <w:r w:rsidRPr="00C67F33">
        <w:rPr>
          <w:rStyle w:val="Strong"/>
          <w:rFonts w:ascii="Times New Roman" w:hAnsi="Times New Roman"/>
          <w:sz w:val="24"/>
          <w:szCs w:val="24"/>
        </w:rPr>
        <w:t>факторната неутралност</w:t>
      </w:r>
      <w:r w:rsidRPr="00C67F33">
        <w:rPr>
          <w:rFonts w:ascii="Times New Roman" w:hAnsi="Times New Roman"/>
          <w:sz w:val="24"/>
          <w:szCs w:val="24"/>
        </w:rPr>
        <w:t>, която измерва дали портфейлът съдържа скрити експозиции към популярни стилови фактори. За тази цел се използва разширена регресионна спецификация от типа:</w:t>
      </w:r>
    </w:p>
    <w:p w14:paraId="6888D138" w14:textId="77777777" w:rsidR="00197502" w:rsidRPr="00C67F33" w:rsidRDefault="00000000" w:rsidP="00FE35A9">
      <w:pPr>
        <w:spacing w:line="360" w:lineRule="auto"/>
        <w:jc w:val="both"/>
      </w:pPr>
      <m:oMathPara>
        <m:oMath>
          <m:sSubSup>
            <m:sSubSupPr>
              <m:ctrlPr>
                <w:rPr>
                  <w:rFonts w:ascii="Cambria Math" w:hAnsi="Cambria Math"/>
                </w:rPr>
              </m:ctrlPr>
            </m:sSubSupPr>
            <m:e>
              <m:r>
                <w:rPr>
                  <w:rFonts w:ascii="Cambria Math" w:hAnsi="Cambria Math"/>
                </w:rPr>
                <m:t>r</m:t>
              </m:r>
            </m:e>
            <m:sub>
              <m:r>
                <w:rPr>
                  <w:rFonts w:ascii="Cambria Math" w:hAnsi="Cambria Math"/>
                </w:rPr>
                <m:t>t</m:t>
              </m:r>
            </m:sub>
            <m:sup>
              <m:r>
                <w:rPr>
                  <w:rFonts w:ascii="Cambria Math" w:hAnsi="Cambria Math"/>
                </w:rPr>
                <m:t>(port)</m:t>
              </m:r>
            </m:sup>
          </m:sSubSup>
          <m:r>
            <w:rPr>
              <w:rFonts w:ascii="Cambria Math" w:hAnsi="Cambria Math"/>
            </w:rPr>
            <m:t>=α+</m:t>
          </m:r>
          <m:sSub>
            <m:sSubPr>
              <m:ctrlPr>
                <w:rPr>
                  <w:rFonts w:ascii="Cambria Math" w:hAnsi="Cambria Math"/>
                </w:rPr>
              </m:ctrlPr>
            </m:sSubPr>
            <m:e>
              <m:r>
                <w:rPr>
                  <w:rFonts w:ascii="Cambria Math" w:hAnsi="Cambria Math"/>
                </w:rPr>
                <m:t>β</m:t>
              </m:r>
            </m:e>
            <m:sub>
              <m:r>
                <w:rPr>
                  <w:rFonts w:ascii="Cambria Math" w:hAnsi="Cambria Math"/>
                </w:rPr>
                <m:t>MKT</m:t>
              </m:r>
            </m:sub>
          </m:sSub>
          <m:sSubSup>
            <m:sSubSupPr>
              <m:ctrlPr>
                <w:rPr>
                  <w:rFonts w:ascii="Cambria Math" w:hAnsi="Cambria Math"/>
                </w:rPr>
              </m:ctrlPr>
            </m:sSubSupPr>
            <m:e>
              <m:r>
                <w:rPr>
                  <w:rFonts w:ascii="Cambria Math" w:hAnsi="Cambria Math"/>
                </w:rPr>
                <m:t>r</m:t>
              </m:r>
            </m:e>
            <m:sub>
              <m:r>
                <w:rPr>
                  <w:rFonts w:ascii="Cambria Math" w:hAnsi="Cambria Math"/>
                </w:rPr>
                <m:t>t</m:t>
              </m:r>
            </m:sub>
            <m:sup>
              <m:r>
                <w:rPr>
                  <w:rFonts w:ascii="Cambria Math" w:hAnsi="Cambria Math"/>
                </w:rPr>
                <m:t>(STOXX)</m:t>
              </m:r>
            </m:sup>
          </m:sSubSup>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SMB</m:t>
              </m:r>
            </m:sub>
          </m:sSub>
          <m:r>
            <w:rPr>
              <w:rFonts w:ascii="Cambria Math" w:hAnsi="Cambria Math"/>
            </w:rPr>
            <m:t>SM</m:t>
          </m:r>
          <m:sSub>
            <m:sSubPr>
              <m:ctrlPr>
                <w:rPr>
                  <w:rFonts w:ascii="Cambria Math" w:hAnsi="Cambria Math"/>
                </w:rPr>
              </m:ctrlPr>
            </m:sSubPr>
            <m:e>
              <m:r>
                <w:rPr>
                  <w:rFonts w:ascii="Cambria Math" w:hAnsi="Cambria Math"/>
                </w:rPr>
                <m:t>B</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HML</m:t>
              </m:r>
            </m:sub>
          </m:sSub>
          <m:r>
            <w:rPr>
              <w:rFonts w:ascii="Cambria Math" w:hAnsi="Cambria Math"/>
            </w:rPr>
            <m:t>HM</m:t>
          </m:r>
          <m:sSub>
            <m:sSubPr>
              <m:ctrlPr>
                <w:rPr>
                  <w:rFonts w:ascii="Cambria Math" w:hAnsi="Cambria Math"/>
                </w:rPr>
              </m:ctrlPr>
            </m:sSubPr>
            <m:e>
              <m:r>
                <w:rPr>
                  <w:rFonts w:ascii="Cambria Math" w:hAnsi="Cambria Math"/>
                </w:rPr>
                <m:t>L</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MOM</m:t>
              </m:r>
            </m:sub>
          </m:sSub>
          <m:r>
            <w:rPr>
              <w:rFonts w:ascii="Cambria Math" w:hAnsi="Cambria Math"/>
            </w:rPr>
            <m:t>MO</m:t>
          </m:r>
          <m:sSub>
            <m:sSubPr>
              <m:ctrlPr>
                <w:rPr>
                  <w:rFonts w:ascii="Cambria Math" w:hAnsi="Cambria Math"/>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QMJ</m:t>
              </m:r>
            </m:sub>
          </m:sSub>
          <m:r>
            <w:rPr>
              <w:rFonts w:ascii="Cambria Math" w:hAnsi="Cambria Math"/>
            </w:rPr>
            <m:t>QM</m:t>
          </m:r>
          <m:sSub>
            <m:sSubPr>
              <m:ctrlPr>
                <w:rPr>
                  <w:rFonts w:ascii="Cambria Math" w:hAnsi="Cambria Math"/>
                </w:rPr>
              </m:ctrlPr>
            </m:sSubPr>
            <m:e>
              <m:r>
                <w:rPr>
                  <w:rFonts w:ascii="Cambria Math" w:hAnsi="Cambria Math"/>
                </w:rPr>
                <m:t>J</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r>
            <w:rPr>
              <w:rFonts w:ascii="Cambria Math" w:hAnsi="Cambria Math"/>
            </w:rPr>
            <w:br/>
          </m:r>
        </m:oMath>
      </m:oMathPara>
    </w:p>
    <w:p w14:paraId="63CF525E" w14:textId="77777777" w:rsidR="00197502" w:rsidRPr="00C67F33" w:rsidRDefault="00197502" w:rsidP="00FE35A9">
      <w:pPr>
        <w:pStyle w:val="NormalWeb"/>
        <w:spacing w:line="360" w:lineRule="auto"/>
        <w:jc w:val="both"/>
      </w:pPr>
      <w:r w:rsidRPr="00C67F33">
        <w:t xml:space="preserve">където </w:t>
      </w:r>
      <m:oMath>
        <m:r>
          <w:rPr>
            <w:rFonts w:ascii="Cambria Math" w:hAnsi="Cambria Math"/>
          </w:rPr>
          <m:t>SMB</m:t>
        </m:r>
      </m:oMath>
      <w:r w:rsidRPr="00C67F33">
        <w:t xml:space="preserve">представлява факторът за размер (Small minus Big), </w:t>
      </w:r>
      <m:oMath>
        <m:r>
          <w:rPr>
            <w:rFonts w:ascii="Cambria Math" w:hAnsi="Cambria Math"/>
          </w:rPr>
          <m:t>HML</m:t>
        </m:r>
      </m:oMath>
      <w:r w:rsidRPr="00C67F33">
        <w:t xml:space="preserve">– стойност (High minus Low book-to-market), </w:t>
      </w:r>
      <m:oMath>
        <m:r>
          <w:rPr>
            <w:rFonts w:ascii="Cambria Math" w:hAnsi="Cambria Math"/>
          </w:rPr>
          <m:t>MOM</m:t>
        </m:r>
      </m:oMath>
      <w:r w:rsidRPr="00C67F33">
        <w:t xml:space="preserve">– моментум, а </w:t>
      </w:r>
      <m:oMath>
        <m:r>
          <w:rPr>
            <w:rFonts w:ascii="Cambria Math" w:hAnsi="Cambria Math"/>
          </w:rPr>
          <m:t>QMJ</m:t>
        </m:r>
      </m:oMath>
      <w:r w:rsidRPr="00C67F33">
        <w:t>– качество (Quality minus Junk), конструирани чрез вътрешни проксита от извадката.</w:t>
      </w:r>
    </w:p>
    <w:p w14:paraId="2397D81C" w14:textId="77777777" w:rsidR="00197502" w:rsidRPr="00C67F33" w:rsidRDefault="00197502" w:rsidP="00FE35A9">
      <w:pPr>
        <w:pStyle w:val="NormalWeb"/>
        <w:numPr>
          <w:ilvl w:val="0"/>
          <w:numId w:val="40"/>
        </w:numPr>
        <w:spacing w:before="100" w:beforeAutospacing="1" w:after="100" w:afterAutospacing="1" w:line="360" w:lineRule="auto"/>
        <w:jc w:val="both"/>
      </w:pPr>
      <w:r w:rsidRPr="00C67F33">
        <w:rPr>
          <w:rStyle w:val="Strong"/>
        </w:rPr>
        <w:t>Value (HML)</w:t>
      </w:r>
      <w:r w:rsidRPr="00C67F33">
        <w:t xml:space="preserve"> е представен чрез </w:t>
      </w:r>
      <w:r w:rsidRPr="00C67F33">
        <w:rPr>
          <w:rStyle w:val="Strong"/>
        </w:rPr>
        <w:t>z-score на Book-to-Market (z-BTM)</w:t>
      </w:r>
      <w:r w:rsidRPr="00C67F33">
        <w:t>;</w:t>
      </w:r>
    </w:p>
    <w:p w14:paraId="134A7C99" w14:textId="77777777" w:rsidR="00197502" w:rsidRPr="00C67F33" w:rsidRDefault="00197502" w:rsidP="00FE35A9">
      <w:pPr>
        <w:pStyle w:val="NormalWeb"/>
        <w:numPr>
          <w:ilvl w:val="0"/>
          <w:numId w:val="40"/>
        </w:numPr>
        <w:spacing w:before="100" w:beforeAutospacing="1" w:after="100" w:afterAutospacing="1" w:line="360" w:lineRule="auto"/>
        <w:jc w:val="both"/>
      </w:pPr>
      <w:r w:rsidRPr="00C67F33">
        <w:rPr>
          <w:rStyle w:val="Strong"/>
        </w:rPr>
        <w:t>Size (SMB)</w:t>
      </w:r>
      <w:r w:rsidRPr="00C67F33">
        <w:t xml:space="preserve"> – чрез </w:t>
      </w:r>
      <w:r w:rsidRPr="00C67F33">
        <w:rPr>
          <w:rStyle w:val="Strong"/>
        </w:rPr>
        <w:t>инверсия на логаритъма на пазарната капитализация</w:t>
      </w:r>
      <w:r w:rsidRPr="00C67F33">
        <w:t>, което отделя малките компании;</w:t>
      </w:r>
    </w:p>
    <w:p w14:paraId="2B9AA591" w14:textId="77777777" w:rsidR="00197502" w:rsidRPr="00C67F33" w:rsidRDefault="00197502" w:rsidP="00FE35A9">
      <w:pPr>
        <w:pStyle w:val="NormalWeb"/>
        <w:numPr>
          <w:ilvl w:val="0"/>
          <w:numId w:val="40"/>
        </w:numPr>
        <w:spacing w:before="100" w:beforeAutospacing="1" w:after="100" w:afterAutospacing="1" w:line="360" w:lineRule="auto"/>
        <w:jc w:val="both"/>
      </w:pPr>
      <w:r w:rsidRPr="00C67F33">
        <w:rPr>
          <w:rStyle w:val="Strong"/>
        </w:rPr>
        <w:t>Momentum (MOM)</w:t>
      </w:r>
      <w:r w:rsidRPr="00C67F33">
        <w:t xml:space="preserve"> – чрез 12-1 месечна доходност;</w:t>
      </w:r>
    </w:p>
    <w:p w14:paraId="66CE770D" w14:textId="77777777" w:rsidR="00197502" w:rsidRPr="00C67F33" w:rsidRDefault="00197502" w:rsidP="00FE35A9">
      <w:pPr>
        <w:pStyle w:val="NormalWeb"/>
        <w:numPr>
          <w:ilvl w:val="0"/>
          <w:numId w:val="40"/>
        </w:numPr>
        <w:spacing w:before="100" w:beforeAutospacing="1" w:after="100" w:afterAutospacing="1" w:line="360" w:lineRule="auto"/>
        <w:jc w:val="both"/>
      </w:pPr>
      <w:r w:rsidRPr="00C67F33">
        <w:rPr>
          <w:rStyle w:val="Strong"/>
        </w:rPr>
        <w:t>Quality (QMJ)</w:t>
      </w:r>
      <w:r w:rsidRPr="00C67F33">
        <w:t xml:space="preserve"> – чрез среден </w:t>
      </w:r>
      <w:r w:rsidRPr="00C67F33">
        <w:rPr>
          <w:rStyle w:val="Strong"/>
        </w:rPr>
        <w:t>z-ROE</w:t>
      </w:r>
      <w:r w:rsidRPr="00C67F33">
        <w:t xml:space="preserve"> и </w:t>
      </w:r>
      <w:r w:rsidRPr="00C67F33">
        <w:rPr>
          <w:rStyle w:val="Strong"/>
        </w:rPr>
        <w:t>z-OCF/Assets</w:t>
      </w:r>
      <w:r w:rsidRPr="00C67F33">
        <w:t>, комбиниращи рентабилност и парични потоци.</w:t>
      </w:r>
    </w:p>
    <w:p w14:paraId="19BA2396" w14:textId="77777777" w:rsidR="00197502" w:rsidRPr="00C67F33" w:rsidRDefault="00197502" w:rsidP="00197502">
      <w:pPr>
        <w:rPr>
          <w:rFonts w:ascii="Times New Roman" w:hAnsi="Times New Roman"/>
          <w:i/>
          <w:iCs/>
          <w:sz w:val="24"/>
          <w:szCs w:val="24"/>
        </w:rPr>
      </w:pPr>
      <w:r w:rsidRPr="00C67F33">
        <w:rPr>
          <w:rFonts w:ascii="Times New Roman" w:hAnsi="Times New Roman"/>
          <w:i/>
          <w:iCs/>
          <w:sz w:val="24"/>
          <w:szCs w:val="24"/>
        </w:rPr>
        <w:t>Таблица 3.3. Факторни експозиции на портфейла</w:t>
      </w:r>
    </w:p>
    <w:tbl>
      <w:tblPr>
        <w:tblStyle w:val="TableGrid"/>
        <w:tblW w:w="0" w:type="auto"/>
        <w:tblLook w:val="04A0" w:firstRow="1" w:lastRow="0" w:firstColumn="1" w:lastColumn="0" w:noHBand="0" w:noVBand="1"/>
      </w:tblPr>
      <w:tblGrid>
        <w:gridCol w:w="2002"/>
        <w:gridCol w:w="1244"/>
        <w:gridCol w:w="1372"/>
      </w:tblGrid>
      <w:tr w:rsidR="00197502" w:rsidRPr="00C67F33" w14:paraId="633A0F6A" w14:textId="77777777" w:rsidTr="00197502">
        <w:tc>
          <w:tcPr>
            <w:tcW w:w="0" w:type="auto"/>
            <w:hideMark/>
          </w:tcPr>
          <w:p w14:paraId="14F4009F" w14:textId="77777777" w:rsidR="00197502" w:rsidRPr="00C67F33" w:rsidRDefault="00197502">
            <w:pPr>
              <w:jc w:val="center"/>
              <w:rPr>
                <w:b/>
                <w:bCs/>
              </w:rPr>
            </w:pPr>
            <w:r w:rsidRPr="00C67F33">
              <w:rPr>
                <w:b/>
                <w:bCs/>
              </w:rPr>
              <w:t>Фактор</w:t>
            </w:r>
          </w:p>
        </w:tc>
        <w:tc>
          <w:tcPr>
            <w:tcW w:w="0" w:type="auto"/>
            <w:hideMark/>
          </w:tcPr>
          <w:p w14:paraId="6FC8800B" w14:textId="77777777" w:rsidR="00197502" w:rsidRPr="00C67F33" w:rsidRDefault="00197502">
            <w:pPr>
              <w:jc w:val="center"/>
              <w:rPr>
                <w:b/>
                <w:bCs/>
              </w:rPr>
            </w:pPr>
            <w:r w:rsidRPr="00C67F33">
              <w:rPr>
                <w:b/>
                <w:bCs/>
              </w:rPr>
              <w:t>Оценка (β)</w:t>
            </w:r>
          </w:p>
        </w:tc>
        <w:tc>
          <w:tcPr>
            <w:tcW w:w="0" w:type="auto"/>
            <w:hideMark/>
          </w:tcPr>
          <w:p w14:paraId="79E50D3E" w14:textId="77777777" w:rsidR="00197502" w:rsidRPr="00C67F33" w:rsidRDefault="00197502">
            <w:pPr>
              <w:jc w:val="center"/>
              <w:rPr>
                <w:b/>
                <w:bCs/>
              </w:rPr>
            </w:pPr>
            <w:r w:rsidRPr="00C67F33">
              <w:rPr>
                <w:b/>
                <w:bCs/>
              </w:rPr>
              <w:t>t-статистика</w:t>
            </w:r>
          </w:p>
        </w:tc>
      </w:tr>
      <w:tr w:rsidR="00197502" w:rsidRPr="00C67F33" w14:paraId="4BC0BD51" w14:textId="77777777" w:rsidTr="00197502">
        <w:tc>
          <w:tcPr>
            <w:tcW w:w="0" w:type="auto"/>
            <w:hideMark/>
          </w:tcPr>
          <w:p w14:paraId="456E3424" w14:textId="77777777" w:rsidR="00197502" w:rsidRPr="00C67F33" w:rsidRDefault="00197502">
            <w:r w:rsidRPr="00C67F33">
              <w:t>Пазар (STOXX 600)</w:t>
            </w:r>
          </w:p>
        </w:tc>
        <w:tc>
          <w:tcPr>
            <w:tcW w:w="0" w:type="auto"/>
            <w:hideMark/>
          </w:tcPr>
          <w:p w14:paraId="2FD332BA" w14:textId="77777777" w:rsidR="00197502" w:rsidRPr="00C67F33" w:rsidRDefault="00197502">
            <w:r w:rsidRPr="00C67F33">
              <w:rPr>
                <w:rStyle w:val="Strong"/>
              </w:rPr>
              <w:t>0.05</w:t>
            </w:r>
          </w:p>
        </w:tc>
        <w:tc>
          <w:tcPr>
            <w:tcW w:w="0" w:type="auto"/>
            <w:hideMark/>
          </w:tcPr>
          <w:p w14:paraId="544DE7C1" w14:textId="77777777" w:rsidR="00197502" w:rsidRPr="00C67F33" w:rsidRDefault="00197502">
            <w:r w:rsidRPr="00C67F33">
              <w:t>0.71</w:t>
            </w:r>
          </w:p>
        </w:tc>
      </w:tr>
      <w:tr w:rsidR="00197502" w:rsidRPr="00C67F33" w14:paraId="3E01C1DC" w14:textId="77777777" w:rsidTr="00197502">
        <w:tc>
          <w:tcPr>
            <w:tcW w:w="0" w:type="auto"/>
            <w:hideMark/>
          </w:tcPr>
          <w:p w14:paraId="3C2B9CF9" w14:textId="77777777" w:rsidR="00197502" w:rsidRPr="00C67F33" w:rsidRDefault="00197502">
            <w:r w:rsidRPr="00C67F33">
              <w:t>Size (SMB)</w:t>
            </w:r>
          </w:p>
        </w:tc>
        <w:tc>
          <w:tcPr>
            <w:tcW w:w="0" w:type="auto"/>
            <w:hideMark/>
          </w:tcPr>
          <w:p w14:paraId="7031E069" w14:textId="77777777" w:rsidR="00197502" w:rsidRPr="00C67F33" w:rsidRDefault="00197502">
            <w:r w:rsidRPr="00C67F33">
              <w:rPr>
                <w:rStyle w:val="Strong"/>
              </w:rPr>
              <w:t>–0.03</w:t>
            </w:r>
          </w:p>
        </w:tc>
        <w:tc>
          <w:tcPr>
            <w:tcW w:w="0" w:type="auto"/>
            <w:hideMark/>
          </w:tcPr>
          <w:p w14:paraId="447B01D3" w14:textId="77777777" w:rsidR="00197502" w:rsidRPr="00C67F33" w:rsidRDefault="00197502">
            <w:r w:rsidRPr="00C67F33">
              <w:t>–0.48</w:t>
            </w:r>
          </w:p>
        </w:tc>
      </w:tr>
      <w:tr w:rsidR="00197502" w:rsidRPr="00C67F33" w14:paraId="72DCE1E3" w14:textId="77777777" w:rsidTr="00197502">
        <w:tc>
          <w:tcPr>
            <w:tcW w:w="0" w:type="auto"/>
            <w:hideMark/>
          </w:tcPr>
          <w:p w14:paraId="6476F654" w14:textId="77777777" w:rsidR="00197502" w:rsidRPr="00C67F33" w:rsidRDefault="00197502">
            <w:r w:rsidRPr="00C67F33">
              <w:t>Value (HML)</w:t>
            </w:r>
          </w:p>
        </w:tc>
        <w:tc>
          <w:tcPr>
            <w:tcW w:w="0" w:type="auto"/>
            <w:hideMark/>
          </w:tcPr>
          <w:p w14:paraId="42D4D373" w14:textId="77777777" w:rsidR="00197502" w:rsidRPr="00C67F33" w:rsidRDefault="00197502">
            <w:r w:rsidRPr="00C67F33">
              <w:rPr>
                <w:rStyle w:val="Strong"/>
              </w:rPr>
              <w:t>0.06</w:t>
            </w:r>
          </w:p>
        </w:tc>
        <w:tc>
          <w:tcPr>
            <w:tcW w:w="0" w:type="auto"/>
            <w:hideMark/>
          </w:tcPr>
          <w:p w14:paraId="79C0C1EF" w14:textId="77777777" w:rsidR="00197502" w:rsidRPr="00C67F33" w:rsidRDefault="00197502">
            <w:r w:rsidRPr="00C67F33">
              <w:t>1.01</w:t>
            </w:r>
          </w:p>
        </w:tc>
      </w:tr>
      <w:tr w:rsidR="00197502" w:rsidRPr="00C67F33" w14:paraId="76A1E3BA" w14:textId="77777777" w:rsidTr="00197502">
        <w:tc>
          <w:tcPr>
            <w:tcW w:w="0" w:type="auto"/>
            <w:hideMark/>
          </w:tcPr>
          <w:p w14:paraId="1ED2A93E" w14:textId="77777777" w:rsidR="00197502" w:rsidRPr="00C67F33" w:rsidRDefault="00197502">
            <w:r w:rsidRPr="00C67F33">
              <w:t>Momentum (MOM)</w:t>
            </w:r>
          </w:p>
        </w:tc>
        <w:tc>
          <w:tcPr>
            <w:tcW w:w="0" w:type="auto"/>
            <w:hideMark/>
          </w:tcPr>
          <w:p w14:paraId="12B37908" w14:textId="77777777" w:rsidR="00197502" w:rsidRPr="00C67F33" w:rsidRDefault="00197502">
            <w:r w:rsidRPr="00C67F33">
              <w:rPr>
                <w:rStyle w:val="Strong"/>
              </w:rPr>
              <w:t>0.04</w:t>
            </w:r>
          </w:p>
        </w:tc>
        <w:tc>
          <w:tcPr>
            <w:tcW w:w="0" w:type="auto"/>
            <w:hideMark/>
          </w:tcPr>
          <w:p w14:paraId="0A36E2A7" w14:textId="77777777" w:rsidR="00197502" w:rsidRPr="00C67F33" w:rsidRDefault="00197502">
            <w:r w:rsidRPr="00C67F33">
              <w:t>0.79</w:t>
            </w:r>
          </w:p>
        </w:tc>
      </w:tr>
      <w:tr w:rsidR="00197502" w:rsidRPr="00C67F33" w14:paraId="6529346F" w14:textId="77777777" w:rsidTr="00197502">
        <w:tc>
          <w:tcPr>
            <w:tcW w:w="0" w:type="auto"/>
            <w:hideMark/>
          </w:tcPr>
          <w:p w14:paraId="3BAA4637" w14:textId="77777777" w:rsidR="00197502" w:rsidRPr="00C67F33" w:rsidRDefault="00197502">
            <w:r w:rsidRPr="00C67F33">
              <w:t>Quality (QMJ proxy)</w:t>
            </w:r>
          </w:p>
        </w:tc>
        <w:tc>
          <w:tcPr>
            <w:tcW w:w="0" w:type="auto"/>
            <w:hideMark/>
          </w:tcPr>
          <w:p w14:paraId="0E547856" w14:textId="77777777" w:rsidR="00197502" w:rsidRPr="00C67F33" w:rsidRDefault="00197502">
            <w:r w:rsidRPr="00C67F33">
              <w:rPr>
                <w:rStyle w:val="Strong"/>
              </w:rPr>
              <w:t>0.03</w:t>
            </w:r>
          </w:p>
        </w:tc>
        <w:tc>
          <w:tcPr>
            <w:tcW w:w="0" w:type="auto"/>
            <w:hideMark/>
          </w:tcPr>
          <w:p w14:paraId="5999323D" w14:textId="77777777" w:rsidR="00197502" w:rsidRPr="00C67F33" w:rsidRDefault="00197502">
            <w:r w:rsidRPr="00C67F33">
              <w:t>0.44</w:t>
            </w:r>
          </w:p>
        </w:tc>
      </w:tr>
    </w:tbl>
    <w:p w14:paraId="78CD8433" w14:textId="070A58E2" w:rsidR="00197502" w:rsidRDefault="00197502" w:rsidP="00197502">
      <w:pPr>
        <w:pStyle w:val="NormalWeb"/>
        <w:rPr>
          <w:rStyle w:val="Emphasis"/>
          <w:i w:val="0"/>
          <w:iCs w:val="0"/>
        </w:rPr>
      </w:pPr>
      <w:r w:rsidRPr="00C67F33">
        <w:rPr>
          <w:rStyle w:val="Emphasis"/>
        </w:rPr>
        <w:t>Източник: автора.</w:t>
      </w:r>
    </w:p>
    <w:p w14:paraId="2413835F" w14:textId="4E3BF2BB" w:rsidR="00FE35A9" w:rsidRPr="00FE35A9" w:rsidRDefault="00FE35A9" w:rsidP="00FE35A9">
      <w:pPr>
        <w:pStyle w:val="NormalWeb"/>
        <w:spacing w:line="360" w:lineRule="auto"/>
        <w:ind w:firstLine="708"/>
        <w:jc w:val="both"/>
      </w:pPr>
      <w:r w:rsidRPr="00FE35A9">
        <w:t xml:space="preserve">Всички факторни натоварвания са статистически незначими при 5% ниво на значимост, което потвърждава, че доходността не е обяснима чрез стандартните факторни модели и че реализираната алфа има реален идосинкратичен произход. С други думи, портфейлът постига положителна възвръщаемост, без да заема систематични позиции по нито един от традиционните стилове. Това е силен аргумент за истинска пазарна неутралност – не просто в номинален смисъл (нула нетна експозиция), а и във </w:t>
      </w:r>
      <w:r w:rsidRPr="00FE35A9">
        <w:lastRenderedPageBreak/>
        <w:t>факторното пространство, което е решаващо за стабилността на стратегията през различни пазарни режими.</w:t>
      </w:r>
    </w:p>
    <w:p w14:paraId="0523BB35" w14:textId="638605E7" w:rsidR="00057B6F" w:rsidRPr="00FE35A9" w:rsidRDefault="00057B6F" w:rsidP="00057B6F">
      <w:pPr>
        <w:spacing w:line="360" w:lineRule="auto"/>
        <w:ind w:firstLine="708"/>
        <w:jc w:val="both"/>
        <w:rPr>
          <w:rFonts w:ascii="Times New Roman" w:hAnsi="Times New Roman"/>
          <w:b/>
          <w:bCs/>
          <w:sz w:val="24"/>
          <w:szCs w:val="24"/>
        </w:rPr>
      </w:pPr>
      <w:r w:rsidRPr="00FE35A9">
        <w:rPr>
          <w:rFonts w:ascii="Times New Roman" w:hAnsi="Times New Roman"/>
          <w:b/>
          <w:bCs/>
          <w:sz w:val="24"/>
          <w:szCs w:val="24"/>
        </w:rPr>
        <w:t xml:space="preserve">3.4. </w:t>
      </w:r>
      <w:r w:rsidR="00C07E97" w:rsidRPr="00FE35A9">
        <w:rPr>
          <w:rFonts w:ascii="Times New Roman" w:hAnsi="Times New Roman"/>
          <w:b/>
          <w:bCs/>
          <w:sz w:val="24"/>
          <w:szCs w:val="24"/>
        </w:rPr>
        <w:t>Анализ на риска и устойчивостта</w:t>
      </w:r>
    </w:p>
    <w:p w14:paraId="3A3ABA99"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 xml:space="preserve">Пазарно неутралната структура по дефиниция цели да минимизира влиянието на систематичните шокове и да постига </w:t>
      </w:r>
      <w:r w:rsidRPr="00197502">
        <w:rPr>
          <w:rFonts w:ascii="Times New Roman" w:hAnsi="Times New Roman"/>
          <w:b/>
          <w:bCs/>
          <w:sz w:val="24"/>
          <w:szCs w:val="24"/>
        </w:rPr>
        <w:t>устойчива доходност с ниска волатилност</w:t>
      </w:r>
      <w:r w:rsidRPr="00197502">
        <w:rPr>
          <w:rFonts w:ascii="Times New Roman" w:hAnsi="Times New Roman"/>
          <w:sz w:val="24"/>
          <w:szCs w:val="24"/>
        </w:rPr>
        <w:t xml:space="preserve">. За целта е извършен изчерпателен анализ на риска, включващ както класически мерки (волатилност, бета, корелация), така и </w:t>
      </w:r>
      <w:r w:rsidRPr="00197502">
        <w:rPr>
          <w:rFonts w:ascii="Times New Roman" w:hAnsi="Times New Roman"/>
          <w:b/>
          <w:bCs/>
          <w:sz w:val="24"/>
          <w:szCs w:val="24"/>
        </w:rPr>
        <w:t>опашни показатели</w:t>
      </w:r>
      <w:r w:rsidRPr="00197502">
        <w:rPr>
          <w:rFonts w:ascii="Times New Roman" w:hAnsi="Times New Roman"/>
          <w:sz w:val="24"/>
          <w:szCs w:val="24"/>
        </w:rPr>
        <w:t xml:space="preserve"> като Value-at-Risk (VaR), Conditional Value-at-Risk (CVaR) и максимален спад (Max Drawdown).</w:t>
      </w:r>
    </w:p>
    <w:p w14:paraId="7A1562DC" w14:textId="66CA3611"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 xml:space="preserve">Резултатите са синтезирани в </w:t>
      </w:r>
      <w:r w:rsidR="00FE35A9">
        <w:rPr>
          <w:rFonts w:ascii="Times New Roman" w:hAnsi="Times New Roman"/>
          <w:sz w:val="24"/>
          <w:szCs w:val="24"/>
        </w:rPr>
        <w:t>Табл. 3.4.</w:t>
      </w:r>
    </w:p>
    <w:p w14:paraId="217E859D" w14:textId="77777777" w:rsidR="00197502" w:rsidRPr="00197502" w:rsidRDefault="00197502" w:rsidP="00FE35A9">
      <w:pPr>
        <w:spacing w:line="360" w:lineRule="auto"/>
        <w:ind w:firstLine="708"/>
        <w:jc w:val="center"/>
        <w:rPr>
          <w:rFonts w:ascii="Times New Roman" w:hAnsi="Times New Roman"/>
          <w:b/>
          <w:bCs/>
          <w:sz w:val="24"/>
          <w:szCs w:val="24"/>
        </w:rPr>
      </w:pPr>
      <w:r w:rsidRPr="00197502">
        <w:rPr>
          <w:rFonts w:ascii="Times New Roman" w:hAnsi="Times New Roman"/>
          <w:b/>
          <w:bCs/>
          <w:sz w:val="24"/>
          <w:szCs w:val="24"/>
        </w:rPr>
        <w:t>Таблица 3.4. Основни показатели за риск и устойчивост</w:t>
      </w:r>
    </w:p>
    <w:tbl>
      <w:tblPr>
        <w:tblStyle w:val="TableGrid"/>
        <w:tblW w:w="0" w:type="auto"/>
        <w:tblLook w:val="04A0" w:firstRow="1" w:lastRow="0" w:firstColumn="1" w:lastColumn="0" w:noHBand="0" w:noVBand="1"/>
      </w:tblPr>
      <w:tblGrid>
        <w:gridCol w:w="6604"/>
        <w:gridCol w:w="1957"/>
      </w:tblGrid>
      <w:tr w:rsidR="00197502" w:rsidRPr="00197502" w14:paraId="2966C45D" w14:textId="77777777" w:rsidTr="00197502">
        <w:tc>
          <w:tcPr>
            <w:tcW w:w="0" w:type="auto"/>
            <w:hideMark/>
          </w:tcPr>
          <w:p w14:paraId="0DD89CE6" w14:textId="77777777" w:rsidR="00197502" w:rsidRPr="00197502" w:rsidRDefault="00197502" w:rsidP="00197502">
            <w:pPr>
              <w:spacing w:line="360" w:lineRule="auto"/>
              <w:ind w:firstLine="708"/>
              <w:jc w:val="both"/>
              <w:rPr>
                <w:rFonts w:ascii="Times New Roman" w:hAnsi="Times New Roman"/>
                <w:b/>
                <w:bCs/>
                <w:sz w:val="24"/>
                <w:szCs w:val="24"/>
              </w:rPr>
            </w:pPr>
            <w:r w:rsidRPr="00197502">
              <w:rPr>
                <w:rFonts w:ascii="Times New Roman" w:hAnsi="Times New Roman"/>
                <w:b/>
                <w:bCs/>
                <w:sz w:val="24"/>
                <w:szCs w:val="24"/>
              </w:rPr>
              <w:t>Мярка</w:t>
            </w:r>
          </w:p>
        </w:tc>
        <w:tc>
          <w:tcPr>
            <w:tcW w:w="0" w:type="auto"/>
            <w:hideMark/>
          </w:tcPr>
          <w:p w14:paraId="4A07D442" w14:textId="77777777" w:rsidR="00197502" w:rsidRPr="00197502" w:rsidRDefault="00197502" w:rsidP="00197502">
            <w:pPr>
              <w:spacing w:line="360" w:lineRule="auto"/>
              <w:ind w:firstLine="708"/>
              <w:jc w:val="both"/>
              <w:rPr>
                <w:rFonts w:ascii="Times New Roman" w:hAnsi="Times New Roman"/>
                <w:b/>
                <w:bCs/>
                <w:sz w:val="24"/>
                <w:szCs w:val="24"/>
              </w:rPr>
            </w:pPr>
            <w:r w:rsidRPr="00197502">
              <w:rPr>
                <w:rFonts w:ascii="Times New Roman" w:hAnsi="Times New Roman"/>
                <w:b/>
                <w:bCs/>
                <w:sz w:val="24"/>
                <w:szCs w:val="24"/>
              </w:rPr>
              <w:t>Стойност</w:t>
            </w:r>
          </w:p>
        </w:tc>
      </w:tr>
      <w:tr w:rsidR="00197502" w:rsidRPr="00197502" w14:paraId="67FFF393" w14:textId="77777777" w:rsidTr="00197502">
        <w:tc>
          <w:tcPr>
            <w:tcW w:w="0" w:type="auto"/>
            <w:hideMark/>
          </w:tcPr>
          <w:p w14:paraId="6687FC33"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Value-at-Risk (95%, мес.)</w:t>
            </w:r>
          </w:p>
        </w:tc>
        <w:tc>
          <w:tcPr>
            <w:tcW w:w="0" w:type="auto"/>
            <w:hideMark/>
          </w:tcPr>
          <w:p w14:paraId="09E31742"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b/>
                <w:bCs/>
                <w:sz w:val="24"/>
                <w:szCs w:val="24"/>
              </w:rPr>
              <w:t>–2.1%</w:t>
            </w:r>
          </w:p>
        </w:tc>
      </w:tr>
      <w:tr w:rsidR="00197502" w:rsidRPr="00197502" w14:paraId="4AAC4AE8" w14:textId="77777777" w:rsidTr="00197502">
        <w:tc>
          <w:tcPr>
            <w:tcW w:w="0" w:type="auto"/>
            <w:hideMark/>
          </w:tcPr>
          <w:p w14:paraId="61303BDF"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Conditional VaR (95%, мес.)</w:t>
            </w:r>
          </w:p>
        </w:tc>
        <w:tc>
          <w:tcPr>
            <w:tcW w:w="0" w:type="auto"/>
            <w:hideMark/>
          </w:tcPr>
          <w:p w14:paraId="1275C251"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b/>
                <w:bCs/>
                <w:sz w:val="24"/>
                <w:szCs w:val="24"/>
              </w:rPr>
              <w:t>–3.5%</w:t>
            </w:r>
          </w:p>
        </w:tc>
      </w:tr>
      <w:tr w:rsidR="00197502" w:rsidRPr="00197502" w14:paraId="654B37E3" w14:textId="77777777" w:rsidTr="00197502">
        <w:tc>
          <w:tcPr>
            <w:tcW w:w="0" w:type="auto"/>
            <w:hideMark/>
          </w:tcPr>
          <w:p w14:paraId="4EC289EF"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Волатилност на месечната доходност</w:t>
            </w:r>
          </w:p>
        </w:tc>
        <w:tc>
          <w:tcPr>
            <w:tcW w:w="0" w:type="auto"/>
            <w:hideMark/>
          </w:tcPr>
          <w:p w14:paraId="183285FF"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b/>
                <w:bCs/>
                <w:sz w:val="24"/>
                <w:szCs w:val="24"/>
              </w:rPr>
              <w:t>≈ 1.7%</w:t>
            </w:r>
          </w:p>
        </w:tc>
      </w:tr>
      <w:tr w:rsidR="00197502" w:rsidRPr="00197502" w14:paraId="1DE99273" w14:textId="77777777" w:rsidTr="00197502">
        <w:tc>
          <w:tcPr>
            <w:tcW w:w="0" w:type="auto"/>
            <w:hideMark/>
          </w:tcPr>
          <w:p w14:paraId="11ABFEC5"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Корелация с STOXX Europe 600</w:t>
            </w:r>
          </w:p>
        </w:tc>
        <w:tc>
          <w:tcPr>
            <w:tcW w:w="0" w:type="auto"/>
            <w:hideMark/>
          </w:tcPr>
          <w:p w14:paraId="0E599659"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b/>
                <w:bCs/>
                <w:sz w:val="24"/>
                <w:szCs w:val="24"/>
              </w:rPr>
              <w:t>0.06</w:t>
            </w:r>
          </w:p>
        </w:tc>
      </w:tr>
      <w:tr w:rsidR="00197502" w:rsidRPr="00197502" w14:paraId="55C8176F" w14:textId="77777777" w:rsidTr="00197502">
        <w:tc>
          <w:tcPr>
            <w:tcW w:w="0" w:type="auto"/>
            <w:hideMark/>
          </w:tcPr>
          <w:p w14:paraId="24A40F82"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Среден оборот (на тримесечие)</w:t>
            </w:r>
          </w:p>
        </w:tc>
        <w:tc>
          <w:tcPr>
            <w:tcW w:w="0" w:type="auto"/>
            <w:hideMark/>
          </w:tcPr>
          <w:p w14:paraId="44F3BDE0"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b/>
                <w:bCs/>
                <w:sz w:val="24"/>
                <w:szCs w:val="24"/>
              </w:rPr>
              <w:t>≈ 23%</w:t>
            </w:r>
          </w:p>
        </w:tc>
      </w:tr>
      <w:tr w:rsidR="00197502" w:rsidRPr="00197502" w14:paraId="1E071165" w14:textId="77777777" w:rsidTr="00197502">
        <w:tc>
          <w:tcPr>
            <w:tcW w:w="0" w:type="auto"/>
            <w:hideMark/>
          </w:tcPr>
          <w:p w14:paraId="7837EE17"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sz w:val="24"/>
                <w:szCs w:val="24"/>
              </w:rPr>
              <w:t>Нетна годишна доходност след транзакционни разходи</w:t>
            </w:r>
          </w:p>
        </w:tc>
        <w:tc>
          <w:tcPr>
            <w:tcW w:w="0" w:type="auto"/>
            <w:hideMark/>
          </w:tcPr>
          <w:p w14:paraId="14B5D05C" w14:textId="77777777"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b/>
                <w:bCs/>
                <w:sz w:val="24"/>
                <w:szCs w:val="24"/>
              </w:rPr>
              <w:t>≈ 7.4%</w:t>
            </w:r>
          </w:p>
        </w:tc>
      </w:tr>
    </w:tbl>
    <w:p w14:paraId="10331D78" w14:textId="29A146F4"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i/>
          <w:iCs/>
          <w:sz w:val="24"/>
          <w:szCs w:val="24"/>
        </w:rPr>
        <w:t>Източник: изчисления на автора.</w:t>
      </w:r>
    </w:p>
    <w:p w14:paraId="13FE4CE7" w14:textId="77777777" w:rsidR="00197502" w:rsidRPr="00FE35A9" w:rsidRDefault="00197502" w:rsidP="00197502">
      <w:pPr>
        <w:spacing w:line="360" w:lineRule="auto"/>
        <w:ind w:firstLine="708"/>
        <w:jc w:val="both"/>
        <w:rPr>
          <w:rFonts w:ascii="Times New Roman" w:hAnsi="Times New Roman"/>
          <w:sz w:val="24"/>
          <w:szCs w:val="24"/>
        </w:rPr>
      </w:pPr>
      <w:r w:rsidRPr="00FE35A9">
        <w:rPr>
          <w:rFonts w:ascii="Times New Roman" w:hAnsi="Times New Roman"/>
          <w:sz w:val="24"/>
          <w:szCs w:val="24"/>
        </w:rPr>
        <w:t>Тези стойности показват изключително стабилен риск-профил. Волатилността на месечната доходност е едва 1.7%, което е в пъти по-ниско от стандартните стойности за дълги акции в STOXX Europe 600. Ниската корелация (0.06) потвърждава реална диверсификация и независимост от пазарните движения. Дори в стресови сценарии, 95% CVaR не надвишава –3.5%, което свидетелства за контролирани загуби и отсъствие на опашен риск.</w:t>
      </w:r>
    </w:p>
    <w:p w14:paraId="1DD8F843" w14:textId="77777777" w:rsidR="00197502" w:rsidRPr="00FE35A9" w:rsidRDefault="00197502" w:rsidP="00197502">
      <w:pPr>
        <w:spacing w:line="360" w:lineRule="auto"/>
        <w:ind w:firstLine="708"/>
        <w:jc w:val="both"/>
        <w:rPr>
          <w:rFonts w:ascii="Times New Roman" w:hAnsi="Times New Roman"/>
          <w:sz w:val="24"/>
          <w:szCs w:val="24"/>
        </w:rPr>
      </w:pPr>
      <w:r w:rsidRPr="00FE35A9">
        <w:rPr>
          <w:rFonts w:ascii="Times New Roman" w:hAnsi="Times New Roman"/>
          <w:sz w:val="24"/>
          <w:szCs w:val="24"/>
        </w:rPr>
        <w:t>Средният оборот от 23% на тримесечие показва умерена търговска активност и добра оперативна ефективност – стратегията не изисква висока честота на сделки, което значително намалява транзакционните разходи и поддържа стабилност на реализациите.</w:t>
      </w:r>
    </w:p>
    <w:p w14:paraId="27B8DA9D" w14:textId="77777777" w:rsidR="00197502" w:rsidRPr="00FE35A9" w:rsidRDefault="00197502" w:rsidP="00197502">
      <w:pPr>
        <w:spacing w:line="360" w:lineRule="auto"/>
        <w:ind w:firstLine="708"/>
        <w:jc w:val="both"/>
        <w:rPr>
          <w:rFonts w:ascii="Times New Roman" w:hAnsi="Times New Roman"/>
          <w:sz w:val="24"/>
          <w:szCs w:val="24"/>
        </w:rPr>
      </w:pPr>
      <w:r w:rsidRPr="00FE35A9">
        <w:rPr>
          <w:rFonts w:ascii="Times New Roman" w:hAnsi="Times New Roman"/>
          <w:sz w:val="24"/>
          <w:szCs w:val="24"/>
        </w:rPr>
        <w:lastRenderedPageBreak/>
        <w:t>Кумулативният профил на максималните спадове (Фигура 3.3) показва бързи възстановявания след временни спадове и отсъствие на продължителни негативни фази. Това демонстрира ефективно таргетиране на волатилността чрез фиксирана брутна експозиция, годишно ребалансиране и систематично поддържане на равни тегла в дългата и късата част на портфейла.</w:t>
      </w:r>
    </w:p>
    <w:p w14:paraId="1873E30D" w14:textId="3594D9EE" w:rsidR="00197502" w:rsidRPr="00C67F33" w:rsidRDefault="00197502" w:rsidP="00FE35A9">
      <w:pPr>
        <w:spacing w:line="360" w:lineRule="auto"/>
        <w:ind w:firstLine="708"/>
        <w:jc w:val="center"/>
        <w:rPr>
          <w:i/>
          <w:iCs/>
        </w:rPr>
      </w:pPr>
      <w:r w:rsidRPr="00197502">
        <w:rPr>
          <w:rFonts w:ascii="Times New Roman" w:hAnsi="Times New Roman"/>
          <w:b/>
          <w:bCs/>
          <w:sz w:val="24"/>
          <w:szCs w:val="24"/>
        </w:rPr>
        <w:t>Фигура 3.3. Динамика на максималните спадове (drawdown) на портфейла</w:t>
      </w:r>
      <w:r w:rsidRPr="00197502">
        <w:rPr>
          <w:rFonts w:ascii="Times New Roman" w:hAnsi="Times New Roman"/>
          <w:sz w:val="24"/>
          <w:szCs w:val="24"/>
        </w:rPr>
        <w:br/>
      </w:r>
      <w:r w:rsidR="0001545D" w:rsidRPr="00C67F33">
        <w:rPr>
          <w:i/>
          <w:iCs/>
          <w:noProof/>
        </w:rPr>
        <w:drawing>
          <wp:inline distT="0" distB="0" distL="0" distR="0" wp14:anchorId="603A52DE" wp14:editId="0E4C4977">
            <wp:extent cx="5760720" cy="3127375"/>
            <wp:effectExtent l="0" t="0" r="0" b="0"/>
            <wp:docPr id="1934468265" name="Picture 6"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8265" name="Picture 6" descr="A graph with blue lin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127375"/>
                    </a:xfrm>
                    <a:prstGeom prst="rect">
                      <a:avLst/>
                    </a:prstGeom>
                    <a:noFill/>
                    <a:ln>
                      <a:noFill/>
                    </a:ln>
                  </pic:spPr>
                </pic:pic>
              </a:graphicData>
            </a:graphic>
          </wp:inline>
        </w:drawing>
      </w:r>
    </w:p>
    <w:p w14:paraId="79A77C51" w14:textId="5A5560EA" w:rsidR="00197502" w:rsidRPr="00197502" w:rsidRDefault="00197502" w:rsidP="00197502">
      <w:pPr>
        <w:spacing w:line="360" w:lineRule="auto"/>
        <w:ind w:firstLine="708"/>
        <w:jc w:val="both"/>
        <w:rPr>
          <w:rFonts w:ascii="Times New Roman" w:hAnsi="Times New Roman"/>
          <w:sz w:val="24"/>
          <w:szCs w:val="24"/>
        </w:rPr>
      </w:pPr>
      <w:r w:rsidRPr="00197502">
        <w:rPr>
          <w:rFonts w:ascii="Times New Roman" w:hAnsi="Times New Roman"/>
          <w:i/>
          <w:iCs/>
          <w:sz w:val="24"/>
          <w:szCs w:val="24"/>
        </w:rPr>
        <w:t>Източник: изчисления на автора.</w:t>
      </w:r>
    </w:p>
    <w:p w14:paraId="295933FA" w14:textId="10D6BE17" w:rsidR="00197502" w:rsidRPr="00B46648" w:rsidRDefault="00B46648" w:rsidP="00197502">
      <w:pPr>
        <w:spacing w:line="360" w:lineRule="auto"/>
        <w:ind w:firstLine="708"/>
        <w:jc w:val="both"/>
        <w:rPr>
          <w:rFonts w:ascii="Times New Roman" w:hAnsi="Times New Roman"/>
          <w:sz w:val="24"/>
          <w:szCs w:val="24"/>
        </w:rPr>
      </w:pPr>
      <w:r w:rsidRPr="00B46648">
        <w:rPr>
          <w:rFonts w:ascii="Times New Roman" w:hAnsi="Times New Roman"/>
          <w:sz w:val="24"/>
          <w:szCs w:val="24"/>
        </w:rPr>
        <w:t xml:space="preserve">Направеният </w:t>
      </w:r>
      <w:r w:rsidR="00197502" w:rsidRPr="00B46648">
        <w:rPr>
          <w:rFonts w:ascii="Times New Roman" w:hAnsi="Times New Roman"/>
          <w:sz w:val="24"/>
          <w:szCs w:val="24"/>
        </w:rPr>
        <w:t>риск-анализ потвърждава, че портфейлът демонстрира висока устойчивост и ниска уязвимост дори в условията на силно променлива макросреда. Това е характерна черта на добре калибрирана пазарно неутрална стратегия, при която идосинкратичният източник на доходност остава основният двигател, независимо от фазата на пазарния цикъл.</w:t>
      </w:r>
    </w:p>
    <w:p w14:paraId="46D19E72" w14:textId="10998DA6" w:rsidR="00057B6F" w:rsidRPr="00B46648" w:rsidRDefault="00057B6F" w:rsidP="00057B6F">
      <w:pPr>
        <w:spacing w:line="360" w:lineRule="auto"/>
        <w:ind w:firstLine="708"/>
        <w:jc w:val="both"/>
        <w:rPr>
          <w:rFonts w:ascii="Times New Roman" w:hAnsi="Times New Roman"/>
          <w:b/>
          <w:bCs/>
          <w:sz w:val="24"/>
          <w:szCs w:val="24"/>
        </w:rPr>
      </w:pPr>
      <w:r w:rsidRPr="00B46648">
        <w:rPr>
          <w:rFonts w:ascii="Times New Roman" w:hAnsi="Times New Roman"/>
          <w:b/>
          <w:bCs/>
          <w:sz w:val="24"/>
          <w:szCs w:val="24"/>
        </w:rPr>
        <w:t xml:space="preserve">3.5. </w:t>
      </w:r>
      <w:r w:rsidR="003F4B0B" w:rsidRPr="00B46648">
        <w:rPr>
          <w:rFonts w:ascii="Times New Roman" w:hAnsi="Times New Roman"/>
          <w:b/>
          <w:bCs/>
          <w:sz w:val="24"/>
          <w:szCs w:val="24"/>
        </w:rPr>
        <w:t>Интерпретация и ограничения</w:t>
      </w:r>
    </w:p>
    <w:p w14:paraId="1A7D802A" w14:textId="77777777" w:rsidR="00927E3D" w:rsidRPr="00B46648" w:rsidRDefault="00927E3D" w:rsidP="00927E3D">
      <w:pPr>
        <w:spacing w:line="360" w:lineRule="auto"/>
        <w:ind w:firstLine="708"/>
        <w:jc w:val="both"/>
        <w:rPr>
          <w:rFonts w:ascii="Times New Roman" w:hAnsi="Times New Roman"/>
          <w:sz w:val="24"/>
          <w:szCs w:val="24"/>
        </w:rPr>
      </w:pPr>
      <w:r w:rsidRPr="00B46648">
        <w:rPr>
          <w:rFonts w:ascii="Times New Roman" w:hAnsi="Times New Roman"/>
          <w:sz w:val="24"/>
          <w:szCs w:val="24"/>
        </w:rPr>
        <w:t xml:space="preserve">Общата интерпретация на резултатите е недвусмислена: конструираният фундаментален композитен скор успява да улавя структурна и устойчива предсказуемост в крос-секционното разпределение на доходностите на европейските акции. Въпреки ограничената извадка, стратегията показва значителна извънпробна ефективност, което демонстрира, че фундаменталните сигнали, когато са индустриално </w:t>
      </w:r>
      <w:r w:rsidRPr="00B46648">
        <w:rPr>
          <w:rFonts w:ascii="Times New Roman" w:hAnsi="Times New Roman"/>
          <w:sz w:val="24"/>
          <w:szCs w:val="24"/>
        </w:rPr>
        <w:lastRenderedPageBreak/>
        <w:t>неутрализирани и агрегирани по научен метод, могат да бъдат надежден източник на идосинкратична алфа.</w:t>
      </w:r>
    </w:p>
    <w:p w14:paraId="5BAA96EF" w14:textId="77777777" w:rsidR="00927E3D" w:rsidRPr="00B46648" w:rsidRDefault="00927E3D" w:rsidP="00927E3D">
      <w:pPr>
        <w:spacing w:line="360" w:lineRule="auto"/>
        <w:ind w:firstLine="708"/>
        <w:jc w:val="both"/>
        <w:rPr>
          <w:rFonts w:ascii="Times New Roman" w:hAnsi="Times New Roman"/>
          <w:sz w:val="24"/>
          <w:szCs w:val="24"/>
        </w:rPr>
      </w:pPr>
      <w:r w:rsidRPr="00B46648">
        <w:rPr>
          <w:rFonts w:ascii="Times New Roman" w:hAnsi="Times New Roman"/>
          <w:sz w:val="24"/>
          <w:szCs w:val="24"/>
        </w:rPr>
        <w:t>Реализираният Sharpe ratio от 1.33 и Information ratio от 0.90 поставят стратегията в горния квинтил на съвременните академични и индустриални изследвания за пазарно неутрални портфейли. Ниската пазарна бета (0.05) и отсъствието на значими факторни експозиции потвърждават, че доходността не е функция на стилов риск, а на истинска фундаментална селекция.</w:t>
      </w:r>
    </w:p>
    <w:p w14:paraId="3A6D3A32" w14:textId="77777777" w:rsidR="00927E3D" w:rsidRPr="00B46648" w:rsidRDefault="00927E3D" w:rsidP="00927E3D">
      <w:pPr>
        <w:spacing w:line="360" w:lineRule="auto"/>
        <w:ind w:firstLine="708"/>
        <w:jc w:val="both"/>
        <w:rPr>
          <w:rFonts w:ascii="Times New Roman" w:hAnsi="Times New Roman"/>
          <w:sz w:val="24"/>
          <w:szCs w:val="24"/>
        </w:rPr>
      </w:pPr>
      <w:r w:rsidRPr="00B46648">
        <w:rPr>
          <w:rFonts w:ascii="Times New Roman" w:hAnsi="Times New Roman"/>
          <w:sz w:val="24"/>
          <w:szCs w:val="24"/>
        </w:rPr>
        <w:t>Резултатите подчертават и силната устойчивост при различни пазарни режими – възстановяване след пандемията, инфлационен натиск, цикъл на повишаване на лихвите и постепенно нормализиране на паричната политика. Портфейлът запазва положителна динамика дори при неблагоприятни пазарни условия, което свидетелства за добра диверсификация и стабилна икономическа логика на факторния модел.</w:t>
      </w:r>
    </w:p>
    <w:p w14:paraId="0B5E752C" w14:textId="77777777" w:rsidR="00927E3D" w:rsidRPr="00927E3D" w:rsidRDefault="00927E3D" w:rsidP="00927E3D">
      <w:pPr>
        <w:spacing w:line="360" w:lineRule="auto"/>
        <w:ind w:firstLine="708"/>
        <w:jc w:val="both"/>
        <w:rPr>
          <w:rFonts w:ascii="Times New Roman" w:hAnsi="Times New Roman"/>
          <w:b/>
          <w:bCs/>
          <w:sz w:val="24"/>
          <w:szCs w:val="24"/>
        </w:rPr>
      </w:pPr>
      <w:r w:rsidRPr="00927E3D">
        <w:rPr>
          <w:rFonts w:ascii="Times New Roman" w:hAnsi="Times New Roman"/>
          <w:b/>
          <w:bCs/>
          <w:sz w:val="24"/>
          <w:szCs w:val="24"/>
        </w:rPr>
        <w:t>Основни ограничения</w:t>
      </w:r>
    </w:p>
    <w:p w14:paraId="5FAB5781" w14:textId="77777777" w:rsidR="00B46648" w:rsidRDefault="00927E3D" w:rsidP="00B46648">
      <w:pPr>
        <w:spacing w:line="360" w:lineRule="auto"/>
        <w:ind w:firstLine="708"/>
        <w:jc w:val="both"/>
        <w:rPr>
          <w:rFonts w:ascii="Times New Roman" w:hAnsi="Times New Roman"/>
          <w:sz w:val="24"/>
          <w:szCs w:val="24"/>
        </w:rPr>
      </w:pPr>
      <w:r w:rsidRPr="00927E3D">
        <w:rPr>
          <w:rFonts w:ascii="Times New Roman" w:hAnsi="Times New Roman"/>
          <w:b/>
          <w:bCs/>
          <w:sz w:val="24"/>
          <w:szCs w:val="24"/>
        </w:rPr>
        <w:t>Времеви обхват.</w:t>
      </w:r>
      <w:r w:rsidRPr="00927E3D">
        <w:rPr>
          <w:rFonts w:ascii="Times New Roman" w:hAnsi="Times New Roman"/>
          <w:sz w:val="24"/>
          <w:szCs w:val="24"/>
        </w:rPr>
        <w:t xml:space="preserve"> Анализът обхваща периода 2021–2024, който, макар и представителен, е относително кратък и белязан от уникални макроикономически събития. Разширяването на извадката би позволило потвърждаване на устойчивостта през различни цикли.</w:t>
      </w:r>
    </w:p>
    <w:p w14:paraId="56F54F1F" w14:textId="77777777" w:rsidR="00B46648" w:rsidRDefault="00927E3D" w:rsidP="00B46648">
      <w:pPr>
        <w:spacing w:line="360" w:lineRule="auto"/>
        <w:ind w:firstLine="708"/>
        <w:jc w:val="both"/>
        <w:rPr>
          <w:rFonts w:ascii="Times New Roman" w:hAnsi="Times New Roman"/>
          <w:sz w:val="24"/>
          <w:szCs w:val="24"/>
        </w:rPr>
      </w:pPr>
      <w:r w:rsidRPr="00927E3D">
        <w:rPr>
          <w:rFonts w:ascii="Times New Roman" w:hAnsi="Times New Roman"/>
          <w:b/>
          <w:bCs/>
          <w:sz w:val="24"/>
          <w:szCs w:val="24"/>
        </w:rPr>
        <w:t>Факторни проксита.</w:t>
      </w:r>
      <w:r w:rsidRPr="00927E3D">
        <w:rPr>
          <w:rFonts w:ascii="Times New Roman" w:hAnsi="Times New Roman"/>
          <w:sz w:val="24"/>
          <w:szCs w:val="24"/>
        </w:rPr>
        <w:t xml:space="preserve"> Използваните стилови проксита са конструирани от публични данни и могат да се разглеждат като опростена версия спрямо индустриални рискови модели (напр. Barra или Axioma).</w:t>
      </w:r>
    </w:p>
    <w:p w14:paraId="41C1C6C4" w14:textId="46236563" w:rsidR="00927E3D" w:rsidRPr="00927E3D" w:rsidRDefault="00927E3D" w:rsidP="00B46648">
      <w:pPr>
        <w:spacing w:line="360" w:lineRule="auto"/>
        <w:ind w:firstLine="708"/>
        <w:jc w:val="both"/>
        <w:rPr>
          <w:rFonts w:ascii="Times New Roman" w:hAnsi="Times New Roman"/>
          <w:sz w:val="24"/>
          <w:szCs w:val="24"/>
        </w:rPr>
      </w:pPr>
      <w:r w:rsidRPr="00927E3D">
        <w:rPr>
          <w:rFonts w:ascii="Times New Roman" w:hAnsi="Times New Roman"/>
          <w:b/>
          <w:bCs/>
          <w:sz w:val="24"/>
          <w:szCs w:val="24"/>
        </w:rPr>
        <w:t>Структура на теглата.</w:t>
      </w:r>
      <w:r w:rsidRPr="00927E3D">
        <w:rPr>
          <w:rFonts w:ascii="Times New Roman" w:hAnsi="Times New Roman"/>
          <w:sz w:val="24"/>
          <w:szCs w:val="24"/>
        </w:rPr>
        <w:t xml:space="preserve"> Теглата в портфейла са равни и не включват волатилностно мащабиране или адаптивни бандове, които биха могли допълнително да подобрят съотношението доходност–риск.</w:t>
      </w:r>
    </w:p>
    <w:p w14:paraId="41F3265E" w14:textId="77777777" w:rsidR="00927E3D" w:rsidRPr="00927E3D" w:rsidRDefault="00927E3D" w:rsidP="00927E3D">
      <w:pPr>
        <w:spacing w:line="360" w:lineRule="auto"/>
        <w:ind w:firstLine="708"/>
        <w:jc w:val="both"/>
        <w:rPr>
          <w:rFonts w:ascii="Times New Roman" w:hAnsi="Times New Roman"/>
          <w:b/>
          <w:bCs/>
          <w:sz w:val="24"/>
          <w:szCs w:val="24"/>
        </w:rPr>
      </w:pPr>
      <w:r w:rsidRPr="00927E3D">
        <w:rPr>
          <w:rFonts w:ascii="Times New Roman" w:hAnsi="Times New Roman"/>
          <w:b/>
          <w:bCs/>
          <w:sz w:val="24"/>
          <w:szCs w:val="24"/>
        </w:rPr>
        <w:t>Заключителна интерпретация</w:t>
      </w:r>
    </w:p>
    <w:p w14:paraId="2813C3D5" w14:textId="041D8FBE" w:rsidR="00927E3D" w:rsidRPr="00B46648" w:rsidRDefault="00927E3D" w:rsidP="00927E3D">
      <w:pPr>
        <w:spacing w:line="360" w:lineRule="auto"/>
        <w:ind w:firstLine="708"/>
        <w:jc w:val="both"/>
        <w:rPr>
          <w:rFonts w:ascii="Times New Roman" w:hAnsi="Times New Roman"/>
          <w:sz w:val="24"/>
          <w:szCs w:val="24"/>
        </w:rPr>
      </w:pPr>
      <w:r w:rsidRPr="00B46648">
        <w:rPr>
          <w:rFonts w:ascii="Times New Roman" w:hAnsi="Times New Roman"/>
          <w:sz w:val="24"/>
          <w:szCs w:val="24"/>
        </w:rPr>
        <w:t xml:space="preserve">Въпреки тези ограничения, </w:t>
      </w:r>
      <w:r w:rsidR="00B46648" w:rsidRPr="00B46648">
        <w:rPr>
          <w:rFonts w:ascii="Times New Roman" w:hAnsi="Times New Roman"/>
          <w:sz w:val="24"/>
          <w:szCs w:val="24"/>
        </w:rPr>
        <w:t>можем да твърдим, че п</w:t>
      </w:r>
      <w:r w:rsidRPr="00B46648">
        <w:rPr>
          <w:rFonts w:ascii="Times New Roman" w:hAnsi="Times New Roman"/>
          <w:sz w:val="24"/>
          <w:szCs w:val="24"/>
        </w:rPr>
        <w:t>ортфейлът генерира устойчива, статистически значима ид</w:t>
      </w:r>
      <w:r w:rsidR="00B46648" w:rsidRPr="00B46648">
        <w:rPr>
          <w:rFonts w:ascii="Times New Roman" w:hAnsi="Times New Roman"/>
          <w:sz w:val="24"/>
          <w:szCs w:val="24"/>
        </w:rPr>
        <w:t>и</w:t>
      </w:r>
      <w:r w:rsidRPr="00B46648">
        <w:rPr>
          <w:rFonts w:ascii="Times New Roman" w:hAnsi="Times New Roman"/>
          <w:sz w:val="24"/>
          <w:szCs w:val="24"/>
        </w:rPr>
        <w:t>осинкратична алфа, която не може да бъде обяснена от пазарни или стилови фактори. Този резултат демонстрира потенциала на систематичния фундаментален подход като инструмент за генериране на предсказуема стойност в среда на висока пазарна комплексност и променливост.</w:t>
      </w:r>
    </w:p>
    <w:p w14:paraId="194C9A7F" w14:textId="77777777" w:rsidR="00927E3D" w:rsidRPr="00B46648" w:rsidRDefault="00927E3D" w:rsidP="00927E3D">
      <w:pPr>
        <w:spacing w:line="360" w:lineRule="auto"/>
        <w:ind w:firstLine="708"/>
        <w:jc w:val="both"/>
        <w:rPr>
          <w:rFonts w:ascii="Times New Roman" w:hAnsi="Times New Roman"/>
          <w:sz w:val="24"/>
          <w:szCs w:val="24"/>
        </w:rPr>
      </w:pPr>
      <w:r w:rsidRPr="00B46648">
        <w:rPr>
          <w:rFonts w:ascii="Times New Roman" w:hAnsi="Times New Roman"/>
          <w:sz w:val="24"/>
          <w:szCs w:val="24"/>
        </w:rPr>
        <w:lastRenderedPageBreak/>
        <w:t>Така изградената стратегия представлява функционален пример за пазарно неутрално управление, което комбинира аналитична строгост, дисциплинирана оптимизация и реалистично управление на риска – предпоставки за устойчиво представяне и практическа приложимост в съвременния инвестиционен контекст.</w:t>
      </w:r>
    </w:p>
    <w:p w14:paraId="16F4B802" w14:textId="77777777" w:rsidR="006419F7" w:rsidRPr="00C67F33" w:rsidRDefault="006419F7" w:rsidP="00057B6F">
      <w:pPr>
        <w:spacing w:line="360" w:lineRule="auto"/>
        <w:ind w:firstLine="708"/>
        <w:jc w:val="both"/>
        <w:rPr>
          <w:rFonts w:ascii="Times New Roman" w:hAnsi="Times New Roman"/>
          <w:b/>
          <w:bCs/>
          <w:sz w:val="24"/>
          <w:szCs w:val="24"/>
        </w:rPr>
      </w:pPr>
    </w:p>
    <w:p w14:paraId="53A1CBF7" w14:textId="77777777" w:rsidR="00B46648" w:rsidRDefault="00B46648">
      <w:pPr>
        <w:spacing w:after="0" w:line="240" w:lineRule="auto"/>
        <w:rPr>
          <w:rFonts w:ascii="Times New Roman" w:hAnsi="Times New Roman"/>
          <w:b/>
          <w:bCs/>
          <w:sz w:val="24"/>
          <w:szCs w:val="24"/>
        </w:rPr>
      </w:pPr>
      <w:r>
        <w:rPr>
          <w:rFonts w:ascii="Times New Roman" w:hAnsi="Times New Roman"/>
          <w:b/>
          <w:bCs/>
          <w:sz w:val="24"/>
          <w:szCs w:val="24"/>
        </w:rPr>
        <w:br w:type="page"/>
      </w:r>
    </w:p>
    <w:p w14:paraId="72B84C1C" w14:textId="7D201A67" w:rsidR="00057B6F" w:rsidRDefault="00057B6F" w:rsidP="00112EC3">
      <w:pPr>
        <w:spacing w:line="360" w:lineRule="auto"/>
        <w:ind w:firstLine="708"/>
        <w:jc w:val="both"/>
        <w:rPr>
          <w:rFonts w:ascii="Times New Roman" w:hAnsi="Times New Roman"/>
          <w:sz w:val="24"/>
          <w:szCs w:val="24"/>
        </w:rPr>
      </w:pPr>
      <w:r w:rsidRPr="00C67F33">
        <w:rPr>
          <w:rFonts w:ascii="Times New Roman" w:hAnsi="Times New Roman"/>
          <w:b/>
          <w:bCs/>
          <w:sz w:val="24"/>
          <w:szCs w:val="24"/>
        </w:rPr>
        <w:lastRenderedPageBreak/>
        <w:t>Заключение</w:t>
      </w:r>
    </w:p>
    <w:p w14:paraId="53A3433B" w14:textId="77777777" w:rsidR="00112EC3" w:rsidRPr="00112EC3" w:rsidRDefault="00112EC3" w:rsidP="00112EC3">
      <w:pPr>
        <w:spacing w:line="360" w:lineRule="auto"/>
        <w:ind w:firstLine="708"/>
        <w:jc w:val="both"/>
        <w:rPr>
          <w:rFonts w:ascii="Times New Roman" w:hAnsi="Times New Roman"/>
          <w:sz w:val="24"/>
          <w:szCs w:val="24"/>
          <w:lang w:val="en-GB"/>
        </w:rPr>
      </w:pPr>
      <w:proofErr w:type="spellStart"/>
      <w:r w:rsidRPr="00112EC3">
        <w:rPr>
          <w:rFonts w:ascii="Times New Roman" w:hAnsi="Times New Roman"/>
          <w:sz w:val="24"/>
          <w:szCs w:val="24"/>
          <w:lang w:val="en-GB"/>
        </w:rPr>
        <w:t>Представеното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изследване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демонстрира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систематичният</w:t>
      </w:r>
      <w:proofErr w:type="spellEnd"/>
      <w:r w:rsidRPr="00112EC3">
        <w:rPr>
          <w:rFonts w:ascii="Times New Roman" w:hAnsi="Times New Roman"/>
          <w:sz w:val="24"/>
          <w:szCs w:val="24"/>
          <w:lang w:val="en-GB"/>
        </w:rPr>
        <w:t xml:space="preserve"> bottom-up </w:t>
      </w:r>
      <w:proofErr w:type="spellStart"/>
      <w:r w:rsidRPr="00112EC3">
        <w:rPr>
          <w:rFonts w:ascii="Times New Roman" w:hAnsi="Times New Roman"/>
          <w:sz w:val="24"/>
          <w:szCs w:val="24"/>
          <w:lang w:val="en-GB"/>
        </w:rPr>
        <w:t>подход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основан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индустриално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неутрализирани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индикатори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агрегирани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композитен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скор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може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генерира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устойчива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идиосинкратична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алфа</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европейския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акционерен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контекст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Емпиричните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резултати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показват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средна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годишна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порядъка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8.1%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годишна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волатилност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около</w:t>
      </w:r>
      <w:proofErr w:type="spellEnd"/>
      <w:r w:rsidRPr="00112EC3">
        <w:rPr>
          <w:rFonts w:ascii="Times New Roman" w:hAnsi="Times New Roman"/>
          <w:sz w:val="24"/>
          <w:szCs w:val="24"/>
          <w:lang w:val="en-GB"/>
        </w:rPr>
        <w:t xml:space="preserve"> 6.0%, </w:t>
      </w:r>
      <w:proofErr w:type="spellStart"/>
      <w:r w:rsidRPr="00112EC3">
        <w:rPr>
          <w:rFonts w:ascii="Times New Roman" w:hAnsi="Times New Roman"/>
          <w:sz w:val="24"/>
          <w:szCs w:val="24"/>
          <w:lang w:val="en-GB"/>
        </w:rPr>
        <w:t>което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материализира</w:t>
      </w:r>
      <w:proofErr w:type="spellEnd"/>
      <w:r w:rsidRPr="00112EC3">
        <w:rPr>
          <w:rFonts w:ascii="Times New Roman" w:hAnsi="Times New Roman"/>
          <w:sz w:val="24"/>
          <w:szCs w:val="24"/>
          <w:lang w:val="en-GB"/>
        </w:rPr>
        <w:t xml:space="preserve"> в Sharpe ratio 1.33 и Information ratio 0.90. </w:t>
      </w:r>
      <w:proofErr w:type="spellStart"/>
      <w:r w:rsidRPr="00112EC3">
        <w:rPr>
          <w:rFonts w:ascii="Times New Roman" w:hAnsi="Times New Roman"/>
          <w:sz w:val="24"/>
          <w:szCs w:val="24"/>
          <w:lang w:val="en-GB"/>
        </w:rPr>
        <w:t>Ниската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бета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около</w:t>
      </w:r>
      <w:proofErr w:type="spellEnd"/>
      <w:r w:rsidRPr="00112EC3">
        <w:rPr>
          <w:rFonts w:ascii="Times New Roman" w:hAnsi="Times New Roman"/>
          <w:sz w:val="24"/>
          <w:szCs w:val="24"/>
          <w:lang w:val="en-GB"/>
        </w:rPr>
        <w:t xml:space="preserve"> 0.05 и </w:t>
      </w:r>
      <w:proofErr w:type="spellStart"/>
      <w:r w:rsidRPr="00112EC3">
        <w:rPr>
          <w:rFonts w:ascii="Times New Roman" w:hAnsi="Times New Roman"/>
          <w:sz w:val="24"/>
          <w:szCs w:val="24"/>
          <w:lang w:val="en-GB"/>
        </w:rPr>
        <w:t>ограничен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максимален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спад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приблизително</w:t>
      </w:r>
      <w:proofErr w:type="spellEnd"/>
      <w:r w:rsidRPr="00112EC3">
        <w:rPr>
          <w:rFonts w:ascii="Times New Roman" w:hAnsi="Times New Roman"/>
          <w:sz w:val="24"/>
          <w:szCs w:val="24"/>
          <w:lang w:val="en-GB"/>
        </w:rPr>
        <w:t xml:space="preserve"> –5.8% </w:t>
      </w:r>
      <w:proofErr w:type="spellStart"/>
      <w:r w:rsidRPr="00112EC3">
        <w:rPr>
          <w:rFonts w:ascii="Times New Roman" w:hAnsi="Times New Roman"/>
          <w:sz w:val="24"/>
          <w:szCs w:val="24"/>
          <w:lang w:val="en-GB"/>
        </w:rPr>
        <w:t>подсилват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извода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произтича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предимно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селекция</w:t>
      </w:r>
      <w:proofErr w:type="spellEnd"/>
      <w:r w:rsidRPr="00112EC3">
        <w:rPr>
          <w:rFonts w:ascii="Times New Roman" w:hAnsi="Times New Roman"/>
          <w:sz w:val="24"/>
          <w:szCs w:val="24"/>
          <w:lang w:val="en-GB"/>
        </w:rPr>
        <w:t xml:space="preserve">, а </w:t>
      </w:r>
      <w:proofErr w:type="spellStart"/>
      <w:r w:rsidRPr="00112EC3">
        <w:rPr>
          <w:rFonts w:ascii="Times New Roman" w:hAnsi="Times New Roman"/>
          <w:sz w:val="24"/>
          <w:szCs w:val="24"/>
          <w:lang w:val="en-GB"/>
        </w:rPr>
        <w:t>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експозиция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систематични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рискове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Тези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показатели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позиционират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стратегията</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горния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квинтил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портфейли</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рамките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проучвания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период</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потвърждават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валидността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поставената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хипотеза</w:t>
      </w:r>
      <w:proofErr w:type="spellEnd"/>
      <w:r w:rsidRPr="00112EC3">
        <w:rPr>
          <w:rFonts w:ascii="Times New Roman" w:hAnsi="Times New Roman"/>
          <w:sz w:val="24"/>
          <w:szCs w:val="24"/>
          <w:lang w:val="en-GB"/>
        </w:rPr>
        <w:t xml:space="preserve">. </w:t>
      </w:r>
    </w:p>
    <w:p w14:paraId="39570666" w14:textId="77777777" w:rsidR="00112EC3" w:rsidRPr="00112EC3" w:rsidRDefault="00112EC3" w:rsidP="00112EC3">
      <w:pPr>
        <w:spacing w:line="360" w:lineRule="auto"/>
        <w:ind w:firstLine="708"/>
        <w:jc w:val="both"/>
        <w:rPr>
          <w:rFonts w:ascii="Times New Roman" w:hAnsi="Times New Roman"/>
          <w:sz w:val="24"/>
          <w:szCs w:val="24"/>
          <w:lang w:val="en-GB"/>
        </w:rPr>
      </w:pPr>
      <w:proofErr w:type="spellStart"/>
      <w:r w:rsidRPr="00112EC3">
        <w:rPr>
          <w:rFonts w:ascii="Times New Roman" w:hAnsi="Times New Roman"/>
          <w:sz w:val="24"/>
          <w:szCs w:val="24"/>
          <w:lang w:val="en-GB"/>
        </w:rPr>
        <w:t>Подробните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факторни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разлагания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свидетелстват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отсъствие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статистически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значими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натоварвания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класическите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стилове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размер</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стойност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инерция</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качество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означава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реализираният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излишък</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w:t>
      </w:r>
      <w:proofErr w:type="spellEnd"/>
      <w:r w:rsidRPr="00112EC3">
        <w:rPr>
          <w:rFonts w:ascii="Times New Roman" w:hAnsi="Times New Roman"/>
          <w:sz w:val="24"/>
          <w:szCs w:val="24"/>
          <w:lang w:val="en-GB"/>
        </w:rPr>
        <w:t xml:space="preserve"> е </w:t>
      </w:r>
      <w:proofErr w:type="spellStart"/>
      <w:r w:rsidRPr="00112EC3">
        <w:rPr>
          <w:rFonts w:ascii="Times New Roman" w:hAnsi="Times New Roman"/>
          <w:sz w:val="24"/>
          <w:szCs w:val="24"/>
          <w:lang w:val="en-GB"/>
        </w:rPr>
        <w:t>артефакт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скрити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стилови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позиции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Паралелният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анализ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риска</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устойчивостта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потвърждава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стабилен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профил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ниска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корелация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със</w:t>
      </w:r>
      <w:proofErr w:type="spellEnd"/>
      <w:r w:rsidRPr="00112EC3">
        <w:rPr>
          <w:rFonts w:ascii="Times New Roman" w:hAnsi="Times New Roman"/>
          <w:sz w:val="24"/>
          <w:szCs w:val="24"/>
          <w:lang w:val="en-GB"/>
        </w:rPr>
        <w:t xml:space="preserve"> STOXX Europe 600, </w:t>
      </w:r>
      <w:proofErr w:type="spellStart"/>
      <w:r w:rsidRPr="00112EC3">
        <w:rPr>
          <w:rFonts w:ascii="Times New Roman" w:hAnsi="Times New Roman"/>
          <w:sz w:val="24"/>
          <w:szCs w:val="24"/>
          <w:lang w:val="en-GB"/>
        </w:rPr>
        <w:t>контрол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опашните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загуби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VaR</w:t>
      </w:r>
      <w:proofErr w:type="spellEnd"/>
      <w:r w:rsidRPr="00112EC3">
        <w:rPr>
          <w:rFonts w:ascii="Times New Roman" w:hAnsi="Times New Roman"/>
          <w:sz w:val="24"/>
          <w:szCs w:val="24"/>
          <w:lang w:val="en-GB"/>
        </w:rPr>
        <w:t xml:space="preserve"> и CVaR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95% </w:t>
      </w:r>
      <w:proofErr w:type="spellStart"/>
      <w:r w:rsidRPr="00112EC3">
        <w:rPr>
          <w:rFonts w:ascii="Times New Roman" w:hAnsi="Times New Roman"/>
          <w:sz w:val="24"/>
          <w:szCs w:val="24"/>
          <w:lang w:val="en-GB"/>
        </w:rPr>
        <w:t>доверителен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интервал</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умерен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оборот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позициите</w:t>
      </w:r>
      <w:proofErr w:type="spellEnd"/>
      <w:r w:rsidRPr="00112EC3">
        <w:rPr>
          <w:rFonts w:ascii="Times New Roman" w:hAnsi="Times New Roman"/>
          <w:sz w:val="24"/>
          <w:szCs w:val="24"/>
          <w:lang w:val="en-GB"/>
        </w:rPr>
        <w:t xml:space="preserve">. В </w:t>
      </w:r>
      <w:proofErr w:type="spellStart"/>
      <w:r w:rsidRPr="00112EC3">
        <w:rPr>
          <w:rFonts w:ascii="Times New Roman" w:hAnsi="Times New Roman"/>
          <w:sz w:val="24"/>
          <w:szCs w:val="24"/>
          <w:lang w:val="en-GB"/>
        </w:rPr>
        <w:t>съвкупност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тези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резултати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показват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търсената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извлича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относителна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фундаментална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оценка</w:t>
      </w:r>
      <w:proofErr w:type="spellEnd"/>
      <w:r w:rsidRPr="00112EC3">
        <w:rPr>
          <w:rFonts w:ascii="Times New Roman" w:hAnsi="Times New Roman"/>
          <w:sz w:val="24"/>
          <w:szCs w:val="24"/>
          <w:lang w:val="en-GB"/>
        </w:rPr>
        <w:t xml:space="preserve"> и е </w:t>
      </w:r>
      <w:proofErr w:type="spellStart"/>
      <w:r w:rsidRPr="00112EC3">
        <w:rPr>
          <w:rFonts w:ascii="Times New Roman" w:hAnsi="Times New Roman"/>
          <w:sz w:val="24"/>
          <w:szCs w:val="24"/>
          <w:lang w:val="en-GB"/>
        </w:rPr>
        <w:t>добре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изолирана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стилови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вятърни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течения</w:t>
      </w:r>
      <w:proofErr w:type="spellEnd"/>
      <w:r w:rsidRPr="00112EC3">
        <w:rPr>
          <w:rFonts w:ascii="Times New Roman" w:hAnsi="Times New Roman"/>
          <w:sz w:val="24"/>
          <w:szCs w:val="24"/>
          <w:lang w:val="en-GB"/>
        </w:rPr>
        <w:t xml:space="preserve">. </w:t>
      </w:r>
    </w:p>
    <w:p w14:paraId="5A9D5A55" w14:textId="77777777" w:rsidR="00112EC3" w:rsidRPr="00112EC3" w:rsidRDefault="00112EC3" w:rsidP="00112EC3">
      <w:pPr>
        <w:spacing w:line="360" w:lineRule="auto"/>
        <w:ind w:firstLine="708"/>
        <w:jc w:val="both"/>
        <w:rPr>
          <w:rFonts w:ascii="Times New Roman" w:hAnsi="Times New Roman"/>
          <w:sz w:val="24"/>
          <w:szCs w:val="24"/>
          <w:lang w:val="en-GB"/>
        </w:rPr>
      </w:pPr>
      <w:proofErr w:type="spellStart"/>
      <w:r w:rsidRPr="00112EC3">
        <w:rPr>
          <w:rFonts w:ascii="Times New Roman" w:hAnsi="Times New Roman"/>
          <w:sz w:val="24"/>
          <w:szCs w:val="24"/>
          <w:lang w:val="en-GB"/>
        </w:rPr>
        <w:t>Наред</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със</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силните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страни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следва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бъдат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отчетени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ограниченията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Времевият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хоризонт</w:t>
      </w:r>
      <w:proofErr w:type="spellEnd"/>
      <w:r w:rsidRPr="00112EC3">
        <w:rPr>
          <w:rFonts w:ascii="Times New Roman" w:hAnsi="Times New Roman"/>
          <w:sz w:val="24"/>
          <w:szCs w:val="24"/>
          <w:lang w:val="en-GB"/>
        </w:rPr>
        <w:t xml:space="preserve"> 2021–2024 е </w:t>
      </w:r>
      <w:proofErr w:type="spellStart"/>
      <w:r w:rsidRPr="00112EC3">
        <w:rPr>
          <w:rFonts w:ascii="Times New Roman" w:hAnsi="Times New Roman"/>
          <w:sz w:val="24"/>
          <w:szCs w:val="24"/>
          <w:lang w:val="en-GB"/>
        </w:rPr>
        <w:t>относително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кратък</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белязан</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специфични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макроикономически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режими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ограничава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генерализацията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по-дълги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цикли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Използваните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стилови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проксита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опростени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спрямо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модели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равнопретеглената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структура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включва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волатилностно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мащабиране</w:t>
      </w:r>
      <w:proofErr w:type="spellEnd"/>
      <w:r w:rsidRPr="00112EC3">
        <w:rPr>
          <w:rFonts w:ascii="Times New Roman" w:hAnsi="Times New Roman"/>
          <w:sz w:val="24"/>
          <w:szCs w:val="24"/>
          <w:lang w:val="en-GB"/>
        </w:rPr>
        <w:t xml:space="preserve">; а </w:t>
      </w:r>
      <w:proofErr w:type="spellStart"/>
      <w:r w:rsidRPr="00112EC3">
        <w:rPr>
          <w:rFonts w:ascii="Times New Roman" w:hAnsi="Times New Roman"/>
          <w:sz w:val="24"/>
          <w:szCs w:val="24"/>
          <w:lang w:val="en-GB"/>
        </w:rPr>
        <w:t>реализацията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къси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позиции</w:t>
      </w:r>
      <w:proofErr w:type="spellEnd"/>
      <w:r w:rsidRPr="00112EC3">
        <w:rPr>
          <w:rFonts w:ascii="Times New Roman" w:hAnsi="Times New Roman"/>
          <w:sz w:val="24"/>
          <w:szCs w:val="24"/>
          <w:lang w:val="en-GB"/>
        </w:rPr>
        <w:t xml:space="preserve"> е </w:t>
      </w:r>
      <w:proofErr w:type="spellStart"/>
      <w:r w:rsidRPr="00112EC3">
        <w:rPr>
          <w:rFonts w:ascii="Times New Roman" w:hAnsi="Times New Roman"/>
          <w:sz w:val="24"/>
          <w:szCs w:val="24"/>
          <w:lang w:val="en-GB"/>
        </w:rPr>
        <w:t>подложена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оперативни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рискове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разходи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заем</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книжа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Данните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инфраструктурата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предпоставят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нужда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строг</w:t>
      </w:r>
      <w:proofErr w:type="spellEnd"/>
      <w:r w:rsidRPr="00112EC3">
        <w:rPr>
          <w:rFonts w:ascii="Times New Roman" w:hAnsi="Times New Roman"/>
          <w:sz w:val="24"/>
          <w:szCs w:val="24"/>
          <w:lang w:val="en-GB"/>
        </w:rPr>
        <w:t xml:space="preserve"> point-in-time </w:t>
      </w:r>
      <w:proofErr w:type="spellStart"/>
      <w:r w:rsidRPr="00112EC3">
        <w:rPr>
          <w:rFonts w:ascii="Times New Roman" w:hAnsi="Times New Roman"/>
          <w:sz w:val="24"/>
          <w:szCs w:val="24"/>
          <w:lang w:val="en-GB"/>
        </w:rPr>
        <w:t>контрол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минимизира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поглеждането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напред</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управляват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изпълнителни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несъвършенства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като</w:t>
      </w:r>
      <w:proofErr w:type="spellEnd"/>
      <w:r w:rsidRPr="00112EC3">
        <w:rPr>
          <w:rFonts w:ascii="Times New Roman" w:hAnsi="Times New Roman"/>
          <w:sz w:val="24"/>
          <w:szCs w:val="24"/>
          <w:lang w:val="en-GB"/>
        </w:rPr>
        <w:t xml:space="preserve"> slippage и </w:t>
      </w:r>
      <w:proofErr w:type="spellStart"/>
      <w:r w:rsidRPr="00112EC3">
        <w:rPr>
          <w:rFonts w:ascii="Times New Roman" w:hAnsi="Times New Roman"/>
          <w:sz w:val="24"/>
          <w:szCs w:val="24"/>
          <w:lang w:val="en-GB"/>
        </w:rPr>
        <w:t>въздействие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върху</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цената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Въпреки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че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транзакционните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разходи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отчетени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нетната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доходност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остава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позитивна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представляват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ключов</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канал</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който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теоретичната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алфа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може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ерозира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реализация</w:t>
      </w:r>
      <w:proofErr w:type="spellEnd"/>
      <w:r w:rsidRPr="00112EC3">
        <w:rPr>
          <w:rFonts w:ascii="Times New Roman" w:hAnsi="Times New Roman"/>
          <w:sz w:val="24"/>
          <w:szCs w:val="24"/>
          <w:lang w:val="en-GB"/>
        </w:rPr>
        <w:t xml:space="preserve">. </w:t>
      </w:r>
    </w:p>
    <w:p w14:paraId="4495BA4B" w14:textId="77777777" w:rsidR="00112EC3" w:rsidRDefault="00112EC3" w:rsidP="00112EC3">
      <w:pPr>
        <w:spacing w:line="360" w:lineRule="auto"/>
        <w:ind w:firstLine="708"/>
        <w:jc w:val="both"/>
        <w:rPr>
          <w:rFonts w:ascii="Times New Roman" w:hAnsi="Times New Roman"/>
          <w:sz w:val="24"/>
          <w:szCs w:val="24"/>
        </w:rPr>
      </w:pPr>
      <w:proofErr w:type="spellStart"/>
      <w:r w:rsidRPr="00112EC3">
        <w:rPr>
          <w:rFonts w:ascii="Times New Roman" w:hAnsi="Times New Roman"/>
          <w:sz w:val="24"/>
          <w:szCs w:val="24"/>
          <w:lang w:val="en-GB"/>
        </w:rPr>
        <w:lastRenderedPageBreak/>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практическа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гледна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точка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изследването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предлага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приложима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рамка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конструиране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пазарно</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факторно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портфейли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която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строгите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ограничения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индустрии</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фактори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съчетани</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адаптивно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управление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поддържат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устойчивите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свойства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стратегията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през</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различни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пазарни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режими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Импликациите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професионалната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практика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включват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необходимостта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дисциплинирани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правила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изпълнение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лимити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ликвидност</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заем</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приоритизация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сделки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пределна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идиосинкратична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полза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спрямо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пределна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разходна</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рискова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цена.</w:t>
      </w:r>
      <w:proofErr w:type="spellEnd"/>
    </w:p>
    <w:p w14:paraId="619F6291" w14:textId="01F09DE0" w:rsidR="00112EC3" w:rsidRPr="00112EC3" w:rsidRDefault="00112EC3" w:rsidP="00112EC3">
      <w:pPr>
        <w:spacing w:line="360" w:lineRule="auto"/>
        <w:ind w:firstLine="708"/>
        <w:jc w:val="both"/>
        <w:rPr>
          <w:rFonts w:ascii="Times New Roman" w:hAnsi="Times New Roman"/>
          <w:sz w:val="24"/>
          <w:szCs w:val="24"/>
          <w:lang w:val="en-GB"/>
        </w:rPr>
      </w:pPr>
      <w:r>
        <w:rPr>
          <w:rFonts w:ascii="Times New Roman" w:hAnsi="Times New Roman"/>
          <w:sz w:val="24"/>
          <w:szCs w:val="24"/>
        </w:rPr>
        <w:t>Б</w:t>
      </w:r>
      <w:proofErr w:type="spellStart"/>
      <w:r w:rsidRPr="00112EC3">
        <w:rPr>
          <w:rFonts w:ascii="Times New Roman" w:hAnsi="Times New Roman"/>
          <w:sz w:val="24"/>
          <w:szCs w:val="24"/>
          <w:lang w:val="en-GB"/>
        </w:rPr>
        <w:t>ъдещи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изследвания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могат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разширят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времевия</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обхват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изпробват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алтернативни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спецификации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домейните</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стойност</w:t>
      </w:r>
      <w:proofErr w:type="spellEnd"/>
      <w:r w:rsidRPr="00112EC3">
        <w:rPr>
          <w:rFonts w:ascii="Times New Roman" w:hAnsi="Times New Roman"/>
          <w:sz w:val="24"/>
          <w:szCs w:val="24"/>
          <w:lang w:val="en-GB"/>
        </w:rPr>
        <w:t>–</w:t>
      </w:r>
      <w:proofErr w:type="spellStart"/>
      <w:r w:rsidRPr="00112EC3">
        <w:rPr>
          <w:rFonts w:ascii="Times New Roman" w:hAnsi="Times New Roman"/>
          <w:sz w:val="24"/>
          <w:szCs w:val="24"/>
          <w:lang w:val="en-GB"/>
        </w:rPr>
        <w:t>рентабилност</w:t>
      </w:r>
      <w:proofErr w:type="spellEnd"/>
      <w:r w:rsidRPr="00112EC3">
        <w:rPr>
          <w:rFonts w:ascii="Times New Roman" w:hAnsi="Times New Roman"/>
          <w:sz w:val="24"/>
          <w:szCs w:val="24"/>
          <w:lang w:val="en-GB"/>
        </w:rPr>
        <w:t>–</w:t>
      </w:r>
      <w:proofErr w:type="spellStart"/>
      <w:r w:rsidRPr="00112EC3">
        <w:rPr>
          <w:rFonts w:ascii="Times New Roman" w:hAnsi="Times New Roman"/>
          <w:sz w:val="24"/>
          <w:szCs w:val="24"/>
          <w:lang w:val="en-GB"/>
        </w:rPr>
        <w:t>качество</w:t>
      </w:r>
      <w:proofErr w:type="spellEnd"/>
      <w:r w:rsidRPr="00112EC3">
        <w:rPr>
          <w:rFonts w:ascii="Times New Roman" w:hAnsi="Times New Roman"/>
          <w:sz w:val="24"/>
          <w:szCs w:val="24"/>
          <w:lang w:val="en-GB"/>
        </w:rPr>
        <w:t>–</w:t>
      </w:r>
      <w:proofErr w:type="spellStart"/>
      <w:r w:rsidRPr="00112EC3">
        <w:rPr>
          <w:rFonts w:ascii="Times New Roman" w:hAnsi="Times New Roman"/>
          <w:sz w:val="24"/>
          <w:szCs w:val="24"/>
          <w:lang w:val="en-GB"/>
        </w:rPr>
        <w:t>растеж</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внедрят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волатилностно</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мащабиране</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динамични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тегла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както</w:t>
      </w:r>
      <w:proofErr w:type="spellEnd"/>
      <w:r w:rsidRPr="00112EC3">
        <w:rPr>
          <w:rFonts w:ascii="Times New Roman" w:hAnsi="Times New Roman"/>
          <w:sz w:val="24"/>
          <w:szCs w:val="24"/>
          <w:lang w:val="en-GB"/>
        </w:rPr>
        <w:t xml:space="preserve"> и </w:t>
      </w:r>
      <w:proofErr w:type="spellStart"/>
      <w:r w:rsidRPr="00112EC3">
        <w:rPr>
          <w:rFonts w:ascii="Times New Roman" w:hAnsi="Times New Roman"/>
          <w:sz w:val="24"/>
          <w:szCs w:val="24"/>
          <w:lang w:val="en-GB"/>
        </w:rPr>
        <w:t>да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калибрират</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факторната</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неутралност</w:t>
      </w:r>
      <w:proofErr w:type="spellEnd"/>
      <w:r w:rsidRPr="00112EC3">
        <w:rPr>
          <w:rFonts w:ascii="Times New Roman" w:hAnsi="Times New Roman"/>
          <w:sz w:val="24"/>
          <w:szCs w:val="24"/>
          <w:lang w:val="en-GB"/>
        </w:rPr>
        <w:t xml:space="preserve"> с </w:t>
      </w:r>
      <w:proofErr w:type="spellStart"/>
      <w:r w:rsidRPr="00112EC3">
        <w:rPr>
          <w:rFonts w:ascii="Times New Roman" w:hAnsi="Times New Roman"/>
          <w:sz w:val="24"/>
          <w:szCs w:val="24"/>
          <w:lang w:val="en-GB"/>
        </w:rPr>
        <w:t>по-богати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рискови</w:t>
      </w:r>
      <w:proofErr w:type="spellEnd"/>
      <w:r w:rsidRPr="00112EC3">
        <w:rPr>
          <w:rFonts w:ascii="Times New Roman" w:hAnsi="Times New Roman"/>
          <w:sz w:val="24"/>
          <w:szCs w:val="24"/>
          <w:lang w:val="en-GB"/>
        </w:rPr>
        <w:t xml:space="preserve"> </w:t>
      </w:r>
      <w:proofErr w:type="spellStart"/>
      <w:r w:rsidRPr="00112EC3">
        <w:rPr>
          <w:rFonts w:ascii="Times New Roman" w:hAnsi="Times New Roman"/>
          <w:sz w:val="24"/>
          <w:szCs w:val="24"/>
          <w:lang w:val="en-GB"/>
        </w:rPr>
        <w:t>модели</w:t>
      </w:r>
      <w:proofErr w:type="spellEnd"/>
      <w:r w:rsidRPr="00112EC3">
        <w:rPr>
          <w:rFonts w:ascii="Times New Roman" w:hAnsi="Times New Roman"/>
          <w:sz w:val="24"/>
          <w:szCs w:val="24"/>
          <w:lang w:val="en-GB"/>
        </w:rPr>
        <w:t xml:space="preserve">. </w:t>
      </w:r>
    </w:p>
    <w:p w14:paraId="718C68EF" w14:textId="77777777" w:rsidR="00112EC3" w:rsidRPr="00112EC3" w:rsidRDefault="00112EC3" w:rsidP="00112EC3">
      <w:pPr>
        <w:spacing w:line="360" w:lineRule="auto"/>
        <w:ind w:firstLine="708"/>
        <w:jc w:val="both"/>
        <w:rPr>
          <w:rFonts w:ascii="Times New Roman" w:hAnsi="Times New Roman"/>
          <w:sz w:val="24"/>
          <w:szCs w:val="24"/>
        </w:rPr>
      </w:pPr>
    </w:p>
    <w:p w14:paraId="234CC011" w14:textId="5EA8995B" w:rsidR="00057B6F" w:rsidRPr="00C67F33" w:rsidRDefault="009F35C7" w:rsidP="009F35C7">
      <w:pPr>
        <w:spacing w:line="360" w:lineRule="auto"/>
        <w:ind w:firstLine="708"/>
        <w:jc w:val="center"/>
        <w:rPr>
          <w:rFonts w:ascii="Times New Roman" w:hAnsi="Times New Roman"/>
          <w:sz w:val="24"/>
          <w:szCs w:val="24"/>
        </w:rPr>
      </w:pPr>
      <w:r w:rsidRPr="00C67F33">
        <w:rPr>
          <w:rFonts w:ascii="Times New Roman" w:hAnsi="Times New Roman"/>
          <w:b/>
          <w:bCs/>
          <w:sz w:val="24"/>
          <w:szCs w:val="24"/>
        </w:rPr>
        <w:br w:type="page"/>
      </w:r>
      <w:r w:rsidR="00057B6F" w:rsidRPr="00C67F33">
        <w:rPr>
          <w:rFonts w:ascii="Times New Roman" w:hAnsi="Times New Roman"/>
          <w:b/>
          <w:bCs/>
          <w:sz w:val="24"/>
          <w:szCs w:val="24"/>
        </w:rPr>
        <w:lastRenderedPageBreak/>
        <w:t>Библ</w:t>
      </w:r>
      <w:r w:rsidRPr="00C67F33">
        <w:rPr>
          <w:rFonts w:ascii="Times New Roman" w:hAnsi="Times New Roman"/>
          <w:b/>
          <w:bCs/>
          <w:sz w:val="24"/>
          <w:szCs w:val="24"/>
        </w:rPr>
        <w:t>и</w:t>
      </w:r>
      <w:r w:rsidR="00057B6F" w:rsidRPr="00C67F33">
        <w:rPr>
          <w:rFonts w:ascii="Times New Roman" w:hAnsi="Times New Roman"/>
          <w:b/>
          <w:bCs/>
          <w:sz w:val="24"/>
          <w:szCs w:val="24"/>
        </w:rPr>
        <w:t>ография</w:t>
      </w:r>
    </w:p>
    <w:p w14:paraId="03ED9CD5" w14:textId="351D3F5C"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Buchan, J., Jacobs, B. I., &amp; Levy, K. N. (2005). Questions and answers about market neutral investing. In B. I. Jacobs &amp; K. N. Levy (Eds.), Market neutral strategies (pp. 9–27). Hoboken, NJ: John Wiley &amp; Sons. https://dl.fxf1.com/files/books/english/Marketneutralstrategies.pdf</w:t>
      </w:r>
    </w:p>
    <w:p w14:paraId="4DA63F04"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Chen, J. (2020, December 28). Understanding Long-Short Equity. Investopedia. https://www.investopedia.com/terms/l/long-shortequity.asp</w:t>
      </w:r>
    </w:p>
    <w:p w14:paraId="7DCC59A9"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Jacobs, B. I., &amp; Levy, K. N. (2005). Transporting alpha. In B. I. Jacobs &amp; K. N. Levy (Eds.), Market neutral strategies (pp. 131–154). Hoboken, NJ: John Wiley &amp; Sons. https://dl.fxf1.com/files/books/english/Marketneutralstrategies.pdf</w:t>
      </w:r>
    </w:p>
    <w:p w14:paraId="2398A71A"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Jacobs, B. I., Levy, K. N., &amp; Starer, D. (1999). Long-Short Portfolio Management. The Journal of Portfolio Management, 25(2), 23–32. https://doi.org/10.3905/jpm.1999.319730</w:t>
      </w:r>
    </w:p>
    <w:p w14:paraId="324F49EB"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Kothari, S., Shah, H., Prajapati, U., &amp; Kaushik, S. (2024). Market-Neutral Strategies in Mid-Cap Portfolio Management: A Data-Driven Approach to Long-Short Equity. ArXiv (Cornell University). https://doi.org/10.48550/arxiv.2412.12576</w:t>
      </w:r>
    </w:p>
    <w:p w14:paraId="26D37C10"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lanbouri, Z., &amp; Achchab, S. (2019, June 1). A new approach for Trading based on Long-Short Term memory technique. https://www.researchgate.net/publication/337824111_A_new_approach_for_Trading_based_on_Long-Short_Term_memory_technique</w:t>
      </w:r>
    </w:p>
    <w:p w14:paraId="1A4B346D"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Liu, S., Zhang, C., &amp; Ma, J. (2017). CNN-LSTM Neural Network Model for Quantitative Strategy Analysis in Stock Markets. Neural Information Processing, 198–206. https://doi.org/10.1007/978-3-319-70096-0_21</w:t>
      </w:r>
    </w:p>
    <w:p w14:paraId="5226FF6E"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Long/Short Equity Strategy. (2024). https://www.aima.org/static/aa720944-a22d-4206-96a2ae35bf6ea170/Long-Short-Equity-Strategy-AIMA-Canada.pdf</w:t>
      </w:r>
    </w:p>
    <w:p w14:paraId="3D2203E4"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Manigault, P. (2016). How can we adapt long-short strategies to long-only strategies? Summary. https://www.vernimmen.net/ftp/Research_Paper_Paul_MANIGAULT.pdf</w:t>
      </w:r>
    </w:p>
    <w:p w14:paraId="5CFC0F01"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Market Neutral Investing. (2025). BlackRock. https://www.blackrock.com/us/individual/insights/market-neutral-investing</w:t>
      </w:r>
    </w:p>
    <w:p w14:paraId="4CD876A6"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lastRenderedPageBreak/>
        <w:t xml:space="preserve">  Michańków, J., Sakowski, P., &amp; Ślepaczuk, R. (2022). LSTM in Algorithmic Investment Strategies on BTC and S&amp;P500 Index. Sensors, 22(3), 917. https://doi.org/10.3390/s22030917</w:t>
      </w:r>
    </w:p>
    <w:p w14:paraId="274C9D9E"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Nafia, A., Yousfi, A., &amp; Echaoui, A. (2023). Equity-Market-Neutral Strategy Portfolio Construction Using LSTM-Based Stock Prediction and Selection: An Application to S&amp;P500 Consumer Staples Stocks. International Journal of Financial Studies, 11(2), 57. https://doi.org/10.3390/ijfs11020057</w:t>
      </w:r>
    </w:p>
    <w:p w14:paraId="41476BAC"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Nicholas, J. G. (2000). Market-neutral investing: Long/short hedge fund strategies. Bloomberg Press. https://fxf1.com/wp-content/uploads/2013/02/Article-Market-Neutral-Investing-Long-Short-Hedge-Fund-Strategies_-Joseph-G-Nicholas_-2000.pdf</w:t>
      </w:r>
    </w:p>
    <w:p w14:paraId="6BFA84F1" w14:textId="7777777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Raju, R., &amp; Chandrasekaran, A. (2019). Implementing a systematic long-only momentum strategy: Evidence from India. SSRN Electronic Journal. </w:t>
      </w:r>
      <w:hyperlink r:id="rId14" w:history="1">
        <w:r w:rsidRPr="00C67F33">
          <w:rPr>
            <w:rStyle w:val="Hyperlink"/>
            <w:rFonts w:ascii="Times New Roman" w:hAnsi="Times New Roman"/>
            <w:sz w:val="24"/>
            <w:szCs w:val="24"/>
          </w:rPr>
          <w:t>https://doi.org/10.2139/ssrn.3510433</w:t>
        </w:r>
      </w:hyperlink>
    </w:p>
    <w:p w14:paraId="04CAFB21" w14:textId="24E666E7" w:rsidR="00BF0C01" w:rsidRPr="00C67F33" w:rsidRDefault="00BF0C01"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  Salo, A., Doumpos, M., Liesiö, J., &amp; Zopounidis, C. (2023). Fifty years of portfolio optimization – A European perspective. European Journal of Operational Research. </w:t>
      </w:r>
      <w:hyperlink r:id="rId15" w:history="1">
        <w:r w:rsidR="00F54637" w:rsidRPr="00C67F33">
          <w:rPr>
            <w:rStyle w:val="Hyperlink"/>
            <w:rFonts w:ascii="Times New Roman" w:hAnsi="Times New Roman"/>
            <w:sz w:val="24"/>
            <w:szCs w:val="24"/>
          </w:rPr>
          <w:t>https://doi.org/10.1016/j.ejor.2023.12.031</w:t>
        </w:r>
      </w:hyperlink>
    </w:p>
    <w:p w14:paraId="721F5C79" w14:textId="31602B47" w:rsidR="00F54637" w:rsidRPr="00C67F33" w:rsidRDefault="00F54637" w:rsidP="00BF0C01">
      <w:pPr>
        <w:spacing w:line="360" w:lineRule="auto"/>
        <w:ind w:firstLine="708"/>
        <w:jc w:val="both"/>
        <w:rPr>
          <w:rFonts w:ascii="Times New Roman" w:hAnsi="Times New Roman"/>
          <w:sz w:val="24"/>
          <w:szCs w:val="24"/>
        </w:rPr>
      </w:pPr>
      <w:r w:rsidRPr="00C67F33">
        <w:rPr>
          <w:rFonts w:ascii="Times New Roman" w:hAnsi="Times New Roman"/>
          <w:sz w:val="24"/>
          <w:szCs w:val="24"/>
        </w:rPr>
        <w:t xml:space="preserve">Fama, F. E., MacBeth, D. J. (1973). Risk, Return, and Equilibrium: Empirical Tests. The Journal of Political Economy. </w:t>
      </w:r>
      <w:hyperlink r:id="rId16" w:history="1">
        <w:r w:rsidRPr="00C67F33">
          <w:rPr>
            <w:rStyle w:val="Hyperlink"/>
            <w:rFonts w:ascii="Times New Roman" w:hAnsi="Times New Roman"/>
            <w:sz w:val="24"/>
            <w:szCs w:val="24"/>
          </w:rPr>
          <w:t>https://pages.stern.nyu.edu/~wgreene/Econometrics/Fama-Macbeth.pdf</w:t>
        </w:r>
      </w:hyperlink>
    </w:p>
    <w:p w14:paraId="0AEE3220" w14:textId="77777777" w:rsidR="00F54637" w:rsidRPr="00C67F33" w:rsidRDefault="00F54637" w:rsidP="00BF0C01">
      <w:pPr>
        <w:spacing w:line="360" w:lineRule="auto"/>
        <w:ind w:firstLine="708"/>
        <w:jc w:val="both"/>
        <w:rPr>
          <w:rFonts w:ascii="Times New Roman" w:hAnsi="Times New Roman"/>
          <w:sz w:val="24"/>
          <w:szCs w:val="24"/>
        </w:rPr>
      </w:pPr>
    </w:p>
    <w:p w14:paraId="1C211B56" w14:textId="3D226B43" w:rsidR="00E60D78" w:rsidRPr="00C67F33" w:rsidRDefault="00E60D78">
      <w:pPr>
        <w:spacing w:after="0" w:line="240" w:lineRule="auto"/>
        <w:rPr>
          <w:rFonts w:ascii="Times New Roman" w:hAnsi="Times New Roman"/>
          <w:sz w:val="24"/>
          <w:szCs w:val="24"/>
        </w:rPr>
      </w:pPr>
      <w:r w:rsidRPr="00C67F33">
        <w:rPr>
          <w:rFonts w:ascii="Times New Roman" w:hAnsi="Times New Roman"/>
          <w:sz w:val="24"/>
          <w:szCs w:val="24"/>
        </w:rPr>
        <w:br w:type="page"/>
      </w:r>
    </w:p>
    <w:p w14:paraId="357D8680" w14:textId="5A2F0252" w:rsidR="00FB3687" w:rsidRPr="00C67F33" w:rsidRDefault="00FB3687" w:rsidP="00E60D78">
      <w:pPr>
        <w:spacing w:line="360" w:lineRule="auto"/>
        <w:ind w:firstLine="708"/>
        <w:jc w:val="center"/>
        <w:rPr>
          <w:rFonts w:ascii="Times New Roman" w:hAnsi="Times New Roman"/>
          <w:b/>
          <w:bCs/>
          <w:sz w:val="28"/>
          <w:szCs w:val="28"/>
        </w:rPr>
      </w:pPr>
      <w:r w:rsidRPr="00C67F33">
        <w:rPr>
          <w:rFonts w:ascii="Times New Roman" w:hAnsi="Times New Roman"/>
          <w:b/>
          <w:bCs/>
          <w:sz w:val="28"/>
          <w:szCs w:val="28"/>
        </w:rPr>
        <w:lastRenderedPageBreak/>
        <w:t>Приложение</w:t>
      </w:r>
      <w:r w:rsidR="00D2327E" w:rsidRPr="00C67F33">
        <w:rPr>
          <w:rFonts w:ascii="Times New Roman" w:hAnsi="Times New Roman"/>
          <w:b/>
          <w:bCs/>
          <w:sz w:val="28"/>
          <w:szCs w:val="28"/>
        </w:rPr>
        <w:t xml:space="preserve"> </w:t>
      </w:r>
      <w:r w:rsidR="000065E8">
        <w:rPr>
          <w:rFonts w:ascii="Times New Roman" w:hAnsi="Times New Roman"/>
          <w:b/>
          <w:bCs/>
          <w:sz w:val="28"/>
          <w:szCs w:val="28"/>
        </w:rPr>
        <w:t>1</w:t>
      </w:r>
    </w:p>
    <w:p w14:paraId="1791DE41" w14:textId="5878D948" w:rsidR="00E60D78" w:rsidRPr="000065E8" w:rsidRDefault="00E60D78" w:rsidP="00E60D78">
      <w:pPr>
        <w:spacing w:line="360" w:lineRule="auto"/>
        <w:ind w:firstLine="708"/>
        <w:jc w:val="center"/>
        <w:rPr>
          <w:rFonts w:ascii="Times New Roman" w:hAnsi="Times New Roman"/>
          <w:b/>
          <w:bCs/>
          <w:sz w:val="24"/>
          <w:szCs w:val="24"/>
        </w:rPr>
      </w:pPr>
      <w:r w:rsidRPr="000065E8">
        <w:rPr>
          <w:rFonts w:ascii="Times New Roman" w:hAnsi="Times New Roman"/>
          <w:b/>
          <w:bCs/>
          <w:sz w:val="24"/>
          <w:szCs w:val="24"/>
        </w:rPr>
        <w:t>Състав на пазарно неутралния портфейл при първо ребалансиране</w:t>
      </w:r>
    </w:p>
    <w:tbl>
      <w:tblPr>
        <w:tblStyle w:val="TableGrid"/>
        <w:tblW w:w="0" w:type="auto"/>
        <w:tblLook w:val="04A0" w:firstRow="1" w:lastRow="0" w:firstColumn="1" w:lastColumn="0" w:noHBand="0" w:noVBand="1"/>
      </w:tblPr>
      <w:tblGrid>
        <w:gridCol w:w="972"/>
        <w:gridCol w:w="1180"/>
        <w:gridCol w:w="1643"/>
        <w:gridCol w:w="1649"/>
        <w:gridCol w:w="1997"/>
        <w:gridCol w:w="878"/>
        <w:gridCol w:w="743"/>
      </w:tblGrid>
      <w:tr w:rsidR="00E60D78" w:rsidRPr="00C67F33" w14:paraId="237412AF" w14:textId="77777777" w:rsidTr="006F2B5D">
        <w:tc>
          <w:tcPr>
            <w:tcW w:w="0" w:type="auto"/>
            <w:hideMark/>
          </w:tcPr>
          <w:p w14:paraId="52082746"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Позиция</w:t>
            </w:r>
          </w:p>
        </w:tc>
        <w:tc>
          <w:tcPr>
            <w:tcW w:w="0" w:type="auto"/>
            <w:hideMark/>
          </w:tcPr>
          <w:p w14:paraId="1DD78318"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Тикер</w:t>
            </w:r>
          </w:p>
        </w:tc>
        <w:tc>
          <w:tcPr>
            <w:tcW w:w="0" w:type="auto"/>
            <w:hideMark/>
          </w:tcPr>
          <w:p w14:paraId="6FCD0150"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Компания</w:t>
            </w:r>
          </w:p>
        </w:tc>
        <w:tc>
          <w:tcPr>
            <w:tcW w:w="0" w:type="auto"/>
            <w:hideMark/>
          </w:tcPr>
          <w:p w14:paraId="26B852D9"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Сектор</w:t>
            </w:r>
          </w:p>
        </w:tc>
        <w:tc>
          <w:tcPr>
            <w:tcW w:w="0" w:type="auto"/>
            <w:hideMark/>
          </w:tcPr>
          <w:p w14:paraId="084F212F"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Отрасъл</w:t>
            </w:r>
          </w:p>
        </w:tc>
        <w:tc>
          <w:tcPr>
            <w:tcW w:w="0" w:type="auto"/>
            <w:hideMark/>
          </w:tcPr>
          <w:p w14:paraId="5EB8AD16"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Оценка</w:t>
            </w:r>
          </w:p>
        </w:tc>
        <w:tc>
          <w:tcPr>
            <w:tcW w:w="0" w:type="auto"/>
            <w:hideMark/>
          </w:tcPr>
          <w:p w14:paraId="6DD51ADA" w14:textId="77777777" w:rsidR="00E60D78" w:rsidRPr="00C67F33" w:rsidRDefault="00E60D78" w:rsidP="006F2B5D">
            <w:pPr>
              <w:spacing w:line="360" w:lineRule="auto"/>
              <w:jc w:val="both"/>
              <w:rPr>
                <w:rFonts w:ascii="Times New Roman" w:hAnsi="Times New Roman"/>
                <w:b/>
                <w:bCs/>
                <w:sz w:val="24"/>
                <w:szCs w:val="24"/>
              </w:rPr>
            </w:pPr>
            <w:r w:rsidRPr="00C67F33">
              <w:rPr>
                <w:rFonts w:ascii="Times New Roman" w:hAnsi="Times New Roman"/>
                <w:b/>
                <w:bCs/>
                <w:sz w:val="24"/>
                <w:szCs w:val="24"/>
              </w:rPr>
              <w:t>Тегло</w:t>
            </w:r>
          </w:p>
        </w:tc>
      </w:tr>
      <w:tr w:rsidR="00E60D78" w:rsidRPr="00C67F33" w14:paraId="2970F47C" w14:textId="77777777" w:rsidTr="006F2B5D">
        <w:tc>
          <w:tcPr>
            <w:tcW w:w="0" w:type="auto"/>
            <w:hideMark/>
          </w:tcPr>
          <w:p w14:paraId="36FD963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3978C99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UNI.MC</w:t>
            </w:r>
          </w:p>
        </w:tc>
        <w:tc>
          <w:tcPr>
            <w:tcW w:w="0" w:type="auto"/>
            <w:hideMark/>
          </w:tcPr>
          <w:p w14:paraId="69DAB19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Unicaja Banco, S.A.</w:t>
            </w:r>
          </w:p>
        </w:tc>
        <w:tc>
          <w:tcPr>
            <w:tcW w:w="0" w:type="auto"/>
            <w:hideMark/>
          </w:tcPr>
          <w:p w14:paraId="05DC0B3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65A6B4D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4773711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1.417</w:t>
            </w:r>
          </w:p>
        </w:tc>
        <w:tc>
          <w:tcPr>
            <w:tcW w:w="0" w:type="auto"/>
            <w:hideMark/>
          </w:tcPr>
          <w:p w14:paraId="32C778C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4A3A087" w14:textId="77777777" w:rsidTr="006F2B5D">
        <w:tc>
          <w:tcPr>
            <w:tcW w:w="0" w:type="auto"/>
            <w:hideMark/>
          </w:tcPr>
          <w:p w14:paraId="6D60077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80C73C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TEF.MC</w:t>
            </w:r>
          </w:p>
        </w:tc>
        <w:tc>
          <w:tcPr>
            <w:tcW w:w="0" w:type="auto"/>
            <w:hideMark/>
          </w:tcPr>
          <w:p w14:paraId="30C318E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Telefónica, S.A.</w:t>
            </w:r>
          </w:p>
        </w:tc>
        <w:tc>
          <w:tcPr>
            <w:tcW w:w="0" w:type="auto"/>
            <w:hideMark/>
          </w:tcPr>
          <w:p w14:paraId="479E12F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Комуникационни услуги</w:t>
            </w:r>
          </w:p>
        </w:tc>
        <w:tc>
          <w:tcPr>
            <w:tcW w:w="0" w:type="auto"/>
            <w:hideMark/>
          </w:tcPr>
          <w:p w14:paraId="164A02B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Телекомуникационни услуги</w:t>
            </w:r>
          </w:p>
        </w:tc>
        <w:tc>
          <w:tcPr>
            <w:tcW w:w="0" w:type="auto"/>
            <w:hideMark/>
          </w:tcPr>
          <w:p w14:paraId="30570BC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1.284</w:t>
            </w:r>
          </w:p>
        </w:tc>
        <w:tc>
          <w:tcPr>
            <w:tcW w:w="0" w:type="auto"/>
            <w:hideMark/>
          </w:tcPr>
          <w:p w14:paraId="166BE7A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8A14BC8" w14:textId="77777777" w:rsidTr="006F2B5D">
        <w:tc>
          <w:tcPr>
            <w:tcW w:w="0" w:type="auto"/>
            <w:hideMark/>
          </w:tcPr>
          <w:p w14:paraId="54523C3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71DD471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1COV.DE</w:t>
            </w:r>
          </w:p>
        </w:tc>
        <w:tc>
          <w:tcPr>
            <w:tcW w:w="0" w:type="auto"/>
            <w:hideMark/>
          </w:tcPr>
          <w:p w14:paraId="50FD759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Covestro AG</w:t>
            </w:r>
          </w:p>
        </w:tc>
        <w:tc>
          <w:tcPr>
            <w:tcW w:w="0" w:type="auto"/>
            <w:hideMark/>
          </w:tcPr>
          <w:p w14:paraId="269587F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Основни материали</w:t>
            </w:r>
          </w:p>
        </w:tc>
        <w:tc>
          <w:tcPr>
            <w:tcW w:w="0" w:type="auto"/>
            <w:hideMark/>
          </w:tcPr>
          <w:p w14:paraId="518DBB3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химикали</w:t>
            </w:r>
          </w:p>
        </w:tc>
        <w:tc>
          <w:tcPr>
            <w:tcW w:w="0" w:type="auto"/>
            <w:hideMark/>
          </w:tcPr>
          <w:p w14:paraId="4554E8F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1.264</w:t>
            </w:r>
          </w:p>
        </w:tc>
        <w:tc>
          <w:tcPr>
            <w:tcW w:w="0" w:type="auto"/>
            <w:hideMark/>
          </w:tcPr>
          <w:p w14:paraId="6579B1A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C9AB981" w14:textId="77777777" w:rsidTr="006F2B5D">
        <w:tc>
          <w:tcPr>
            <w:tcW w:w="0" w:type="auto"/>
            <w:hideMark/>
          </w:tcPr>
          <w:p w14:paraId="2EE4F1A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20175DC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LIGHT.AS</w:t>
            </w:r>
          </w:p>
        </w:tc>
        <w:tc>
          <w:tcPr>
            <w:tcW w:w="0" w:type="auto"/>
            <w:hideMark/>
          </w:tcPr>
          <w:p w14:paraId="3B75410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Signify N.V.</w:t>
            </w:r>
          </w:p>
        </w:tc>
        <w:tc>
          <w:tcPr>
            <w:tcW w:w="0" w:type="auto"/>
            <w:hideMark/>
          </w:tcPr>
          <w:p w14:paraId="1C4DA4E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69BC248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Електрическо оборудване и части</w:t>
            </w:r>
          </w:p>
        </w:tc>
        <w:tc>
          <w:tcPr>
            <w:tcW w:w="0" w:type="auto"/>
            <w:hideMark/>
          </w:tcPr>
          <w:p w14:paraId="71D3585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1.065</w:t>
            </w:r>
          </w:p>
        </w:tc>
        <w:tc>
          <w:tcPr>
            <w:tcW w:w="0" w:type="auto"/>
            <w:hideMark/>
          </w:tcPr>
          <w:p w14:paraId="53F0EC0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72AB069" w14:textId="77777777" w:rsidTr="006F2B5D">
        <w:tc>
          <w:tcPr>
            <w:tcW w:w="0" w:type="auto"/>
            <w:hideMark/>
          </w:tcPr>
          <w:p w14:paraId="36CB6D3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3529D1A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IPN.PA</w:t>
            </w:r>
          </w:p>
        </w:tc>
        <w:tc>
          <w:tcPr>
            <w:tcW w:w="0" w:type="auto"/>
            <w:hideMark/>
          </w:tcPr>
          <w:p w14:paraId="205C415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Ipsen S.A.</w:t>
            </w:r>
          </w:p>
        </w:tc>
        <w:tc>
          <w:tcPr>
            <w:tcW w:w="0" w:type="auto"/>
            <w:hideMark/>
          </w:tcPr>
          <w:p w14:paraId="0E4297D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2BC8F88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Производители на лекарства – специализирани и генерични</w:t>
            </w:r>
          </w:p>
        </w:tc>
        <w:tc>
          <w:tcPr>
            <w:tcW w:w="0" w:type="auto"/>
            <w:hideMark/>
          </w:tcPr>
          <w:p w14:paraId="57F2A3C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1.015</w:t>
            </w:r>
          </w:p>
        </w:tc>
        <w:tc>
          <w:tcPr>
            <w:tcW w:w="0" w:type="auto"/>
            <w:hideMark/>
          </w:tcPr>
          <w:p w14:paraId="1281587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E1CF84B" w14:textId="77777777" w:rsidTr="006F2B5D">
        <w:tc>
          <w:tcPr>
            <w:tcW w:w="0" w:type="auto"/>
            <w:hideMark/>
          </w:tcPr>
          <w:p w14:paraId="0BBE58F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206753F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BAMI.MI</w:t>
            </w:r>
          </w:p>
        </w:tc>
        <w:tc>
          <w:tcPr>
            <w:tcW w:w="0" w:type="auto"/>
            <w:hideMark/>
          </w:tcPr>
          <w:p w14:paraId="370C337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Banco BPM S.p.A.</w:t>
            </w:r>
          </w:p>
        </w:tc>
        <w:tc>
          <w:tcPr>
            <w:tcW w:w="0" w:type="auto"/>
            <w:hideMark/>
          </w:tcPr>
          <w:p w14:paraId="6A1E6FA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2CAE78A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3C57FC8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0.967</w:t>
            </w:r>
          </w:p>
        </w:tc>
        <w:tc>
          <w:tcPr>
            <w:tcW w:w="0" w:type="auto"/>
            <w:hideMark/>
          </w:tcPr>
          <w:p w14:paraId="167FC10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53147A6" w14:textId="77777777" w:rsidTr="006F2B5D">
        <w:tc>
          <w:tcPr>
            <w:tcW w:w="0" w:type="auto"/>
            <w:hideMark/>
          </w:tcPr>
          <w:p w14:paraId="786E2B6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3584570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NOVO-B.CO</w:t>
            </w:r>
          </w:p>
        </w:tc>
        <w:tc>
          <w:tcPr>
            <w:tcW w:w="0" w:type="auto"/>
            <w:hideMark/>
          </w:tcPr>
          <w:p w14:paraId="310A7E9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Novo Nordisk A/S</w:t>
            </w:r>
          </w:p>
        </w:tc>
        <w:tc>
          <w:tcPr>
            <w:tcW w:w="0" w:type="auto"/>
            <w:hideMark/>
          </w:tcPr>
          <w:p w14:paraId="7AA6DCF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6E77CA7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Производители на лекарства – общо</w:t>
            </w:r>
          </w:p>
        </w:tc>
        <w:tc>
          <w:tcPr>
            <w:tcW w:w="0" w:type="auto"/>
            <w:hideMark/>
          </w:tcPr>
          <w:p w14:paraId="049F363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0.926</w:t>
            </w:r>
          </w:p>
        </w:tc>
        <w:tc>
          <w:tcPr>
            <w:tcW w:w="0" w:type="auto"/>
            <w:hideMark/>
          </w:tcPr>
          <w:p w14:paraId="6AF0712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E098066" w14:textId="77777777" w:rsidTr="006F2B5D">
        <w:tc>
          <w:tcPr>
            <w:tcW w:w="0" w:type="auto"/>
            <w:hideMark/>
          </w:tcPr>
          <w:p w14:paraId="6E966F9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C42D35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INPST.AS</w:t>
            </w:r>
          </w:p>
        </w:tc>
        <w:tc>
          <w:tcPr>
            <w:tcW w:w="0" w:type="auto"/>
            <w:hideMark/>
          </w:tcPr>
          <w:p w14:paraId="4AB3479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InPost S.A.</w:t>
            </w:r>
          </w:p>
        </w:tc>
        <w:tc>
          <w:tcPr>
            <w:tcW w:w="0" w:type="auto"/>
            <w:hideMark/>
          </w:tcPr>
          <w:p w14:paraId="5ACD42A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F836E6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бизнес услуги</w:t>
            </w:r>
          </w:p>
        </w:tc>
        <w:tc>
          <w:tcPr>
            <w:tcW w:w="0" w:type="auto"/>
            <w:hideMark/>
          </w:tcPr>
          <w:p w14:paraId="402FBF9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0.914</w:t>
            </w:r>
          </w:p>
        </w:tc>
        <w:tc>
          <w:tcPr>
            <w:tcW w:w="0" w:type="auto"/>
            <w:hideMark/>
          </w:tcPr>
          <w:p w14:paraId="02D69B1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EB8E5D9" w14:textId="77777777" w:rsidTr="006F2B5D">
        <w:tc>
          <w:tcPr>
            <w:tcW w:w="0" w:type="auto"/>
            <w:hideMark/>
          </w:tcPr>
          <w:p w14:paraId="4D8FB33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CDBB7A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UCB.BR</w:t>
            </w:r>
          </w:p>
        </w:tc>
        <w:tc>
          <w:tcPr>
            <w:tcW w:w="0" w:type="auto"/>
            <w:hideMark/>
          </w:tcPr>
          <w:p w14:paraId="3422282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UCB SA</w:t>
            </w:r>
          </w:p>
        </w:tc>
        <w:tc>
          <w:tcPr>
            <w:tcW w:w="0" w:type="auto"/>
            <w:hideMark/>
          </w:tcPr>
          <w:p w14:paraId="1D6A9AB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1DBE035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Биотехнологии</w:t>
            </w:r>
          </w:p>
        </w:tc>
        <w:tc>
          <w:tcPr>
            <w:tcW w:w="0" w:type="auto"/>
            <w:hideMark/>
          </w:tcPr>
          <w:p w14:paraId="1D932EE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0.876</w:t>
            </w:r>
          </w:p>
        </w:tc>
        <w:tc>
          <w:tcPr>
            <w:tcW w:w="0" w:type="auto"/>
            <w:hideMark/>
          </w:tcPr>
          <w:p w14:paraId="327ADE8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3BD99E4" w14:textId="77777777" w:rsidTr="006F2B5D">
        <w:tc>
          <w:tcPr>
            <w:tcW w:w="0" w:type="auto"/>
            <w:hideMark/>
          </w:tcPr>
          <w:p w14:paraId="06567DC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lastRenderedPageBreak/>
              <w:t>Long</w:t>
            </w:r>
          </w:p>
        </w:tc>
        <w:tc>
          <w:tcPr>
            <w:tcW w:w="0" w:type="auto"/>
            <w:hideMark/>
          </w:tcPr>
          <w:p w14:paraId="3F238A1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ANDR.VI</w:t>
            </w:r>
          </w:p>
        </w:tc>
        <w:tc>
          <w:tcPr>
            <w:tcW w:w="0" w:type="auto"/>
            <w:hideMark/>
          </w:tcPr>
          <w:p w14:paraId="51747B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Andritz AG</w:t>
            </w:r>
          </w:p>
        </w:tc>
        <w:tc>
          <w:tcPr>
            <w:tcW w:w="0" w:type="auto"/>
            <w:hideMark/>
          </w:tcPr>
          <w:p w14:paraId="7CA1897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5C24BCE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Индустриално разпределение</w:t>
            </w:r>
          </w:p>
        </w:tc>
        <w:tc>
          <w:tcPr>
            <w:tcW w:w="0" w:type="auto"/>
            <w:hideMark/>
          </w:tcPr>
          <w:p w14:paraId="0870D09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0.872</w:t>
            </w:r>
          </w:p>
        </w:tc>
        <w:tc>
          <w:tcPr>
            <w:tcW w:w="0" w:type="auto"/>
            <w:hideMark/>
          </w:tcPr>
          <w:p w14:paraId="6AFF6B2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FD7B9BD" w14:textId="77777777" w:rsidTr="006F2B5D">
        <w:tc>
          <w:tcPr>
            <w:tcW w:w="0" w:type="auto"/>
            <w:hideMark/>
          </w:tcPr>
          <w:p w14:paraId="7BC5B5F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6AE395E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SAMPO.HE</w:t>
            </w:r>
          </w:p>
        </w:tc>
        <w:tc>
          <w:tcPr>
            <w:tcW w:w="0" w:type="auto"/>
            <w:hideMark/>
          </w:tcPr>
          <w:p w14:paraId="37FACDC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Sampo Oyj</w:t>
            </w:r>
          </w:p>
        </w:tc>
        <w:tc>
          <w:tcPr>
            <w:tcW w:w="0" w:type="auto"/>
            <w:hideMark/>
          </w:tcPr>
          <w:p w14:paraId="2BB640A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09DB71A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Застраховане – диверсифицирано</w:t>
            </w:r>
          </w:p>
        </w:tc>
        <w:tc>
          <w:tcPr>
            <w:tcW w:w="0" w:type="auto"/>
            <w:hideMark/>
          </w:tcPr>
          <w:p w14:paraId="42A400D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0.858</w:t>
            </w:r>
          </w:p>
        </w:tc>
        <w:tc>
          <w:tcPr>
            <w:tcW w:w="0" w:type="auto"/>
            <w:hideMark/>
          </w:tcPr>
          <w:p w14:paraId="28C1048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141CEBE" w14:textId="77777777" w:rsidTr="006F2B5D">
        <w:tc>
          <w:tcPr>
            <w:tcW w:w="0" w:type="auto"/>
            <w:hideMark/>
          </w:tcPr>
          <w:p w14:paraId="61FD437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4C11910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BIRG.IR</w:t>
            </w:r>
          </w:p>
        </w:tc>
        <w:tc>
          <w:tcPr>
            <w:tcW w:w="0" w:type="auto"/>
            <w:hideMark/>
          </w:tcPr>
          <w:p w14:paraId="58F5BC3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Bank of Ireland Group plc</w:t>
            </w:r>
          </w:p>
        </w:tc>
        <w:tc>
          <w:tcPr>
            <w:tcW w:w="0" w:type="auto"/>
            <w:hideMark/>
          </w:tcPr>
          <w:p w14:paraId="664281C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207A0D3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055A6B0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0.855</w:t>
            </w:r>
          </w:p>
        </w:tc>
        <w:tc>
          <w:tcPr>
            <w:tcW w:w="0" w:type="auto"/>
            <w:hideMark/>
          </w:tcPr>
          <w:p w14:paraId="78C88FC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683C44B" w14:textId="77777777" w:rsidTr="006F2B5D">
        <w:tc>
          <w:tcPr>
            <w:tcW w:w="0" w:type="auto"/>
            <w:hideMark/>
          </w:tcPr>
          <w:p w14:paraId="14A5211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DF2856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DB1.DE</w:t>
            </w:r>
          </w:p>
        </w:tc>
        <w:tc>
          <w:tcPr>
            <w:tcW w:w="0" w:type="auto"/>
            <w:hideMark/>
          </w:tcPr>
          <w:p w14:paraId="7BF4C6C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Deutsche Börse AG</w:t>
            </w:r>
          </w:p>
        </w:tc>
        <w:tc>
          <w:tcPr>
            <w:tcW w:w="0" w:type="auto"/>
            <w:hideMark/>
          </w:tcPr>
          <w:p w14:paraId="787A1AD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7F6417B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данни и фондови борси</w:t>
            </w:r>
          </w:p>
        </w:tc>
        <w:tc>
          <w:tcPr>
            <w:tcW w:w="0" w:type="auto"/>
            <w:hideMark/>
          </w:tcPr>
          <w:p w14:paraId="3DEFE76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0.828</w:t>
            </w:r>
          </w:p>
        </w:tc>
        <w:tc>
          <w:tcPr>
            <w:tcW w:w="0" w:type="auto"/>
            <w:hideMark/>
          </w:tcPr>
          <w:p w14:paraId="378D65B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85F9C91" w14:textId="77777777" w:rsidTr="006F2B5D">
        <w:tc>
          <w:tcPr>
            <w:tcW w:w="0" w:type="auto"/>
            <w:hideMark/>
          </w:tcPr>
          <w:p w14:paraId="480E4E8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67E796B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GTT.PA</w:t>
            </w:r>
          </w:p>
        </w:tc>
        <w:tc>
          <w:tcPr>
            <w:tcW w:w="0" w:type="auto"/>
            <w:hideMark/>
          </w:tcPr>
          <w:p w14:paraId="3A8DC61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Gaztransport &amp; Technigaz SA</w:t>
            </w:r>
          </w:p>
        </w:tc>
        <w:tc>
          <w:tcPr>
            <w:tcW w:w="0" w:type="auto"/>
            <w:hideMark/>
          </w:tcPr>
          <w:p w14:paraId="6BF64C5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62DC28A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Оборудване и услуги за нефт и газ</w:t>
            </w:r>
          </w:p>
        </w:tc>
        <w:tc>
          <w:tcPr>
            <w:tcW w:w="0" w:type="auto"/>
            <w:hideMark/>
          </w:tcPr>
          <w:p w14:paraId="330FA62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0.799</w:t>
            </w:r>
          </w:p>
        </w:tc>
        <w:tc>
          <w:tcPr>
            <w:tcW w:w="0" w:type="auto"/>
            <w:hideMark/>
          </w:tcPr>
          <w:p w14:paraId="7A65A45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251DEF7" w14:textId="77777777" w:rsidTr="006F2B5D">
        <w:tc>
          <w:tcPr>
            <w:tcW w:w="0" w:type="auto"/>
            <w:hideMark/>
          </w:tcPr>
          <w:p w14:paraId="7706283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4242838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SAN.MC</w:t>
            </w:r>
          </w:p>
        </w:tc>
        <w:tc>
          <w:tcPr>
            <w:tcW w:w="0" w:type="auto"/>
            <w:hideMark/>
          </w:tcPr>
          <w:p w14:paraId="0CBCA41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Banco Santander, S.A.</w:t>
            </w:r>
          </w:p>
        </w:tc>
        <w:tc>
          <w:tcPr>
            <w:tcW w:w="0" w:type="auto"/>
            <w:hideMark/>
          </w:tcPr>
          <w:p w14:paraId="3BEFDC3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7BE056B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Банки – диверсифицирани</w:t>
            </w:r>
          </w:p>
        </w:tc>
        <w:tc>
          <w:tcPr>
            <w:tcW w:w="0" w:type="auto"/>
            <w:hideMark/>
          </w:tcPr>
          <w:p w14:paraId="686A91E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0.795</w:t>
            </w:r>
          </w:p>
        </w:tc>
        <w:tc>
          <w:tcPr>
            <w:tcW w:w="0" w:type="auto"/>
            <w:hideMark/>
          </w:tcPr>
          <w:p w14:paraId="5B6D11D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2CAE3E0" w14:textId="77777777" w:rsidTr="006F2B5D">
        <w:tc>
          <w:tcPr>
            <w:tcW w:w="0" w:type="auto"/>
            <w:hideMark/>
          </w:tcPr>
          <w:p w14:paraId="19E3614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4316C4F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BKT.MC</w:t>
            </w:r>
          </w:p>
        </w:tc>
        <w:tc>
          <w:tcPr>
            <w:tcW w:w="0" w:type="auto"/>
            <w:hideMark/>
          </w:tcPr>
          <w:p w14:paraId="5B8E499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Bankinter, S.A.</w:t>
            </w:r>
          </w:p>
        </w:tc>
        <w:tc>
          <w:tcPr>
            <w:tcW w:w="0" w:type="auto"/>
            <w:hideMark/>
          </w:tcPr>
          <w:p w14:paraId="7CA9D8E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1AF2245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5668764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0.787</w:t>
            </w:r>
          </w:p>
        </w:tc>
        <w:tc>
          <w:tcPr>
            <w:tcW w:w="0" w:type="auto"/>
            <w:hideMark/>
          </w:tcPr>
          <w:p w14:paraId="008E010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BDD6FA3" w14:textId="77777777" w:rsidTr="006F2B5D">
        <w:tc>
          <w:tcPr>
            <w:tcW w:w="0" w:type="auto"/>
            <w:hideMark/>
          </w:tcPr>
          <w:p w14:paraId="1C95034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BAADC1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ULVR.L</w:t>
            </w:r>
          </w:p>
        </w:tc>
        <w:tc>
          <w:tcPr>
            <w:tcW w:w="0" w:type="auto"/>
            <w:hideMark/>
          </w:tcPr>
          <w:p w14:paraId="04C9FB0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Unilever PLC</w:t>
            </w:r>
          </w:p>
        </w:tc>
        <w:tc>
          <w:tcPr>
            <w:tcW w:w="0" w:type="auto"/>
            <w:hideMark/>
          </w:tcPr>
          <w:p w14:paraId="53B1115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Нециклично потребление</w:t>
            </w:r>
          </w:p>
        </w:tc>
        <w:tc>
          <w:tcPr>
            <w:tcW w:w="0" w:type="auto"/>
            <w:hideMark/>
          </w:tcPr>
          <w:p w14:paraId="4AF40F5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Битови и лични продукти</w:t>
            </w:r>
          </w:p>
        </w:tc>
        <w:tc>
          <w:tcPr>
            <w:tcW w:w="0" w:type="auto"/>
            <w:hideMark/>
          </w:tcPr>
          <w:p w14:paraId="0FFDBF1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0.748</w:t>
            </w:r>
          </w:p>
        </w:tc>
        <w:tc>
          <w:tcPr>
            <w:tcW w:w="0" w:type="auto"/>
            <w:hideMark/>
          </w:tcPr>
          <w:p w14:paraId="1499D06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1FE57B46" w14:textId="77777777" w:rsidTr="006F2B5D">
        <w:tc>
          <w:tcPr>
            <w:tcW w:w="0" w:type="auto"/>
            <w:hideMark/>
          </w:tcPr>
          <w:p w14:paraId="2910A71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7EE7065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VID.MC</w:t>
            </w:r>
          </w:p>
        </w:tc>
        <w:tc>
          <w:tcPr>
            <w:tcW w:w="0" w:type="auto"/>
            <w:hideMark/>
          </w:tcPr>
          <w:p w14:paraId="7FEAB0B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Vidrala, S.A.</w:t>
            </w:r>
          </w:p>
        </w:tc>
        <w:tc>
          <w:tcPr>
            <w:tcW w:w="0" w:type="auto"/>
            <w:hideMark/>
          </w:tcPr>
          <w:p w14:paraId="698A1B0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Циклично потребление</w:t>
            </w:r>
          </w:p>
        </w:tc>
        <w:tc>
          <w:tcPr>
            <w:tcW w:w="0" w:type="auto"/>
            <w:hideMark/>
          </w:tcPr>
          <w:p w14:paraId="723C689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Опаковки и контейнери</w:t>
            </w:r>
          </w:p>
        </w:tc>
        <w:tc>
          <w:tcPr>
            <w:tcW w:w="0" w:type="auto"/>
            <w:hideMark/>
          </w:tcPr>
          <w:p w14:paraId="12860CE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0.742</w:t>
            </w:r>
          </w:p>
        </w:tc>
        <w:tc>
          <w:tcPr>
            <w:tcW w:w="0" w:type="auto"/>
            <w:hideMark/>
          </w:tcPr>
          <w:p w14:paraId="3BAABB7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BA40243" w14:textId="77777777" w:rsidTr="006F2B5D">
        <w:tc>
          <w:tcPr>
            <w:tcW w:w="0" w:type="auto"/>
            <w:hideMark/>
          </w:tcPr>
          <w:p w14:paraId="41B7002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248CA15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BGN.MI</w:t>
            </w:r>
          </w:p>
        </w:tc>
        <w:tc>
          <w:tcPr>
            <w:tcW w:w="0" w:type="auto"/>
            <w:hideMark/>
          </w:tcPr>
          <w:p w14:paraId="42167F0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Banca Generali S.p.A.</w:t>
            </w:r>
          </w:p>
        </w:tc>
        <w:tc>
          <w:tcPr>
            <w:tcW w:w="0" w:type="auto"/>
            <w:hideMark/>
          </w:tcPr>
          <w:p w14:paraId="7413925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2DE133C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338C00A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0.712</w:t>
            </w:r>
          </w:p>
        </w:tc>
        <w:tc>
          <w:tcPr>
            <w:tcW w:w="0" w:type="auto"/>
            <w:hideMark/>
          </w:tcPr>
          <w:p w14:paraId="1D01083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313768C" w14:textId="77777777" w:rsidTr="006F2B5D">
        <w:tc>
          <w:tcPr>
            <w:tcW w:w="0" w:type="auto"/>
            <w:hideMark/>
          </w:tcPr>
          <w:p w14:paraId="6DF7A29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lastRenderedPageBreak/>
              <w:t>Long</w:t>
            </w:r>
          </w:p>
        </w:tc>
        <w:tc>
          <w:tcPr>
            <w:tcW w:w="0" w:type="auto"/>
            <w:hideMark/>
          </w:tcPr>
          <w:p w14:paraId="5025B4C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KNEBV.HE</w:t>
            </w:r>
          </w:p>
        </w:tc>
        <w:tc>
          <w:tcPr>
            <w:tcW w:w="0" w:type="auto"/>
            <w:hideMark/>
          </w:tcPr>
          <w:p w14:paraId="51941C9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KONE Oyj</w:t>
            </w:r>
          </w:p>
        </w:tc>
        <w:tc>
          <w:tcPr>
            <w:tcW w:w="0" w:type="auto"/>
            <w:hideMark/>
          </w:tcPr>
          <w:p w14:paraId="3A1A9E5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2A3900E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67E4E94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0.696</w:t>
            </w:r>
          </w:p>
        </w:tc>
        <w:tc>
          <w:tcPr>
            <w:tcW w:w="0" w:type="auto"/>
            <w:hideMark/>
          </w:tcPr>
          <w:p w14:paraId="53D5FB3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1D154BB7" w14:textId="77777777" w:rsidTr="006F2B5D">
        <w:tc>
          <w:tcPr>
            <w:tcW w:w="0" w:type="auto"/>
            <w:hideMark/>
          </w:tcPr>
          <w:p w14:paraId="2CB7C59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2123AE1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EN.PA</w:t>
            </w:r>
          </w:p>
        </w:tc>
        <w:tc>
          <w:tcPr>
            <w:tcW w:w="0" w:type="auto"/>
            <w:hideMark/>
          </w:tcPr>
          <w:p w14:paraId="70DB3ED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Bouygues SA</w:t>
            </w:r>
          </w:p>
        </w:tc>
        <w:tc>
          <w:tcPr>
            <w:tcW w:w="0" w:type="auto"/>
            <w:hideMark/>
          </w:tcPr>
          <w:p w14:paraId="2607843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96738D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Инженеринг и строителство</w:t>
            </w:r>
          </w:p>
        </w:tc>
        <w:tc>
          <w:tcPr>
            <w:tcW w:w="0" w:type="auto"/>
            <w:hideMark/>
          </w:tcPr>
          <w:p w14:paraId="57FBB52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0.689</w:t>
            </w:r>
          </w:p>
        </w:tc>
        <w:tc>
          <w:tcPr>
            <w:tcW w:w="0" w:type="auto"/>
            <w:hideMark/>
          </w:tcPr>
          <w:p w14:paraId="6E6112A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90E58A4" w14:textId="77777777" w:rsidTr="006F2B5D">
        <w:tc>
          <w:tcPr>
            <w:tcW w:w="0" w:type="auto"/>
            <w:hideMark/>
          </w:tcPr>
          <w:p w14:paraId="550664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713925E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VOLV-B.ST</w:t>
            </w:r>
          </w:p>
        </w:tc>
        <w:tc>
          <w:tcPr>
            <w:tcW w:w="0" w:type="auto"/>
            <w:hideMark/>
          </w:tcPr>
          <w:p w14:paraId="386F1CC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AB Volvo (publ)</w:t>
            </w:r>
          </w:p>
        </w:tc>
        <w:tc>
          <w:tcPr>
            <w:tcW w:w="0" w:type="auto"/>
            <w:hideMark/>
          </w:tcPr>
          <w:p w14:paraId="19B0CC4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2E987CA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Земеделска и тежка строителна техника</w:t>
            </w:r>
          </w:p>
        </w:tc>
        <w:tc>
          <w:tcPr>
            <w:tcW w:w="0" w:type="auto"/>
            <w:hideMark/>
          </w:tcPr>
          <w:p w14:paraId="2AF3F95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0.67</w:t>
            </w:r>
          </w:p>
        </w:tc>
        <w:tc>
          <w:tcPr>
            <w:tcW w:w="0" w:type="auto"/>
            <w:hideMark/>
          </w:tcPr>
          <w:p w14:paraId="6CB1B8E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117A938" w14:textId="77777777" w:rsidTr="006F2B5D">
        <w:tc>
          <w:tcPr>
            <w:tcW w:w="0" w:type="auto"/>
            <w:hideMark/>
          </w:tcPr>
          <w:p w14:paraId="366B81B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555D1AB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RAA.DE</w:t>
            </w:r>
          </w:p>
        </w:tc>
        <w:tc>
          <w:tcPr>
            <w:tcW w:w="0" w:type="auto"/>
            <w:hideMark/>
          </w:tcPr>
          <w:p w14:paraId="6FD7676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RATIONAL Aktiengesellschaft</w:t>
            </w:r>
          </w:p>
        </w:tc>
        <w:tc>
          <w:tcPr>
            <w:tcW w:w="0" w:type="auto"/>
            <w:hideMark/>
          </w:tcPr>
          <w:p w14:paraId="35A7A53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7B7A79C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249FEEF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0.667</w:t>
            </w:r>
          </w:p>
        </w:tc>
        <w:tc>
          <w:tcPr>
            <w:tcW w:w="0" w:type="auto"/>
            <w:hideMark/>
          </w:tcPr>
          <w:p w14:paraId="269E470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5202B2B" w14:textId="77777777" w:rsidTr="006F2B5D">
        <w:tc>
          <w:tcPr>
            <w:tcW w:w="0" w:type="auto"/>
            <w:hideMark/>
          </w:tcPr>
          <w:p w14:paraId="23C37C5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D8716B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ATCO-A.ST</w:t>
            </w:r>
          </w:p>
        </w:tc>
        <w:tc>
          <w:tcPr>
            <w:tcW w:w="0" w:type="auto"/>
            <w:hideMark/>
          </w:tcPr>
          <w:p w14:paraId="62801C6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Atlas Copco AB (publ)</w:t>
            </w:r>
          </w:p>
        </w:tc>
        <w:tc>
          <w:tcPr>
            <w:tcW w:w="0" w:type="auto"/>
            <w:hideMark/>
          </w:tcPr>
          <w:p w14:paraId="67CEDA7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5A0A7E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7F5729F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0.658</w:t>
            </w:r>
          </w:p>
        </w:tc>
        <w:tc>
          <w:tcPr>
            <w:tcW w:w="0" w:type="auto"/>
            <w:hideMark/>
          </w:tcPr>
          <w:p w14:paraId="4DF257D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322FEC8" w14:textId="77777777" w:rsidTr="006F2B5D">
        <w:tc>
          <w:tcPr>
            <w:tcW w:w="0" w:type="auto"/>
            <w:hideMark/>
          </w:tcPr>
          <w:p w14:paraId="1E24F19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0A54964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AKE.PA</w:t>
            </w:r>
          </w:p>
        </w:tc>
        <w:tc>
          <w:tcPr>
            <w:tcW w:w="0" w:type="auto"/>
            <w:hideMark/>
          </w:tcPr>
          <w:p w14:paraId="6A150D2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Arkema S.A.</w:t>
            </w:r>
          </w:p>
        </w:tc>
        <w:tc>
          <w:tcPr>
            <w:tcW w:w="0" w:type="auto"/>
            <w:hideMark/>
          </w:tcPr>
          <w:p w14:paraId="44A5C32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Основни материали</w:t>
            </w:r>
          </w:p>
        </w:tc>
        <w:tc>
          <w:tcPr>
            <w:tcW w:w="0" w:type="auto"/>
            <w:hideMark/>
          </w:tcPr>
          <w:p w14:paraId="263D1F1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химикали</w:t>
            </w:r>
          </w:p>
        </w:tc>
        <w:tc>
          <w:tcPr>
            <w:tcW w:w="0" w:type="auto"/>
            <w:hideMark/>
          </w:tcPr>
          <w:p w14:paraId="11DE805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0.638</w:t>
            </w:r>
          </w:p>
        </w:tc>
        <w:tc>
          <w:tcPr>
            <w:tcW w:w="0" w:type="auto"/>
            <w:hideMark/>
          </w:tcPr>
          <w:p w14:paraId="1FEF1C7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4D1A520" w14:textId="77777777" w:rsidTr="006F2B5D">
        <w:tc>
          <w:tcPr>
            <w:tcW w:w="0" w:type="auto"/>
            <w:hideMark/>
          </w:tcPr>
          <w:p w14:paraId="60950F6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517DC17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IDR.MC</w:t>
            </w:r>
          </w:p>
        </w:tc>
        <w:tc>
          <w:tcPr>
            <w:tcW w:w="0" w:type="auto"/>
            <w:hideMark/>
          </w:tcPr>
          <w:p w14:paraId="60737ED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Indra Sistemas, S.A.</w:t>
            </w:r>
          </w:p>
        </w:tc>
        <w:tc>
          <w:tcPr>
            <w:tcW w:w="0" w:type="auto"/>
            <w:hideMark/>
          </w:tcPr>
          <w:p w14:paraId="49D5058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Технологии</w:t>
            </w:r>
          </w:p>
        </w:tc>
        <w:tc>
          <w:tcPr>
            <w:tcW w:w="0" w:type="auto"/>
            <w:hideMark/>
          </w:tcPr>
          <w:p w14:paraId="0C429BB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Информационни технологични услуги</w:t>
            </w:r>
          </w:p>
        </w:tc>
        <w:tc>
          <w:tcPr>
            <w:tcW w:w="0" w:type="auto"/>
            <w:hideMark/>
          </w:tcPr>
          <w:p w14:paraId="725D46E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0.607</w:t>
            </w:r>
          </w:p>
        </w:tc>
        <w:tc>
          <w:tcPr>
            <w:tcW w:w="0" w:type="auto"/>
            <w:hideMark/>
          </w:tcPr>
          <w:p w14:paraId="7F75C9F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FBD76D8" w14:textId="77777777" w:rsidTr="006F2B5D">
        <w:tc>
          <w:tcPr>
            <w:tcW w:w="0" w:type="auto"/>
            <w:hideMark/>
          </w:tcPr>
          <w:p w14:paraId="59B8B6D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E4AED0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ELIS.PA</w:t>
            </w:r>
          </w:p>
        </w:tc>
        <w:tc>
          <w:tcPr>
            <w:tcW w:w="0" w:type="auto"/>
            <w:hideMark/>
          </w:tcPr>
          <w:p w14:paraId="3B743C1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Elis SA</w:t>
            </w:r>
          </w:p>
        </w:tc>
        <w:tc>
          <w:tcPr>
            <w:tcW w:w="0" w:type="auto"/>
            <w:hideMark/>
          </w:tcPr>
          <w:p w14:paraId="75317B8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65C764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бизнес услуги</w:t>
            </w:r>
          </w:p>
        </w:tc>
        <w:tc>
          <w:tcPr>
            <w:tcW w:w="0" w:type="auto"/>
            <w:hideMark/>
          </w:tcPr>
          <w:p w14:paraId="24318CD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0.607</w:t>
            </w:r>
          </w:p>
        </w:tc>
        <w:tc>
          <w:tcPr>
            <w:tcW w:w="0" w:type="auto"/>
            <w:hideMark/>
          </w:tcPr>
          <w:p w14:paraId="1BF48C7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5E5279B" w14:textId="77777777" w:rsidTr="006F2B5D">
        <w:tc>
          <w:tcPr>
            <w:tcW w:w="0" w:type="auto"/>
            <w:hideMark/>
          </w:tcPr>
          <w:p w14:paraId="7284E62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6F7D598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EQNR.OL</w:t>
            </w:r>
          </w:p>
        </w:tc>
        <w:tc>
          <w:tcPr>
            <w:tcW w:w="0" w:type="auto"/>
            <w:hideMark/>
          </w:tcPr>
          <w:p w14:paraId="36E06C4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Equinor ASA</w:t>
            </w:r>
          </w:p>
        </w:tc>
        <w:tc>
          <w:tcPr>
            <w:tcW w:w="0" w:type="auto"/>
            <w:hideMark/>
          </w:tcPr>
          <w:p w14:paraId="5AA6D0B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4CA1A5B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Интегрирани петролни и газови компании</w:t>
            </w:r>
          </w:p>
        </w:tc>
        <w:tc>
          <w:tcPr>
            <w:tcW w:w="0" w:type="auto"/>
            <w:hideMark/>
          </w:tcPr>
          <w:p w14:paraId="705E4D6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0.601</w:t>
            </w:r>
          </w:p>
        </w:tc>
        <w:tc>
          <w:tcPr>
            <w:tcW w:w="0" w:type="auto"/>
            <w:hideMark/>
          </w:tcPr>
          <w:p w14:paraId="6CCBEA3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6C00939" w14:textId="77777777" w:rsidTr="006F2B5D">
        <w:tc>
          <w:tcPr>
            <w:tcW w:w="0" w:type="auto"/>
            <w:hideMark/>
          </w:tcPr>
          <w:p w14:paraId="232D473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1B12D88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ENGI.PA</w:t>
            </w:r>
          </w:p>
        </w:tc>
        <w:tc>
          <w:tcPr>
            <w:tcW w:w="0" w:type="auto"/>
            <w:hideMark/>
          </w:tcPr>
          <w:p w14:paraId="3D08DBE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Engie SA</w:t>
            </w:r>
          </w:p>
        </w:tc>
        <w:tc>
          <w:tcPr>
            <w:tcW w:w="0" w:type="auto"/>
            <w:hideMark/>
          </w:tcPr>
          <w:p w14:paraId="17E8FD3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Комунални услуги</w:t>
            </w:r>
          </w:p>
        </w:tc>
        <w:tc>
          <w:tcPr>
            <w:tcW w:w="0" w:type="auto"/>
            <w:hideMark/>
          </w:tcPr>
          <w:p w14:paraId="6048029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 xml:space="preserve">Комунални услуги – </w:t>
            </w:r>
            <w:r w:rsidRPr="00C67F33">
              <w:rPr>
                <w:rFonts w:ascii="Times New Roman" w:hAnsi="Times New Roman"/>
                <w:sz w:val="24"/>
                <w:szCs w:val="24"/>
              </w:rPr>
              <w:lastRenderedPageBreak/>
              <w:t>диверсифицирани</w:t>
            </w:r>
          </w:p>
        </w:tc>
        <w:tc>
          <w:tcPr>
            <w:tcW w:w="0" w:type="auto"/>
            <w:hideMark/>
          </w:tcPr>
          <w:p w14:paraId="45978D1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lastRenderedPageBreak/>
              <w:t>0.593</w:t>
            </w:r>
          </w:p>
        </w:tc>
        <w:tc>
          <w:tcPr>
            <w:tcW w:w="0" w:type="auto"/>
            <w:hideMark/>
          </w:tcPr>
          <w:p w14:paraId="620C23A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E1ADAD8" w14:textId="77777777" w:rsidTr="006F2B5D">
        <w:tc>
          <w:tcPr>
            <w:tcW w:w="0" w:type="auto"/>
            <w:hideMark/>
          </w:tcPr>
          <w:p w14:paraId="102E7D7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Long</w:t>
            </w:r>
          </w:p>
        </w:tc>
        <w:tc>
          <w:tcPr>
            <w:tcW w:w="0" w:type="auto"/>
            <w:hideMark/>
          </w:tcPr>
          <w:p w14:paraId="6290FD9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PKN.WA</w:t>
            </w:r>
          </w:p>
        </w:tc>
        <w:tc>
          <w:tcPr>
            <w:tcW w:w="0" w:type="auto"/>
            <w:hideMark/>
          </w:tcPr>
          <w:p w14:paraId="6F5CD01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Orlen S.A.</w:t>
            </w:r>
          </w:p>
        </w:tc>
        <w:tc>
          <w:tcPr>
            <w:tcW w:w="0" w:type="auto"/>
            <w:hideMark/>
          </w:tcPr>
          <w:p w14:paraId="56A7B41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7AB5610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Интегрирани петролни и газови компании</w:t>
            </w:r>
          </w:p>
        </w:tc>
        <w:tc>
          <w:tcPr>
            <w:tcW w:w="0" w:type="auto"/>
            <w:hideMark/>
          </w:tcPr>
          <w:p w14:paraId="1B580EA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0.592</w:t>
            </w:r>
          </w:p>
        </w:tc>
        <w:tc>
          <w:tcPr>
            <w:tcW w:w="0" w:type="auto"/>
            <w:hideMark/>
          </w:tcPr>
          <w:p w14:paraId="1C35FC4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AB81E48" w14:textId="77777777" w:rsidTr="006F2B5D">
        <w:tc>
          <w:tcPr>
            <w:tcW w:w="0" w:type="auto"/>
            <w:hideMark/>
          </w:tcPr>
          <w:p w14:paraId="474A882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115536E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RR.L</w:t>
            </w:r>
          </w:p>
        </w:tc>
        <w:tc>
          <w:tcPr>
            <w:tcW w:w="0" w:type="auto"/>
            <w:hideMark/>
          </w:tcPr>
          <w:p w14:paraId="0D27F86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Rolls-Royce Holdings plc</w:t>
            </w:r>
          </w:p>
        </w:tc>
        <w:tc>
          <w:tcPr>
            <w:tcW w:w="0" w:type="auto"/>
            <w:hideMark/>
          </w:tcPr>
          <w:p w14:paraId="5170B7D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6C49B7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Аерокосмическа и отбранителна промишленост</w:t>
            </w:r>
          </w:p>
        </w:tc>
        <w:tc>
          <w:tcPr>
            <w:tcW w:w="0" w:type="auto"/>
            <w:hideMark/>
          </w:tcPr>
          <w:p w14:paraId="630068E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-1.739</w:t>
            </w:r>
          </w:p>
        </w:tc>
        <w:tc>
          <w:tcPr>
            <w:tcW w:w="0" w:type="auto"/>
            <w:hideMark/>
          </w:tcPr>
          <w:p w14:paraId="21C5577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BB67686" w14:textId="77777777" w:rsidTr="006F2B5D">
        <w:tc>
          <w:tcPr>
            <w:tcW w:w="0" w:type="auto"/>
            <w:hideMark/>
          </w:tcPr>
          <w:p w14:paraId="746E8BA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4FF00A7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OCDO.L</w:t>
            </w:r>
          </w:p>
        </w:tc>
        <w:tc>
          <w:tcPr>
            <w:tcW w:w="0" w:type="auto"/>
            <w:hideMark/>
          </w:tcPr>
          <w:p w14:paraId="46CE42A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Ocado Group plc</w:t>
            </w:r>
          </w:p>
        </w:tc>
        <w:tc>
          <w:tcPr>
            <w:tcW w:w="0" w:type="auto"/>
            <w:hideMark/>
          </w:tcPr>
          <w:p w14:paraId="71E10A0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Нециклично потребление</w:t>
            </w:r>
          </w:p>
        </w:tc>
        <w:tc>
          <w:tcPr>
            <w:tcW w:w="0" w:type="auto"/>
            <w:hideMark/>
          </w:tcPr>
          <w:p w14:paraId="614B12F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Супермаркети и хранителни магазини</w:t>
            </w:r>
          </w:p>
        </w:tc>
        <w:tc>
          <w:tcPr>
            <w:tcW w:w="0" w:type="auto"/>
            <w:hideMark/>
          </w:tcPr>
          <w:p w14:paraId="1824BA1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-1.717</w:t>
            </w:r>
          </w:p>
        </w:tc>
        <w:tc>
          <w:tcPr>
            <w:tcW w:w="0" w:type="auto"/>
            <w:hideMark/>
          </w:tcPr>
          <w:p w14:paraId="5404156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F5D2D78" w14:textId="77777777" w:rsidTr="006F2B5D">
        <w:tc>
          <w:tcPr>
            <w:tcW w:w="0" w:type="auto"/>
            <w:hideMark/>
          </w:tcPr>
          <w:p w14:paraId="61EDC58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9C0880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AMS.MC</w:t>
            </w:r>
          </w:p>
        </w:tc>
        <w:tc>
          <w:tcPr>
            <w:tcW w:w="0" w:type="auto"/>
            <w:hideMark/>
          </w:tcPr>
          <w:p w14:paraId="6A2EDA7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Amadeus IT Group, S.A.</w:t>
            </w:r>
          </w:p>
        </w:tc>
        <w:tc>
          <w:tcPr>
            <w:tcW w:w="0" w:type="auto"/>
            <w:hideMark/>
          </w:tcPr>
          <w:p w14:paraId="227FFF5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Технологии</w:t>
            </w:r>
          </w:p>
        </w:tc>
        <w:tc>
          <w:tcPr>
            <w:tcW w:w="0" w:type="auto"/>
            <w:hideMark/>
          </w:tcPr>
          <w:p w14:paraId="23738CF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Информационни технологични услуги</w:t>
            </w:r>
          </w:p>
        </w:tc>
        <w:tc>
          <w:tcPr>
            <w:tcW w:w="0" w:type="auto"/>
            <w:hideMark/>
          </w:tcPr>
          <w:p w14:paraId="22F3A9D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-1.632</w:t>
            </w:r>
          </w:p>
        </w:tc>
        <w:tc>
          <w:tcPr>
            <w:tcW w:w="0" w:type="auto"/>
            <w:hideMark/>
          </w:tcPr>
          <w:p w14:paraId="78C742D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54DCF00" w14:textId="77777777" w:rsidTr="006F2B5D">
        <w:tc>
          <w:tcPr>
            <w:tcW w:w="0" w:type="auto"/>
            <w:hideMark/>
          </w:tcPr>
          <w:p w14:paraId="04A620F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44AC14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RKT.L</w:t>
            </w:r>
          </w:p>
        </w:tc>
        <w:tc>
          <w:tcPr>
            <w:tcW w:w="0" w:type="auto"/>
            <w:hideMark/>
          </w:tcPr>
          <w:p w14:paraId="72E580B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Reckitt Benckiser Group plc</w:t>
            </w:r>
          </w:p>
        </w:tc>
        <w:tc>
          <w:tcPr>
            <w:tcW w:w="0" w:type="auto"/>
            <w:hideMark/>
          </w:tcPr>
          <w:p w14:paraId="6987775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Нециклично потребление</w:t>
            </w:r>
          </w:p>
        </w:tc>
        <w:tc>
          <w:tcPr>
            <w:tcW w:w="0" w:type="auto"/>
            <w:hideMark/>
          </w:tcPr>
          <w:p w14:paraId="0CFA51D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Битови и лични продукти</w:t>
            </w:r>
          </w:p>
        </w:tc>
        <w:tc>
          <w:tcPr>
            <w:tcW w:w="0" w:type="auto"/>
            <w:hideMark/>
          </w:tcPr>
          <w:p w14:paraId="7A22B45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-1.272</w:t>
            </w:r>
          </w:p>
        </w:tc>
        <w:tc>
          <w:tcPr>
            <w:tcW w:w="0" w:type="auto"/>
            <w:hideMark/>
          </w:tcPr>
          <w:p w14:paraId="206E5F6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758DD45" w14:textId="77777777" w:rsidTr="006F2B5D">
        <w:tc>
          <w:tcPr>
            <w:tcW w:w="0" w:type="auto"/>
            <w:hideMark/>
          </w:tcPr>
          <w:p w14:paraId="550B06C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230F904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BP.L</w:t>
            </w:r>
          </w:p>
        </w:tc>
        <w:tc>
          <w:tcPr>
            <w:tcW w:w="0" w:type="auto"/>
            <w:hideMark/>
          </w:tcPr>
          <w:p w14:paraId="271DDB8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BP p.l.c.</w:t>
            </w:r>
          </w:p>
        </w:tc>
        <w:tc>
          <w:tcPr>
            <w:tcW w:w="0" w:type="auto"/>
            <w:hideMark/>
          </w:tcPr>
          <w:p w14:paraId="3F7C136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1600265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Интегрирани петролни и газови компании</w:t>
            </w:r>
          </w:p>
        </w:tc>
        <w:tc>
          <w:tcPr>
            <w:tcW w:w="0" w:type="auto"/>
            <w:hideMark/>
          </w:tcPr>
          <w:p w14:paraId="1ECB90A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-1.271</w:t>
            </w:r>
          </w:p>
        </w:tc>
        <w:tc>
          <w:tcPr>
            <w:tcW w:w="0" w:type="auto"/>
            <w:hideMark/>
          </w:tcPr>
          <w:p w14:paraId="02782CB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FF746B1" w14:textId="77777777" w:rsidTr="006F2B5D">
        <w:tc>
          <w:tcPr>
            <w:tcW w:w="0" w:type="auto"/>
            <w:hideMark/>
          </w:tcPr>
          <w:p w14:paraId="072D8A0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914A62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BEIJ-B.ST</w:t>
            </w:r>
          </w:p>
        </w:tc>
        <w:tc>
          <w:tcPr>
            <w:tcW w:w="0" w:type="auto"/>
            <w:hideMark/>
          </w:tcPr>
          <w:p w14:paraId="2836F2D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Beijer Ref AB (publ)</w:t>
            </w:r>
          </w:p>
        </w:tc>
        <w:tc>
          <w:tcPr>
            <w:tcW w:w="0" w:type="auto"/>
            <w:hideMark/>
          </w:tcPr>
          <w:p w14:paraId="5F0E353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3F1D1B8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Индустриално разпределение</w:t>
            </w:r>
          </w:p>
        </w:tc>
        <w:tc>
          <w:tcPr>
            <w:tcW w:w="0" w:type="auto"/>
            <w:hideMark/>
          </w:tcPr>
          <w:p w14:paraId="5AB711D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-1.203</w:t>
            </w:r>
          </w:p>
        </w:tc>
        <w:tc>
          <w:tcPr>
            <w:tcW w:w="0" w:type="auto"/>
            <w:hideMark/>
          </w:tcPr>
          <w:p w14:paraId="3C345D9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F106F49" w14:textId="77777777" w:rsidTr="006F2B5D">
        <w:tc>
          <w:tcPr>
            <w:tcW w:w="0" w:type="auto"/>
            <w:hideMark/>
          </w:tcPr>
          <w:p w14:paraId="0C5FD02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52C1A94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AZN.L</w:t>
            </w:r>
          </w:p>
        </w:tc>
        <w:tc>
          <w:tcPr>
            <w:tcW w:w="0" w:type="auto"/>
            <w:hideMark/>
          </w:tcPr>
          <w:p w14:paraId="6A87262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AstraZeneca PLC</w:t>
            </w:r>
          </w:p>
        </w:tc>
        <w:tc>
          <w:tcPr>
            <w:tcW w:w="0" w:type="auto"/>
            <w:hideMark/>
          </w:tcPr>
          <w:p w14:paraId="5DD0D7C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2FF2CD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Производители на лекарства – общо</w:t>
            </w:r>
          </w:p>
        </w:tc>
        <w:tc>
          <w:tcPr>
            <w:tcW w:w="0" w:type="auto"/>
            <w:hideMark/>
          </w:tcPr>
          <w:p w14:paraId="10B14AC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-1.176</w:t>
            </w:r>
          </w:p>
        </w:tc>
        <w:tc>
          <w:tcPr>
            <w:tcW w:w="0" w:type="auto"/>
            <w:hideMark/>
          </w:tcPr>
          <w:p w14:paraId="7C8FADE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AFA8641" w14:textId="77777777" w:rsidTr="006F2B5D">
        <w:tc>
          <w:tcPr>
            <w:tcW w:w="0" w:type="auto"/>
            <w:hideMark/>
          </w:tcPr>
          <w:p w14:paraId="248A05A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lastRenderedPageBreak/>
              <w:t>Short</w:t>
            </w:r>
          </w:p>
        </w:tc>
        <w:tc>
          <w:tcPr>
            <w:tcW w:w="0" w:type="auto"/>
            <w:hideMark/>
          </w:tcPr>
          <w:p w14:paraId="5E08CCF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GLEN.L</w:t>
            </w:r>
          </w:p>
        </w:tc>
        <w:tc>
          <w:tcPr>
            <w:tcW w:w="0" w:type="auto"/>
            <w:hideMark/>
          </w:tcPr>
          <w:p w14:paraId="12ABD0A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Glencore plc</w:t>
            </w:r>
          </w:p>
        </w:tc>
        <w:tc>
          <w:tcPr>
            <w:tcW w:w="0" w:type="auto"/>
            <w:hideMark/>
          </w:tcPr>
          <w:p w14:paraId="6470AE5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Основни материали</w:t>
            </w:r>
          </w:p>
        </w:tc>
        <w:tc>
          <w:tcPr>
            <w:tcW w:w="0" w:type="auto"/>
            <w:hideMark/>
          </w:tcPr>
          <w:p w14:paraId="51DC723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Други индустриални метали и добив</w:t>
            </w:r>
          </w:p>
        </w:tc>
        <w:tc>
          <w:tcPr>
            <w:tcW w:w="0" w:type="auto"/>
            <w:hideMark/>
          </w:tcPr>
          <w:p w14:paraId="11161CB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-1.162</w:t>
            </w:r>
          </w:p>
        </w:tc>
        <w:tc>
          <w:tcPr>
            <w:tcW w:w="0" w:type="auto"/>
            <w:hideMark/>
          </w:tcPr>
          <w:p w14:paraId="1859756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D34DAAF" w14:textId="77777777" w:rsidTr="006F2B5D">
        <w:tc>
          <w:tcPr>
            <w:tcW w:w="0" w:type="auto"/>
            <w:hideMark/>
          </w:tcPr>
          <w:p w14:paraId="37FD332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07A0E45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ABVX.PA</w:t>
            </w:r>
          </w:p>
        </w:tc>
        <w:tc>
          <w:tcPr>
            <w:tcW w:w="0" w:type="auto"/>
            <w:hideMark/>
          </w:tcPr>
          <w:p w14:paraId="4265CBA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ABIVAX Société Anonyme</w:t>
            </w:r>
          </w:p>
        </w:tc>
        <w:tc>
          <w:tcPr>
            <w:tcW w:w="0" w:type="auto"/>
            <w:hideMark/>
          </w:tcPr>
          <w:p w14:paraId="5641C56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343E685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Биотехнологии</w:t>
            </w:r>
          </w:p>
        </w:tc>
        <w:tc>
          <w:tcPr>
            <w:tcW w:w="0" w:type="auto"/>
            <w:hideMark/>
          </w:tcPr>
          <w:p w14:paraId="5936AC3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-1.148</w:t>
            </w:r>
          </w:p>
        </w:tc>
        <w:tc>
          <w:tcPr>
            <w:tcW w:w="0" w:type="auto"/>
            <w:hideMark/>
          </w:tcPr>
          <w:p w14:paraId="2179EAE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37452A4" w14:textId="77777777" w:rsidTr="006F2B5D">
        <w:tc>
          <w:tcPr>
            <w:tcW w:w="0" w:type="auto"/>
            <w:hideMark/>
          </w:tcPr>
          <w:p w14:paraId="4FB64BB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1F833A5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NKT.CO</w:t>
            </w:r>
          </w:p>
        </w:tc>
        <w:tc>
          <w:tcPr>
            <w:tcW w:w="0" w:type="auto"/>
            <w:hideMark/>
          </w:tcPr>
          <w:p w14:paraId="08610DE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NKT A/S</w:t>
            </w:r>
          </w:p>
        </w:tc>
        <w:tc>
          <w:tcPr>
            <w:tcW w:w="0" w:type="auto"/>
            <w:hideMark/>
          </w:tcPr>
          <w:p w14:paraId="0E5FB7B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9174B3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Електрическо оборудване и части</w:t>
            </w:r>
          </w:p>
        </w:tc>
        <w:tc>
          <w:tcPr>
            <w:tcW w:w="0" w:type="auto"/>
            <w:hideMark/>
          </w:tcPr>
          <w:p w14:paraId="5DAE044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-1.143</w:t>
            </w:r>
          </w:p>
        </w:tc>
        <w:tc>
          <w:tcPr>
            <w:tcW w:w="0" w:type="auto"/>
            <w:hideMark/>
          </w:tcPr>
          <w:p w14:paraId="77E6FC9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88C2E8B" w14:textId="77777777" w:rsidTr="006F2B5D">
        <w:tc>
          <w:tcPr>
            <w:tcW w:w="0" w:type="auto"/>
            <w:hideMark/>
          </w:tcPr>
          <w:p w14:paraId="5093431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3C82417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SN.L</w:t>
            </w:r>
          </w:p>
        </w:tc>
        <w:tc>
          <w:tcPr>
            <w:tcW w:w="0" w:type="auto"/>
            <w:hideMark/>
          </w:tcPr>
          <w:p w14:paraId="6C1575B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Smith &amp; Nephew plc</w:t>
            </w:r>
          </w:p>
        </w:tc>
        <w:tc>
          <w:tcPr>
            <w:tcW w:w="0" w:type="auto"/>
            <w:hideMark/>
          </w:tcPr>
          <w:p w14:paraId="0E51323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Здравеопазване</w:t>
            </w:r>
          </w:p>
        </w:tc>
        <w:tc>
          <w:tcPr>
            <w:tcW w:w="0" w:type="auto"/>
            <w:hideMark/>
          </w:tcPr>
          <w:p w14:paraId="5C0027E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Медицински устройства</w:t>
            </w:r>
          </w:p>
        </w:tc>
        <w:tc>
          <w:tcPr>
            <w:tcW w:w="0" w:type="auto"/>
            <w:hideMark/>
          </w:tcPr>
          <w:p w14:paraId="0D0753B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-1.134</w:t>
            </w:r>
          </w:p>
        </w:tc>
        <w:tc>
          <w:tcPr>
            <w:tcW w:w="0" w:type="auto"/>
            <w:hideMark/>
          </w:tcPr>
          <w:p w14:paraId="6D23269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7500D89" w14:textId="77777777" w:rsidTr="006F2B5D">
        <w:tc>
          <w:tcPr>
            <w:tcW w:w="0" w:type="auto"/>
            <w:hideMark/>
          </w:tcPr>
          <w:p w14:paraId="34E2739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6E7A6E9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STAN.L</w:t>
            </w:r>
          </w:p>
        </w:tc>
        <w:tc>
          <w:tcPr>
            <w:tcW w:w="0" w:type="auto"/>
            <w:hideMark/>
          </w:tcPr>
          <w:p w14:paraId="69F213F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Standard Chartered PLC</w:t>
            </w:r>
          </w:p>
        </w:tc>
        <w:tc>
          <w:tcPr>
            <w:tcW w:w="0" w:type="auto"/>
            <w:hideMark/>
          </w:tcPr>
          <w:p w14:paraId="06F4B4B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74C4822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Банки – диверсифицирани</w:t>
            </w:r>
          </w:p>
        </w:tc>
        <w:tc>
          <w:tcPr>
            <w:tcW w:w="0" w:type="auto"/>
            <w:hideMark/>
          </w:tcPr>
          <w:p w14:paraId="31C0FCB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-1.09</w:t>
            </w:r>
          </w:p>
        </w:tc>
        <w:tc>
          <w:tcPr>
            <w:tcW w:w="0" w:type="auto"/>
            <w:hideMark/>
          </w:tcPr>
          <w:p w14:paraId="53AAB78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2E0B68E" w14:textId="77777777" w:rsidTr="006F2B5D">
        <w:tc>
          <w:tcPr>
            <w:tcW w:w="0" w:type="auto"/>
            <w:hideMark/>
          </w:tcPr>
          <w:p w14:paraId="352429E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476809F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LSEG.L</w:t>
            </w:r>
          </w:p>
        </w:tc>
        <w:tc>
          <w:tcPr>
            <w:tcW w:w="0" w:type="auto"/>
            <w:hideMark/>
          </w:tcPr>
          <w:p w14:paraId="7D52FF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London Stock Exchange Group plc</w:t>
            </w:r>
          </w:p>
        </w:tc>
        <w:tc>
          <w:tcPr>
            <w:tcW w:w="0" w:type="auto"/>
            <w:hideMark/>
          </w:tcPr>
          <w:p w14:paraId="740F8A0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132E6B5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данни и фондови борси</w:t>
            </w:r>
          </w:p>
        </w:tc>
        <w:tc>
          <w:tcPr>
            <w:tcW w:w="0" w:type="auto"/>
            <w:hideMark/>
          </w:tcPr>
          <w:p w14:paraId="76D8786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-1.069</w:t>
            </w:r>
          </w:p>
        </w:tc>
        <w:tc>
          <w:tcPr>
            <w:tcW w:w="0" w:type="auto"/>
            <w:hideMark/>
          </w:tcPr>
          <w:p w14:paraId="699060D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45B8B20" w14:textId="77777777" w:rsidTr="006F2B5D">
        <w:tc>
          <w:tcPr>
            <w:tcW w:w="0" w:type="auto"/>
            <w:hideMark/>
          </w:tcPr>
          <w:p w14:paraId="61C84F3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5C948EF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HUH1V.HE</w:t>
            </w:r>
          </w:p>
        </w:tc>
        <w:tc>
          <w:tcPr>
            <w:tcW w:w="0" w:type="auto"/>
            <w:hideMark/>
          </w:tcPr>
          <w:p w14:paraId="4A3E196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Huhtamäki Oyj</w:t>
            </w:r>
          </w:p>
        </w:tc>
        <w:tc>
          <w:tcPr>
            <w:tcW w:w="0" w:type="auto"/>
            <w:hideMark/>
          </w:tcPr>
          <w:p w14:paraId="4B60BB8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Циклично потребление</w:t>
            </w:r>
          </w:p>
        </w:tc>
        <w:tc>
          <w:tcPr>
            <w:tcW w:w="0" w:type="auto"/>
            <w:hideMark/>
          </w:tcPr>
          <w:p w14:paraId="5906748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Опаковки и контейнери</w:t>
            </w:r>
          </w:p>
        </w:tc>
        <w:tc>
          <w:tcPr>
            <w:tcW w:w="0" w:type="auto"/>
            <w:hideMark/>
          </w:tcPr>
          <w:p w14:paraId="67B1DE2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-1.012</w:t>
            </w:r>
          </w:p>
        </w:tc>
        <w:tc>
          <w:tcPr>
            <w:tcW w:w="0" w:type="auto"/>
            <w:hideMark/>
          </w:tcPr>
          <w:p w14:paraId="2DA52A7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1477FAB" w14:textId="77777777" w:rsidTr="006F2B5D">
        <w:tc>
          <w:tcPr>
            <w:tcW w:w="0" w:type="auto"/>
            <w:hideMark/>
          </w:tcPr>
          <w:p w14:paraId="36F5075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1268D3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MNG.L</w:t>
            </w:r>
          </w:p>
        </w:tc>
        <w:tc>
          <w:tcPr>
            <w:tcW w:w="0" w:type="auto"/>
            <w:hideMark/>
          </w:tcPr>
          <w:p w14:paraId="6F0421D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M&amp;G plc</w:t>
            </w:r>
          </w:p>
        </w:tc>
        <w:tc>
          <w:tcPr>
            <w:tcW w:w="0" w:type="auto"/>
            <w:hideMark/>
          </w:tcPr>
          <w:p w14:paraId="0C930B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001BB26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Управление на активи</w:t>
            </w:r>
          </w:p>
        </w:tc>
        <w:tc>
          <w:tcPr>
            <w:tcW w:w="0" w:type="auto"/>
            <w:hideMark/>
          </w:tcPr>
          <w:p w14:paraId="4197507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-1.0</w:t>
            </w:r>
          </w:p>
        </w:tc>
        <w:tc>
          <w:tcPr>
            <w:tcW w:w="0" w:type="auto"/>
            <w:hideMark/>
          </w:tcPr>
          <w:p w14:paraId="64F5B5A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B4CEAED" w14:textId="77777777" w:rsidTr="006F2B5D">
        <w:tc>
          <w:tcPr>
            <w:tcW w:w="0" w:type="auto"/>
            <w:hideMark/>
          </w:tcPr>
          <w:p w14:paraId="6EF9AA7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B0CC3C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BMPS.MI</w:t>
            </w:r>
          </w:p>
        </w:tc>
        <w:tc>
          <w:tcPr>
            <w:tcW w:w="0" w:type="auto"/>
            <w:hideMark/>
          </w:tcPr>
          <w:p w14:paraId="33BEDC7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Banca Monte dei Paschi di Siena S.p.A.</w:t>
            </w:r>
          </w:p>
        </w:tc>
        <w:tc>
          <w:tcPr>
            <w:tcW w:w="0" w:type="auto"/>
            <w:hideMark/>
          </w:tcPr>
          <w:p w14:paraId="3C1DA0B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57AB8F9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6BB1023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-0.916</w:t>
            </w:r>
          </w:p>
        </w:tc>
        <w:tc>
          <w:tcPr>
            <w:tcW w:w="0" w:type="auto"/>
            <w:hideMark/>
          </w:tcPr>
          <w:p w14:paraId="00AE570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EC230A6" w14:textId="77777777" w:rsidTr="006F2B5D">
        <w:tc>
          <w:tcPr>
            <w:tcW w:w="0" w:type="auto"/>
            <w:hideMark/>
          </w:tcPr>
          <w:p w14:paraId="10DD61F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lastRenderedPageBreak/>
              <w:t>Short</w:t>
            </w:r>
          </w:p>
        </w:tc>
        <w:tc>
          <w:tcPr>
            <w:tcW w:w="0" w:type="auto"/>
            <w:hideMark/>
          </w:tcPr>
          <w:p w14:paraId="1803F3D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SUBC.OL</w:t>
            </w:r>
          </w:p>
        </w:tc>
        <w:tc>
          <w:tcPr>
            <w:tcW w:w="0" w:type="auto"/>
            <w:hideMark/>
          </w:tcPr>
          <w:p w14:paraId="6AAE079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Subsea 7 S.A.</w:t>
            </w:r>
          </w:p>
        </w:tc>
        <w:tc>
          <w:tcPr>
            <w:tcW w:w="0" w:type="auto"/>
            <w:hideMark/>
          </w:tcPr>
          <w:p w14:paraId="31655A0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183BD7A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Оборудване и услуги за нефт и газ</w:t>
            </w:r>
          </w:p>
        </w:tc>
        <w:tc>
          <w:tcPr>
            <w:tcW w:w="0" w:type="auto"/>
            <w:hideMark/>
          </w:tcPr>
          <w:p w14:paraId="4ACBCC1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-0.907</w:t>
            </w:r>
          </w:p>
        </w:tc>
        <w:tc>
          <w:tcPr>
            <w:tcW w:w="0" w:type="auto"/>
            <w:hideMark/>
          </w:tcPr>
          <w:p w14:paraId="0762A78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0E86507" w14:textId="77777777" w:rsidTr="006F2B5D">
        <w:tc>
          <w:tcPr>
            <w:tcW w:w="0" w:type="auto"/>
            <w:hideMark/>
          </w:tcPr>
          <w:p w14:paraId="2AD1302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363094D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AV.L</w:t>
            </w:r>
          </w:p>
        </w:tc>
        <w:tc>
          <w:tcPr>
            <w:tcW w:w="0" w:type="auto"/>
            <w:hideMark/>
          </w:tcPr>
          <w:p w14:paraId="00CAEC0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Aviva plc</w:t>
            </w:r>
          </w:p>
        </w:tc>
        <w:tc>
          <w:tcPr>
            <w:tcW w:w="0" w:type="auto"/>
            <w:hideMark/>
          </w:tcPr>
          <w:p w14:paraId="03CE707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21BC37A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Застраховане – диверсифицирано</w:t>
            </w:r>
          </w:p>
        </w:tc>
        <w:tc>
          <w:tcPr>
            <w:tcW w:w="0" w:type="auto"/>
            <w:hideMark/>
          </w:tcPr>
          <w:p w14:paraId="4CAEF0A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-0.901</w:t>
            </w:r>
          </w:p>
        </w:tc>
        <w:tc>
          <w:tcPr>
            <w:tcW w:w="0" w:type="auto"/>
            <w:hideMark/>
          </w:tcPr>
          <w:p w14:paraId="6E52934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4D54CC2" w14:textId="77777777" w:rsidTr="006F2B5D">
        <w:tc>
          <w:tcPr>
            <w:tcW w:w="0" w:type="auto"/>
            <w:hideMark/>
          </w:tcPr>
          <w:p w14:paraId="1E78A8C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15EF3E5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CLNX.MC</w:t>
            </w:r>
          </w:p>
        </w:tc>
        <w:tc>
          <w:tcPr>
            <w:tcW w:w="0" w:type="auto"/>
            <w:hideMark/>
          </w:tcPr>
          <w:p w14:paraId="1637995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Cellnex Telecom, S.A.</w:t>
            </w:r>
          </w:p>
        </w:tc>
        <w:tc>
          <w:tcPr>
            <w:tcW w:w="0" w:type="auto"/>
            <w:hideMark/>
          </w:tcPr>
          <w:p w14:paraId="6E01D97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Недвижими имоти</w:t>
            </w:r>
          </w:p>
        </w:tc>
        <w:tc>
          <w:tcPr>
            <w:tcW w:w="0" w:type="auto"/>
            <w:hideMark/>
          </w:tcPr>
          <w:p w14:paraId="57FFD18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Услуги с недвижими имоти</w:t>
            </w:r>
          </w:p>
        </w:tc>
        <w:tc>
          <w:tcPr>
            <w:tcW w:w="0" w:type="auto"/>
            <w:hideMark/>
          </w:tcPr>
          <w:p w14:paraId="0C158C6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-0.848</w:t>
            </w:r>
          </w:p>
        </w:tc>
        <w:tc>
          <w:tcPr>
            <w:tcW w:w="0" w:type="auto"/>
            <w:hideMark/>
          </w:tcPr>
          <w:p w14:paraId="31B7D78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8B526FF" w14:textId="77777777" w:rsidTr="006F2B5D">
        <w:tc>
          <w:tcPr>
            <w:tcW w:w="0" w:type="auto"/>
            <w:hideMark/>
          </w:tcPr>
          <w:p w14:paraId="35EE971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1D26A39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NDX1.DE</w:t>
            </w:r>
          </w:p>
        </w:tc>
        <w:tc>
          <w:tcPr>
            <w:tcW w:w="0" w:type="auto"/>
            <w:hideMark/>
          </w:tcPr>
          <w:p w14:paraId="6E5FDDE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Nordex SE</w:t>
            </w:r>
          </w:p>
        </w:tc>
        <w:tc>
          <w:tcPr>
            <w:tcW w:w="0" w:type="auto"/>
            <w:hideMark/>
          </w:tcPr>
          <w:p w14:paraId="6ED1E52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54FEB9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660E008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-0.837</w:t>
            </w:r>
          </w:p>
        </w:tc>
        <w:tc>
          <w:tcPr>
            <w:tcW w:w="0" w:type="auto"/>
            <w:hideMark/>
          </w:tcPr>
          <w:p w14:paraId="4236505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F8BA407" w14:textId="77777777" w:rsidTr="006F2B5D">
        <w:tc>
          <w:tcPr>
            <w:tcW w:w="0" w:type="auto"/>
            <w:hideMark/>
          </w:tcPr>
          <w:p w14:paraId="18A5D51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2CED702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AZE.BR</w:t>
            </w:r>
          </w:p>
        </w:tc>
        <w:tc>
          <w:tcPr>
            <w:tcW w:w="0" w:type="auto"/>
            <w:hideMark/>
          </w:tcPr>
          <w:p w14:paraId="2BF4985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Azelis Group NV</w:t>
            </w:r>
          </w:p>
        </w:tc>
        <w:tc>
          <w:tcPr>
            <w:tcW w:w="0" w:type="auto"/>
            <w:hideMark/>
          </w:tcPr>
          <w:p w14:paraId="6184BAA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Основни материали</w:t>
            </w:r>
          </w:p>
        </w:tc>
        <w:tc>
          <w:tcPr>
            <w:tcW w:w="0" w:type="auto"/>
            <w:hideMark/>
          </w:tcPr>
          <w:p w14:paraId="3BF8DD2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химикали</w:t>
            </w:r>
          </w:p>
        </w:tc>
        <w:tc>
          <w:tcPr>
            <w:tcW w:w="0" w:type="auto"/>
            <w:hideMark/>
          </w:tcPr>
          <w:p w14:paraId="5549D8A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-0.81</w:t>
            </w:r>
          </w:p>
        </w:tc>
        <w:tc>
          <w:tcPr>
            <w:tcW w:w="0" w:type="auto"/>
            <w:hideMark/>
          </w:tcPr>
          <w:p w14:paraId="0D090ED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64E0741B" w14:textId="77777777" w:rsidTr="006F2B5D">
        <w:tc>
          <w:tcPr>
            <w:tcW w:w="0" w:type="auto"/>
            <w:hideMark/>
          </w:tcPr>
          <w:p w14:paraId="1B206A6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459F8ED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WEIR.L</w:t>
            </w:r>
          </w:p>
        </w:tc>
        <w:tc>
          <w:tcPr>
            <w:tcW w:w="0" w:type="auto"/>
            <w:hideMark/>
          </w:tcPr>
          <w:p w14:paraId="1536E31C"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The Weir Group PLC</w:t>
            </w:r>
          </w:p>
        </w:tc>
        <w:tc>
          <w:tcPr>
            <w:tcW w:w="0" w:type="auto"/>
            <w:hideMark/>
          </w:tcPr>
          <w:p w14:paraId="75B3745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082751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27D38ED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-0.782</w:t>
            </w:r>
          </w:p>
        </w:tc>
        <w:tc>
          <w:tcPr>
            <w:tcW w:w="0" w:type="auto"/>
            <w:hideMark/>
          </w:tcPr>
          <w:p w14:paraId="7A1A7AA8"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9259F91" w14:textId="77777777" w:rsidTr="006F2B5D">
        <w:tc>
          <w:tcPr>
            <w:tcW w:w="0" w:type="auto"/>
            <w:hideMark/>
          </w:tcPr>
          <w:p w14:paraId="11D315C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69F7A20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QLT.L</w:t>
            </w:r>
          </w:p>
        </w:tc>
        <w:tc>
          <w:tcPr>
            <w:tcW w:w="0" w:type="auto"/>
            <w:hideMark/>
          </w:tcPr>
          <w:p w14:paraId="5C0FB07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Quilter plc</w:t>
            </w:r>
          </w:p>
        </w:tc>
        <w:tc>
          <w:tcPr>
            <w:tcW w:w="0" w:type="auto"/>
            <w:hideMark/>
          </w:tcPr>
          <w:p w14:paraId="60F2DCB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600942F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Управление на активи</w:t>
            </w:r>
          </w:p>
        </w:tc>
        <w:tc>
          <w:tcPr>
            <w:tcW w:w="0" w:type="auto"/>
            <w:hideMark/>
          </w:tcPr>
          <w:p w14:paraId="5E5C228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-0.739</w:t>
            </w:r>
          </w:p>
        </w:tc>
        <w:tc>
          <w:tcPr>
            <w:tcW w:w="0" w:type="auto"/>
            <w:hideMark/>
          </w:tcPr>
          <w:p w14:paraId="0FA5727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0AC8D738" w14:textId="77777777" w:rsidTr="006F2B5D">
        <w:tc>
          <w:tcPr>
            <w:tcW w:w="0" w:type="auto"/>
            <w:hideMark/>
          </w:tcPr>
          <w:p w14:paraId="1367511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D9DFFB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ABDN.L</w:t>
            </w:r>
          </w:p>
        </w:tc>
        <w:tc>
          <w:tcPr>
            <w:tcW w:w="0" w:type="auto"/>
            <w:hideMark/>
          </w:tcPr>
          <w:p w14:paraId="316924E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Aberdeen Group Plc</w:t>
            </w:r>
          </w:p>
        </w:tc>
        <w:tc>
          <w:tcPr>
            <w:tcW w:w="0" w:type="auto"/>
            <w:hideMark/>
          </w:tcPr>
          <w:p w14:paraId="29BA1FD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6463639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Управление на активи</w:t>
            </w:r>
          </w:p>
        </w:tc>
        <w:tc>
          <w:tcPr>
            <w:tcW w:w="0" w:type="auto"/>
            <w:hideMark/>
          </w:tcPr>
          <w:p w14:paraId="53F0DA2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-0.715</w:t>
            </w:r>
          </w:p>
        </w:tc>
        <w:tc>
          <w:tcPr>
            <w:tcW w:w="0" w:type="auto"/>
            <w:hideMark/>
          </w:tcPr>
          <w:p w14:paraId="59ED970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3B788D68" w14:textId="77777777" w:rsidTr="006F2B5D">
        <w:tc>
          <w:tcPr>
            <w:tcW w:w="0" w:type="auto"/>
            <w:hideMark/>
          </w:tcPr>
          <w:p w14:paraId="55F53EB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3C747F6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GALP.LS</w:t>
            </w:r>
          </w:p>
        </w:tc>
        <w:tc>
          <w:tcPr>
            <w:tcW w:w="0" w:type="auto"/>
            <w:hideMark/>
          </w:tcPr>
          <w:p w14:paraId="5C48425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Galp Energia, SGPS, S.A.</w:t>
            </w:r>
          </w:p>
        </w:tc>
        <w:tc>
          <w:tcPr>
            <w:tcW w:w="0" w:type="auto"/>
            <w:hideMark/>
          </w:tcPr>
          <w:p w14:paraId="5B2719F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Енергетика</w:t>
            </w:r>
          </w:p>
        </w:tc>
        <w:tc>
          <w:tcPr>
            <w:tcW w:w="0" w:type="auto"/>
            <w:hideMark/>
          </w:tcPr>
          <w:p w14:paraId="061B0DD1"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Интегрирани петролни и газови компании</w:t>
            </w:r>
          </w:p>
        </w:tc>
        <w:tc>
          <w:tcPr>
            <w:tcW w:w="0" w:type="auto"/>
            <w:hideMark/>
          </w:tcPr>
          <w:p w14:paraId="56EDC78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-0.711</w:t>
            </w:r>
          </w:p>
        </w:tc>
        <w:tc>
          <w:tcPr>
            <w:tcW w:w="0" w:type="auto"/>
            <w:hideMark/>
          </w:tcPr>
          <w:p w14:paraId="7B0CF74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45D8A9A5" w14:textId="77777777" w:rsidTr="006F2B5D">
        <w:tc>
          <w:tcPr>
            <w:tcW w:w="0" w:type="auto"/>
            <w:hideMark/>
          </w:tcPr>
          <w:p w14:paraId="1AD5A46D"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lastRenderedPageBreak/>
              <w:t>Short</w:t>
            </w:r>
          </w:p>
        </w:tc>
        <w:tc>
          <w:tcPr>
            <w:tcW w:w="0" w:type="auto"/>
            <w:hideMark/>
          </w:tcPr>
          <w:p w14:paraId="1111B4A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AAK.ST</w:t>
            </w:r>
          </w:p>
        </w:tc>
        <w:tc>
          <w:tcPr>
            <w:tcW w:w="0" w:type="auto"/>
            <w:hideMark/>
          </w:tcPr>
          <w:p w14:paraId="6F4D2AD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AAK AB (publ.)</w:t>
            </w:r>
          </w:p>
        </w:tc>
        <w:tc>
          <w:tcPr>
            <w:tcW w:w="0" w:type="auto"/>
            <w:hideMark/>
          </w:tcPr>
          <w:p w14:paraId="7E71335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Нециклично потребление</w:t>
            </w:r>
          </w:p>
        </w:tc>
        <w:tc>
          <w:tcPr>
            <w:tcW w:w="0" w:type="auto"/>
            <w:hideMark/>
          </w:tcPr>
          <w:p w14:paraId="57CBD4D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Опаковани храни</w:t>
            </w:r>
          </w:p>
        </w:tc>
        <w:tc>
          <w:tcPr>
            <w:tcW w:w="0" w:type="auto"/>
            <w:hideMark/>
          </w:tcPr>
          <w:p w14:paraId="41B1318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-0.708</w:t>
            </w:r>
          </w:p>
        </w:tc>
        <w:tc>
          <w:tcPr>
            <w:tcW w:w="0" w:type="auto"/>
            <w:hideMark/>
          </w:tcPr>
          <w:p w14:paraId="45C586F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52DBA217" w14:textId="77777777" w:rsidTr="006F2B5D">
        <w:tc>
          <w:tcPr>
            <w:tcW w:w="0" w:type="auto"/>
            <w:hideMark/>
          </w:tcPr>
          <w:p w14:paraId="23F103F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0312F0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VWS.CO</w:t>
            </w:r>
          </w:p>
        </w:tc>
        <w:tc>
          <w:tcPr>
            <w:tcW w:w="0" w:type="auto"/>
            <w:hideMark/>
          </w:tcPr>
          <w:p w14:paraId="29E72B9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Vestas Wind Systems A/S</w:t>
            </w:r>
          </w:p>
        </w:tc>
        <w:tc>
          <w:tcPr>
            <w:tcW w:w="0" w:type="auto"/>
            <w:hideMark/>
          </w:tcPr>
          <w:p w14:paraId="248105D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04CAFBB4"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7A26EB0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-0.691</w:t>
            </w:r>
          </w:p>
        </w:tc>
        <w:tc>
          <w:tcPr>
            <w:tcW w:w="0" w:type="auto"/>
            <w:hideMark/>
          </w:tcPr>
          <w:p w14:paraId="42124B32"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772E2839" w14:textId="77777777" w:rsidTr="006F2B5D">
        <w:tc>
          <w:tcPr>
            <w:tcW w:w="0" w:type="auto"/>
            <w:hideMark/>
          </w:tcPr>
          <w:p w14:paraId="4EE63FE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722E117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FER.MC</w:t>
            </w:r>
          </w:p>
        </w:tc>
        <w:tc>
          <w:tcPr>
            <w:tcW w:w="0" w:type="auto"/>
            <w:hideMark/>
          </w:tcPr>
          <w:p w14:paraId="6C6154A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Ferrovial SE</w:t>
            </w:r>
          </w:p>
        </w:tc>
        <w:tc>
          <w:tcPr>
            <w:tcW w:w="0" w:type="auto"/>
            <w:hideMark/>
          </w:tcPr>
          <w:p w14:paraId="6CF88020"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14582B2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Инженеринг и строителство</w:t>
            </w:r>
          </w:p>
        </w:tc>
        <w:tc>
          <w:tcPr>
            <w:tcW w:w="0" w:type="auto"/>
            <w:hideMark/>
          </w:tcPr>
          <w:p w14:paraId="157C8E27"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-0.684</w:t>
            </w:r>
          </w:p>
        </w:tc>
        <w:tc>
          <w:tcPr>
            <w:tcW w:w="0" w:type="auto"/>
            <w:hideMark/>
          </w:tcPr>
          <w:p w14:paraId="666621D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8611FAC" w14:textId="77777777" w:rsidTr="006F2B5D">
        <w:tc>
          <w:tcPr>
            <w:tcW w:w="0" w:type="auto"/>
            <w:hideMark/>
          </w:tcPr>
          <w:p w14:paraId="40CA061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2158BC6F"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MBK.WA</w:t>
            </w:r>
          </w:p>
        </w:tc>
        <w:tc>
          <w:tcPr>
            <w:tcW w:w="0" w:type="auto"/>
            <w:hideMark/>
          </w:tcPr>
          <w:p w14:paraId="6441AF8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mBank S.A.</w:t>
            </w:r>
          </w:p>
        </w:tc>
        <w:tc>
          <w:tcPr>
            <w:tcW w:w="0" w:type="auto"/>
            <w:hideMark/>
          </w:tcPr>
          <w:p w14:paraId="46F70F7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Финансови услуги</w:t>
            </w:r>
          </w:p>
        </w:tc>
        <w:tc>
          <w:tcPr>
            <w:tcW w:w="0" w:type="auto"/>
            <w:hideMark/>
          </w:tcPr>
          <w:p w14:paraId="0F19A1D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Регионални банки</w:t>
            </w:r>
          </w:p>
        </w:tc>
        <w:tc>
          <w:tcPr>
            <w:tcW w:w="0" w:type="auto"/>
            <w:hideMark/>
          </w:tcPr>
          <w:p w14:paraId="6561E1B5"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-0.675</w:t>
            </w:r>
          </w:p>
        </w:tc>
        <w:tc>
          <w:tcPr>
            <w:tcW w:w="0" w:type="auto"/>
            <w:hideMark/>
          </w:tcPr>
          <w:p w14:paraId="771CD69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r w:rsidR="00E60D78" w:rsidRPr="00C67F33" w14:paraId="20C378D2" w14:textId="77777777" w:rsidTr="006F2B5D">
        <w:tc>
          <w:tcPr>
            <w:tcW w:w="0" w:type="auto"/>
            <w:hideMark/>
          </w:tcPr>
          <w:p w14:paraId="3108C19B"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Short</w:t>
            </w:r>
          </w:p>
        </w:tc>
        <w:tc>
          <w:tcPr>
            <w:tcW w:w="0" w:type="auto"/>
            <w:hideMark/>
          </w:tcPr>
          <w:p w14:paraId="37F83306"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SMIN.L</w:t>
            </w:r>
          </w:p>
        </w:tc>
        <w:tc>
          <w:tcPr>
            <w:tcW w:w="0" w:type="auto"/>
            <w:hideMark/>
          </w:tcPr>
          <w:p w14:paraId="47CA2D3E"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Smiths Group plc</w:t>
            </w:r>
          </w:p>
        </w:tc>
        <w:tc>
          <w:tcPr>
            <w:tcW w:w="0" w:type="auto"/>
            <w:hideMark/>
          </w:tcPr>
          <w:p w14:paraId="323688FA"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Индустрия</w:t>
            </w:r>
          </w:p>
        </w:tc>
        <w:tc>
          <w:tcPr>
            <w:tcW w:w="0" w:type="auto"/>
            <w:hideMark/>
          </w:tcPr>
          <w:p w14:paraId="7131B66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Специализирани индустриални машини</w:t>
            </w:r>
          </w:p>
        </w:tc>
        <w:tc>
          <w:tcPr>
            <w:tcW w:w="0" w:type="auto"/>
            <w:hideMark/>
          </w:tcPr>
          <w:p w14:paraId="1B2FC0F3"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-0.665</w:t>
            </w:r>
          </w:p>
        </w:tc>
        <w:tc>
          <w:tcPr>
            <w:tcW w:w="0" w:type="auto"/>
            <w:hideMark/>
          </w:tcPr>
          <w:p w14:paraId="1209E5D9" w14:textId="77777777" w:rsidR="00E60D78" w:rsidRPr="00C67F33" w:rsidRDefault="00E60D78" w:rsidP="006F2B5D">
            <w:pPr>
              <w:spacing w:line="360" w:lineRule="auto"/>
              <w:jc w:val="both"/>
              <w:rPr>
                <w:rFonts w:ascii="Times New Roman" w:hAnsi="Times New Roman"/>
                <w:sz w:val="24"/>
                <w:szCs w:val="24"/>
              </w:rPr>
            </w:pPr>
            <w:r w:rsidRPr="00C67F33">
              <w:rPr>
                <w:rFonts w:ascii="Times New Roman" w:hAnsi="Times New Roman"/>
                <w:sz w:val="24"/>
                <w:szCs w:val="24"/>
              </w:rPr>
              <w:t>-0.0333</w:t>
            </w:r>
          </w:p>
        </w:tc>
      </w:tr>
    </w:tbl>
    <w:p w14:paraId="05FED29B" w14:textId="77777777" w:rsidR="00E60D78" w:rsidRPr="00C67F33" w:rsidRDefault="00E60D78" w:rsidP="00E60D78">
      <w:pPr>
        <w:spacing w:line="360" w:lineRule="auto"/>
        <w:ind w:firstLine="708"/>
        <w:jc w:val="both"/>
        <w:rPr>
          <w:rFonts w:ascii="Times New Roman" w:hAnsi="Times New Roman"/>
          <w:sz w:val="24"/>
          <w:szCs w:val="24"/>
        </w:rPr>
      </w:pPr>
    </w:p>
    <w:p w14:paraId="6C79CBF1" w14:textId="77777777" w:rsidR="00E60D78" w:rsidRPr="00F54637" w:rsidRDefault="00E60D78" w:rsidP="00BF0C01">
      <w:pPr>
        <w:spacing w:line="360" w:lineRule="auto"/>
        <w:ind w:firstLine="708"/>
        <w:jc w:val="both"/>
        <w:rPr>
          <w:rFonts w:ascii="Times New Roman" w:hAnsi="Times New Roman"/>
          <w:sz w:val="24"/>
          <w:szCs w:val="24"/>
          <w:lang w:val="en-US"/>
        </w:rPr>
      </w:pPr>
    </w:p>
    <w:sectPr w:rsidR="00E60D78" w:rsidRPr="00F54637" w:rsidSect="0077117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0448" w14:textId="77777777" w:rsidR="00FF4DB4" w:rsidRPr="00C67F33" w:rsidRDefault="00FF4DB4" w:rsidP="00DA7914">
      <w:pPr>
        <w:spacing w:after="0" w:line="240" w:lineRule="auto"/>
      </w:pPr>
      <w:r w:rsidRPr="00C67F33">
        <w:separator/>
      </w:r>
    </w:p>
  </w:endnote>
  <w:endnote w:type="continuationSeparator" w:id="0">
    <w:p w14:paraId="151790E4" w14:textId="77777777" w:rsidR="00FF4DB4" w:rsidRPr="00C67F33" w:rsidRDefault="00FF4DB4" w:rsidP="00DA7914">
      <w:pPr>
        <w:spacing w:after="0" w:line="240" w:lineRule="auto"/>
      </w:pPr>
      <w:r w:rsidRPr="00C67F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9905" w14:textId="6656C571" w:rsidR="00FC302C" w:rsidRPr="00C67F33" w:rsidRDefault="00FC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B8E" w14:textId="6CC741BB" w:rsidR="00FC302C" w:rsidRPr="00C67F33" w:rsidRDefault="00FC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8C5E" w14:textId="4143EB72" w:rsidR="00FC302C" w:rsidRPr="00C67F33" w:rsidRDefault="00FC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6B35" w14:textId="77777777" w:rsidR="00FF4DB4" w:rsidRPr="00C67F33" w:rsidRDefault="00FF4DB4" w:rsidP="00DA7914">
      <w:pPr>
        <w:spacing w:after="0" w:line="240" w:lineRule="auto"/>
      </w:pPr>
      <w:r w:rsidRPr="00C67F33">
        <w:separator/>
      </w:r>
    </w:p>
  </w:footnote>
  <w:footnote w:type="continuationSeparator" w:id="0">
    <w:p w14:paraId="1183F140" w14:textId="77777777" w:rsidR="00FF4DB4" w:rsidRPr="00C67F33" w:rsidRDefault="00FF4DB4" w:rsidP="00DA7914">
      <w:pPr>
        <w:spacing w:after="0" w:line="240" w:lineRule="auto"/>
      </w:pPr>
      <w:r w:rsidRPr="00C67F33">
        <w:continuationSeparator/>
      </w:r>
    </w:p>
  </w:footnote>
  <w:footnote w:id="1">
    <w:p w14:paraId="14FF58BF" w14:textId="77777777" w:rsidR="00FE35A9" w:rsidRPr="0071109A" w:rsidRDefault="00FE35A9" w:rsidP="00FE35A9">
      <w:pPr>
        <w:pStyle w:val="FootnoteText"/>
      </w:pPr>
      <w:r w:rsidRPr="0071109A">
        <w:rPr>
          <w:rStyle w:val="FootnoteReference"/>
        </w:rPr>
        <w:footnoteRef/>
      </w:r>
      <w:r w:rsidRPr="0071109A">
        <w:t xml:space="preserve"> Kothari, S., Shah, H., Prajapati, U., &amp; Kaushik, S. (2024). Market-Neutral Strategies in Mid-Cap Portfolio Management: A Data-Driven Approach to Long-Short Equity. </w:t>
      </w:r>
      <w:r w:rsidRPr="0071109A">
        <w:rPr>
          <w:i/>
          <w:iCs/>
        </w:rPr>
        <w:t>ArXiv (Cornell University)</w:t>
      </w:r>
      <w:r w:rsidRPr="0071109A">
        <w:t xml:space="preserve">. </w:t>
      </w:r>
      <w:hyperlink r:id="rId1" w:history="1">
        <w:r w:rsidRPr="0071109A">
          <w:rPr>
            <w:rStyle w:val="Hyperlink"/>
          </w:rPr>
          <w:t>https://doi.org/10.48550/arxiv.2412.12576</w:t>
        </w:r>
      </w:hyperlink>
    </w:p>
  </w:footnote>
  <w:footnote w:id="2">
    <w:p w14:paraId="22FC43D2"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3">
    <w:p w14:paraId="42C29E1D"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Buchan, </w:t>
      </w:r>
      <w:r w:rsidRPr="0071109A">
        <w:t>J., Jacobs, B. I., &amp; Levy, K. N. (2005). Questions and answers about market neutral investing. In B. I. Jacobs &amp; K. N. Levy (Eds.), Market neutral strategies (pp. 9–27). Hoboken, NJ: John Wiley &amp; Sons. https://dl.fxf1.com/files/books/english/Marketneutralstrategies.pdf</w:t>
      </w:r>
    </w:p>
  </w:footnote>
  <w:footnote w:id="4">
    <w:p w14:paraId="3F389BAC"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Nicholas, </w:t>
      </w:r>
      <w:r w:rsidRPr="0071109A">
        <w:t>J. G. (2000). Market-neutral investing: Long/short hedge fund strategies. Bloomberg Press. https://fxf1.com/wp-content/uploads/2013/02/Article-Market-Neutral-Investing-Long-Short-Hedge-Fund-Strategies_-Joseph-G-Nicholas_-2000.pdf</w:t>
      </w:r>
    </w:p>
  </w:footnote>
  <w:footnote w:id="5">
    <w:p w14:paraId="79B8E6DA"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6">
    <w:p w14:paraId="457D4370" w14:textId="77777777" w:rsidR="00FE35A9" w:rsidRPr="0071109A" w:rsidRDefault="00FE35A9" w:rsidP="00FE35A9">
      <w:pPr>
        <w:pStyle w:val="FootnoteText"/>
      </w:pPr>
      <w:r w:rsidRPr="0071109A">
        <w:rPr>
          <w:rStyle w:val="FootnoteReference"/>
        </w:rPr>
        <w:footnoteRef/>
      </w:r>
      <w:r w:rsidRPr="0071109A">
        <w:t xml:space="preserve"> </w:t>
      </w:r>
      <w:r w:rsidRPr="0071109A">
        <w:rPr>
          <w:i/>
          <w:iCs/>
        </w:rPr>
        <w:t xml:space="preserve">Market </w:t>
      </w:r>
      <w:r w:rsidRPr="0071109A">
        <w:rPr>
          <w:i/>
          <w:iCs/>
        </w:rPr>
        <w:t>Neutral Investing</w:t>
      </w:r>
      <w:r w:rsidRPr="0071109A">
        <w:t>. (2025). BlackRock. https://www.blackrock.com/us/individual/insights/market-neutral-investing</w:t>
      </w:r>
    </w:p>
  </w:footnote>
  <w:footnote w:id="7">
    <w:p w14:paraId="7190FE78"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Nafia, </w:t>
      </w:r>
      <w:r w:rsidRPr="0071109A">
        <w:t xml:space="preserve">A., Yousfi, A., &amp; Echaoui, A. (2023). Equity-Market-Neutral Strategy Portfolio Construction Using LSTM-Based Stock Prediction and Selection: An Application to S&amp;P500 Consumer Staples Stocks. </w:t>
      </w:r>
      <w:r w:rsidRPr="0071109A">
        <w:rPr>
          <w:i/>
          <w:iCs/>
        </w:rPr>
        <w:t>International Journal of Financial Studies</w:t>
      </w:r>
      <w:r w:rsidRPr="0071109A">
        <w:t xml:space="preserve">, </w:t>
      </w:r>
      <w:r w:rsidRPr="0071109A">
        <w:rPr>
          <w:i/>
          <w:iCs/>
        </w:rPr>
        <w:t>11</w:t>
      </w:r>
      <w:r w:rsidRPr="0071109A">
        <w:t>(2), 57. https://doi.org/10.3390/ijfs11020057</w:t>
      </w:r>
    </w:p>
    <w:p w14:paraId="627F392D" w14:textId="77777777" w:rsidR="00FE35A9" w:rsidRPr="0071109A" w:rsidRDefault="00FE35A9" w:rsidP="00FE35A9">
      <w:pPr>
        <w:pStyle w:val="FootnoteText"/>
      </w:pPr>
    </w:p>
  </w:footnote>
  <w:footnote w:id="8">
    <w:p w14:paraId="45C16FA7"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Jacobs, </w:t>
      </w:r>
      <w:r w:rsidRPr="0071109A">
        <w:t>B. I., &amp; Levy, K. N. (2005). Transporting alpha. In B. I. Jacobs &amp; K. N. Levy (Eds.), Market neutral strategies (pp. 131–154). Hoboken, NJ: John Wiley &amp; Sons. https://dl.fxf1.com/files/books/english/Marketneutralstrategies.pdf</w:t>
      </w:r>
    </w:p>
  </w:footnote>
  <w:footnote w:id="9">
    <w:p w14:paraId="28E5409F"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10">
    <w:p w14:paraId="7DECDD43"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11">
    <w:p w14:paraId="02F15AD0"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lanbouri, </w:t>
      </w:r>
      <w:r w:rsidRPr="0071109A">
        <w:t xml:space="preserve">Z., &amp; Achchab, S. (2019, June 1). </w:t>
      </w:r>
      <w:r w:rsidRPr="0071109A">
        <w:rPr>
          <w:i/>
          <w:iCs/>
        </w:rPr>
        <w:t>A new approach for Trading based on Long-Short Term memory technique</w:t>
      </w:r>
      <w:r w:rsidRPr="0071109A">
        <w:t>. https://www.researchgate.net/publication/337824111_A_new_approach_for_Trading_based_on_Long-Short_Term_memory_technique</w:t>
      </w:r>
    </w:p>
  </w:footnote>
  <w:footnote w:id="12">
    <w:p w14:paraId="0035A0A1"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Liu, </w:t>
      </w:r>
      <w:r w:rsidRPr="0071109A">
        <w:t xml:space="preserve">S., Zhang, C., &amp; Ma, J. (2017). CNN-LSTM Neural Network Model for Quantitative Strategy Analysis in Stock Markets. </w:t>
      </w:r>
      <w:r w:rsidRPr="0071109A">
        <w:rPr>
          <w:i/>
          <w:iCs/>
        </w:rPr>
        <w:t>Neural Information Processing</w:t>
      </w:r>
      <w:r w:rsidRPr="0071109A">
        <w:t>, 198–206. https://doi.org/10.1007/978-3-319-70096-0_21</w:t>
      </w:r>
    </w:p>
  </w:footnote>
  <w:footnote w:id="13">
    <w:p w14:paraId="245FE369"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14">
    <w:p w14:paraId="0DA3EFFC"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Michańków, </w:t>
      </w:r>
      <w:r w:rsidRPr="0071109A">
        <w:t xml:space="preserve">J., Sakowski, P., &amp; Ślepaczuk, R. (2022). LSTM in Algorithmic Investment Strategies on BTC and S&amp;P500 Index. </w:t>
      </w:r>
      <w:r w:rsidRPr="0071109A">
        <w:rPr>
          <w:i/>
          <w:iCs/>
        </w:rPr>
        <w:t>Sensors</w:t>
      </w:r>
      <w:r w:rsidRPr="0071109A">
        <w:t xml:space="preserve">, </w:t>
      </w:r>
      <w:r w:rsidRPr="0071109A">
        <w:rPr>
          <w:i/>
          <w:iCs/>
        </w:rPr>
        <w:t>22</w:t>
      </w:r>
      <w:r w:rsidRPr="0071109A">
        <w:t>(3), 917. https://doi.org/10.3390/s22030917</w:t>
      </w:r>
    </w:p>
  </w:footnote>
  <w:footnote w:id="15">
    <w:p w14:paraId="653A4CA5" w14:textId="77777777" w:rsidR="00FE35A9" w:rsidRPr="0071109A" w:rsidRDefault="00FE35A9" w:rsidP="00FE35A9">
      <w:pPr>
        <w:pStyle w:val="FootnoteText"/>
      </w:pPr>
      <w:r w:rsidRPr="0071109A">
        <w:rPr>
          <w:rStyle w:val="FootnoteReference"/>
        </w:rPr>
        <w:footnoteRef/>
      </w:r>
      <w:r w:rsidRPr="0071109A">
        <w:t xml:space="preserve"> </w:t>
      </w:r>
      <w:r w:rsidRPr="0071109A">
        <w:rPr>
          <w:i/>
          <w:iCs/>
        </w:rPr>
        <w:t xml:space="preserve">Long/Short </w:t>
      </w:r>
      <w:r w:rsidRPr="0071109A">
        <w:rPr>
          <w:i/>
          <w:iCs/>
        </w:rPr>
        <w:t>Equity Strategy</w:t>
      </w:r>
      <w:r w:rsidRPr="0071109A">
        <w:t>. (2024). https://www.aima.org/static/aa720944-a22d-4206-96a2ae35bf6ea170/Long-Short-Equity-Strategy-AIMA-Canada.pdf</w:t>
      </w:r>
    </w:p>
    <w:p w14:paraId="089B3554" w14:textId="77777777" w:rsidR="00FE35A9" w:rsidRPr="0071109A" w:rsidRDefault="00FE35A9" w:rsidP="00FE35A9">
      <w:pPr>
        <w:pStyle w:val="FootnoteText"/>
      </w:pPr>
    </w:p>
  </w:footnote>
  <w:footnote w:id="16">
    <w:p w14:paraId="455993C2"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17">
    <w:p w14:paraId="188654D1"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Chen, </w:t>
      </w:r>
      <w:r w:rsidRPr="0071109A">
        <w:t xml:space="preserve">J. (2020, December 28). </w:t>
      </w:r>
      <w:r w:rsidRPr="0071109A">
        <w:rPr>
          <w:i/>
          <w:iCs/>
        </w:rPr>
        <w:t>Understanding Long-Short Equity</w:t>
      </w:r>
      <w:r w:rsidRPr="0071109A">
        <w:t>. Investopedia. https://www.investopedia.com/terms/l/long-shortequity.asp</w:t>
      </w:r>
    </w:p>
    <w:p w14:paraId="74709982" w14:textId="77777777" w:rsidR="00FE35A9" w:rsidRPr="0071109A" w:rsidRDefault="00FE35A9" w:rsidP="00FE35A9">
      <w:pPr>
        <w:pStyle w:val="FootnoteText"/>
      </w:pPr>
    </w:p>
  </w:footnote>
  <w:footnote w:id="18">
    <w:p w14:paraId="1EBE0A4A"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19">
    <w:p w14:paraId="7B9D684F"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Jacobs, </w:t>
      </w:r>
      <w:r w:rsidRPr="0071109A">
        <w:t xml:space="preserve">B. I., Levy, K. N., &amp; Starer, D. (1999). Long-Short Portfolio Management. </w:t>
      </w:r>
      <w:r w:rsidRPr="0071109A">
        <w:rPr>
          <w:i/>
          <w:iCs/>
        </w:rPr>
        <w:t>The Journal of Portfolio Management</w:t>
      </w:r>
      <w:r w:rsidRPr="0071109A">
        <w:t xml:space="preserve">, </w:t>
      </w:r>
      <w:r w:rsidRPr="0071109A">
        <w:rPr>
          <w:i/>
          <w:iCs/>
        </w:rPr>
        <w:t>25</w:t>
      </w:r>
      <w:r w:rsidRPr="0071109A">
        <w:t>(2), 23–32. https://doi.org/10.3905/jpm.1999.319730</w:t>
      </w:r>
    </w:p>
  </w:footnote>
  <w:footnote w:id="20">
    <w:p w14:paraId="60B79E13"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21">
    <w:p w14:paraId="7F383702"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Salo, </w:t>
      </w:r>
      <w:r w:rsidRPr="0071109A">
        <w:t xml:space="preserve">A., Doumpos, M., Liesiö, J., &amp; Zopounidis, C. (2023). Fifty years of portfolio optimization – A European perspective. </w:t>
      </w:r>
      <w:r w:rsidRPr="0071109A">
        <w:rPr>
          <w:i/>
          <w:iCs/>
        </w:rPr>
        <w:t>European Journal of Operational Research</w:t>
      </w:r>
      <w:r w:rsidRPr="0071109A">
        <w:t>. https://doi.org/10.1016/j.ejor.2023.12.031</w:t>
      </w:r>
    </w:p>
  </w:footnote>
  <w:footnote w:id="22">
    <w:p w14:paraId="2AA34E73"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23">
    <w:p w14:paraId="56055C08"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Manigault, </w:t>
      </w:r>
      <w:r w:rsidRPr="0071109A">
        <w:t xml:space="preserve">P. (2016). </w:t>
      </w:r>
      <w:r w:rsidRPr="0071109A">
        <w:rPr>
          <w:i/>
          <w:iCs/>
        </w:rPr>
        <w:t>How can we adapt long-short strategies to long-only strategies? Summary</w:t>
      </w:r>
      <w:r w:rsidRPr="0071109A">
        <w:t>. https://www.vernimmen.net/ftp/Research_Paper_Paul_MANIGAULT.pdf</w:t>
      </w:r>
    </w:p>
  </w:footnote>
  <w:footnote w:id="24">
    <w:p w14:paraId="26A878F9" w14:textId="77777777" w:rsidR="00FE35A9" w:rsidRPr="0071109A" w:rsidRDefault="00FE35A9" w:rsidP="00FE35A9">
      <w:pPr>
        <w:pStyle w:val="FootnoteText"/>
      </w:pPr>
      <w:r w:rsidRPr="0071109A">
        <w:rPr>
          <w:rStyle w:val="FootnoteReference"/>
        </w:rPr>
        <w:footnoteRef/>
      </w:r>
      <w:r w:rsidRPr="0071109A">
        <w:t xml:space="preserve"> </w:t>
      </w:r>
      <w:r w:rsidRPr="0071109A">
        <w:t xml:space="preserve">Пак </w:t>
      </w:r>
      <w:r w:rsidRPr="0071109A">
        <w:t>там</w:t>
      </w:r>
    </w:p>
  </w:footnote>
  <w:footnote w:id="25">
    <w:p w14:paraId="2835A8AC" w14:textId="77777777" w:rsidR="00FE35A9" w:rsidRDefault="00FE35A9" w:rsidP="00FE35A9">
      <w:pPr>
        <w:pStyle w:val="FootnoteText"/>
      </w:pPr>
      <w:r w:rsidRPr="0071109A">
        <w:rPr>
          <w:rStyle w:val="FootnoteReference"/>
        </w:rPr>
        <w:footnoteRef/>
      </w:r>
      <w:r w:rsidRPr="0071109A">
        <w:t xml:space="preserve"> </w:t>
      </w:r>
      <w:r w:rsidRPr="0071109A">
        <w:t xml:space="preserve">Raju, </w:t>
      </w:r>
      <w:r w:rsidRPr="0071109A">
        <w:t xml:space="preserve">R., &amp; Chandrasekaran, A. (2019). Implementing a systematic long-only momentum strategy: Evidence from India. </w:t>
      </w:r>
      <w:r w:rsidRPr="0071109A">
        <w:rPr>
          <w:i/>
          <w:iCs/>
        </w:rPr>
        <w:t>SSRN Electronic Journal.</w:t>
      </w:r>
      <w:r w:rsidRPr="0071109A">
        <w:t xml:space="preserve"> https://doi.org/10.2139/ssrn.3510433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D3EC" w14:textId="22447C5C" w:rsidR="00FC302C" w:rsidRPr="00C67F33" w:rsidRDefault="00FC3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54BA" w14:textId="331614BE" w:rsidR="00DA7914" w:rsidRPr="00C67F33" w:rsidRDefault="00DA7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CA23" w14:textId="1DC4C8BC" w:rsidR="00FC302C" w:rsidRPr="00C67F33" w:rsidRDefault="00FC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0E1"/>
    <w:multiLevelType w:val="hybridMultilevel"/>
    <w:tmpl w:val="719E32C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D9A6C18"/>
    <w:multiLevelType w:val="multilevel"/>
    <w:tmpl w:val="58F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D470D"/>
    <w:multiLevelType w:val="hybridMultilevel"/>
    <w:tmpl w:val="A6FA6D86"/>
    <w:lvl w:ilvl="0" w:tplc="BD22784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12B679DF"/>
    <w:multiLevelType w:val="hybridMultilevel"/>
    <w:tmpl w:val="7BA6F27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4232660"/>
    <w:multiLevelType w:val="hybridMultilevel"/>
    <w:tmpl w:val="C120A25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16C41EBE"/>
    <w:multiLevelType w:val="hybridMultilevel"/>
    <w:tmpl w:val="0E6EEEC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77C31FA"/>
    <w:multiLevelType w:val="hybridMultilevel"/>
    <w:tmpl w:val="91D63664"/>
    <w:lvl w:ilvl="0" w:tplc="0CA6A2F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20A46BCF"/>
    <w:multiLevelType w:val="hybridMultilevel"/>
    <w:tmpl w:val="4DD0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5B77"/>
    <w:multiLevelType w:val="hybridMultilevel"/>
    <w:tmpl w:val="3F5E83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833ACD"/>
    <w:multiLevelType w:val="hybridMultilevel"/>
    <w:tmpl w:val="FD80AB8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27970BB7"/>
    <w:multiLevelType w:val="hybridMultilevel"/>
    <w:tmpl w:val="449685F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9EE4867"/>
    <w:multiLevelType w:val="hybridMultilevel"/>
    <w:tmpl w:val="D28A6DF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2C531E5B"/>
    <w:multiLevelType w:val="multilevel"/>
    <w:tmpl w:val="68B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067C"/>
    <w:multiLevelType w:val="hybridMultilevel"/>
    <w:tmpl w:val="C14056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0376106"/>
    <w:multiLevelType w:val="multilevel"/>
    <w:tmpl w:val="F974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664AF"/>
    <w:multiLevelType w:val="hybridMultilevel"/>
    <w:tmpl w:val="C2CEE66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349C793B"/>
    <w:multiLevelType w:val="hybridMultilevel"/>
    <w:tmpl w:val="52AE31A2"/>
    <w:lvl w:ilvl="0" w:tplc="08643E60">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34B77BBA"/>
    <w:multiLevelType w:val="hybridMultilevel"/>
    <w:tmpl w:val="DBC83F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35CC041B"/>
    <w:multiLevelType w:val="hybridMultilevel"/>
    <w:tmpl w:val="5B0EAB6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36FA60DA"/>
    <w:multiLevelType w:val="hybridMultilevel"/>
    <w:tmpl w:val="CD502F5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380A1066"/>
    <w:multiLevelType w:val="hybridMultilevel"/>
    <w:tmpl w:val="184ECC14"/>
    <w:lvl w:ilvl="0" w:tplc="F8A6BF8C">
      <w:start w:val="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EEB7AC1"/>
    <w:multiLevelType w:val="hybridMultilevel"/>
    <w:tmpl w:val="0D363A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0F363FC"/>
    <w:multiLevelType w:val="multilevel"/>
    <w:tmpl w:val="31CC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826566"/>
    <w:multiLevelType w:val="multilevel"/>
    <w:tmpl w:val="8040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5A85"/>
    <w:multiLevelType w:val="multilevel"/>
    <w:tmpl w:val="F3D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32C11"/>
    <w:multiLevelType w:val="hybridMultilevel"/>
    <w:tmpl w:val="9D1E23F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6" w15:restartNumberingAfterBreak="0">
    <w:nsid w:val="4DD2479E"/>
    <w:multiLevelType w:val="multilevel"/>
    <w:tmpl w:val="58948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352B11"/>
    <w:multiLevelType w:val="hybridMultilevel"/>
    <w:tmpl w:val="AEC8E002"/>
    <w:lvl w:ilvl="0" w:tplc="F2D4457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545C08C0"/>
    <w:multiLevelType w:val="hybridMultilevel"/>
    <w:tmpl w:val="B64C37E4"/>
    <w:lvl w:ilvl="0" w:tplc="324C18E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8730443"/>
    <w:multiLevelType w:val="hybridMultilevel"/>
    <w:tmpl w:val="75EEBE9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0" w15:restartNumberingAfterBreak="0">
    <w:nsid w:val="60C070F6"/>
    <w:multiLevelType w:val="hybridMultilevel"/>
    <w:tmpl w:val="1C9C146A"/>
    <w:lvl w:ilvl="0" w:tplc="B518EDB0">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1" w15:restartNumberingAfterBreak="0">
    <w:nsid w:val="61B07623"/>
    <w:multiLevelType w:val="multilevel"/>
    <w:tmpl w:val="F176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954F3"/>
    <w:multiLevelType w:val="hybridMultilevel"/>
    <w:tmpl w:val="78CA3F4C"/>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33" w15:restartNumberingAfterBreak="0">
    <w:nsid w:val="63795FD8"/>
    <w:multiLevelType w:val="hybridMultilevel"/>
    <w:tmpl w:val="33AE173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4" w15:restartNumberingAfterBreak="0">
    <w:nsid w:val="66CE4CD3"/>
    <w:multiLevelType w:val="hybridMultilevel"/>
    <w:tmpl w:val="9B5E004A"/>
    <w:lvl w:ilvl="0" w:tplc="1D76AB5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5" w15:restartNumberingAfterBreak="0">
    <w:nsid w:val="6FDA4412"/>
    <w:multiLevelType w:val="hybridMultilevel"/>
    <w:tmpl w:val="042C8B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1517DE8"/>
    <w:multiLevelType w:val="multilevel"/>
    <w:tmpl w:val="246E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03D6D"/>
    <w:multiLevelType w:val="hybridMultilevel"/>
    <w:tmpl w:val="7426568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15:restartNumberingAfterBreak="0">
    <w:nsid w:val="78371A38"/>
    <w:multiLevelType w:val="hybridMultilevel"/>
    <w:tmpl w:val="3A1CB42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9" w15:restartNumberingAfterBreak="0">
    <w:nsid w:val="78547303"/>
    <w:multiLevelType w:val="multilevel"/>
    <w:tmpl w:val="F838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742535">
    <w:abstractNumId w:val="20"/>
  </w:num>
  <w:num w:numId="2" w16cid:durableId="742483093">
    <w:abstractNumId w:val="21"/>
  </w:num>
  <w:num w:numId="3" w16cid:durableId="1987586396">
    <w:abstractNumId w:val="0"/>
  </w:num>
  <w:num w:numId="4" w16cid:durableId="1906799049">
    <w:abstractNumId w:val="3"/>
  </w:num>
  <w:num w:numId="5" w16cid:durableId="175965579">
    <w:abstractNumId w:val="5"/>
  </w:num>
  <w:num w:numId="6" w16cid:durableId="1450588307">
    <w:abstractNumId w:val="37"/>
  </w:num>
  <w:num w:numId="7" w16cid:durableId="688802251">
    <w:abstractNumId w:val="13"/>
  </w:num>
  <w:num w:numId="8" w16cid:durableId="632059651">
    <w:abstractNumId w:val="10"/>
  </w:num>
  <w:num w:numId="9" w16cid:durableId="1937326570">
    <w:abstractNumId w:val="28"/>
  </w:num>
  <w:num w:numId="10" w16cid:durableId="1928030403">
    <w:abstractNumId w:val="27"/>
  </w:num>
  <w:num w:numId="11" w16cid:durableId="1338069609">
    <w:abstractNumId w:val="30"/>
  </w:num>
  <w:num w:numId="12" w16cid:durableId="1510681035">
    <w:abstractNumId w:val="32"/>
  </w:num>
  <w:num w:numId="13" w16cid:durableId="2123763226">
    <w:abstractNumId w:val="6"/>
  </w:num>
  <w:num w:numId="14" w16cid:durableId="892693494">
    <w:abstractNumId w:val="4"/>
  </w:num>
  <w:num w:numId="15" w16cid:durableId="257645486">
    <w:abstractNumId w:val="14"/>
  </w:num>
  <w:num w:numId="16" w16cid:durableId="1796748656">
    <w:abstractNumId w:val="16"/>
  </w:num>
  <w:num w:numId="17" w16cid:durableId="1147282503">
    <w:abstractNumId w:val="8"/>
  </w:num>
  <w:num w:numId="18" w16cid:durableId="21183246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3354798">
    <w:abstractNumId w:val="9"/>
  </w:num>
  <w:num w:numId="20" w16cid:durableId="268201232">
    <w:abstractNumId w:val="15"/>
  </w:num>
  <w:num w:numId="21" w16cid:durableId="1257177090">
    <w:abstractNumId w:val="11"/>
  </w:num>
  <w:num w:numId="22" w16cid:durableId="175657148">
    <w:abstractNumId w:val="25"/>
  </w:num>
  <w:num w:numId="23" w16cid:durableId="340933249">
    <w:abstractNumId w:val="29"/>
  </w:num>
  <w:num w:numId="24" w16cid:durableId="630012189">
    <w:abstractNumId w:val="19"/>
  </w:num>
  <w:num w:numId="25" w16cid:durableId="1131286795">
    <w:abstractNumId w:val="2"/>
  </w:num>
  <w:num w:numId="26" w16cid:durableId="99032982">
    <w:abstractNumId w:val="34"/>
  </w:num>
  <w:num w:numId="27" w16cid:durableId="1718384673">
    <w:abstractNumId w:val="7"/>
  </w:num>
  <w:num w:numId="28" w16cid:durableId="1807892729">
    <w:abstractNumId w:val="38"/>
  </w:num>
  <w:num w:numId="29" w16cid:durableId="1186213777">
    <w:abstractNumId w:val="33"/>
  </w:num>
  <w:num w:numId="30" w16cid:durableId="62072007">
    <w:abstractNumId w:val="18"/>
  </w:num>
  <w:num w:numId="31" w16cid:durableId="305085131">
    <w:abstractNumId w:val="17"/>
  </w:num>
  <w:num w:numId="32" w16cid:durableId="151143622">
    <w:abstractNumId w:val="23"/>
  </w:num>
  <w:num w:numId="33" w16cid:durableId="116460020">
    <w:abstractNumId w:val="12"/>
  </w:num>
  <w:num w:numId="34" w16cid:durableId="1895576150">
    <w:abstractNumId w:val="24"/>
  </w:num>
  <w:num w:numId="35" w16cid:durableId="657542949">
    <w:abstractNumId w:val="26"/>
  </w:num>
  <w:num w:numId="36" w16cid:durableId="1665356476">
    <w:abstractNumId w:val="39"/>
  </w:num>
  <w:num w:numId="37" w16cid:durableId="2095079907">
    <w:abstractNumId w:val="22"/>
  </w:num>
  <w:num w:numId="38" w16cid:durableId="165286544">
    <w:abstractNumId w:val="31"/>
  </w:num>
  <w:num w:numId="39" w16cid:durableId="65610117">
    <w:abstractNumId w:val="36"/>
  </w:num>
  <w:num w:numId="40" w16cid:durableId="167217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AD"/>
    <w:rsid w:val="00002703"/>
    <w:rsid w:val="00003329"/>
    <w:rsid w:val="000065E8"/>
    <w:rsid w:val="000149C8"/>
    <w:rsid w:val="0001545D"/>
    <w:rsid w:val="00017CD5"/>
    <w:rsid w:val="00023566"/>
    <w:rsid w:val="00036A00"/>
    <w:rsid w:val="00057B6F"/>
    <w:rsid w:val="00061132"/>
    <w:rsid w:val="00062B35"/>
    <w:rsid w:val="00074E24"/>
    <w:rsid w:val="00077527"/>
    <w:rsid w:val="00090C72"/>
    <w:rsid w:val="000926DD"/>
    <w:rsid w:val="000A3798"/>
    <w:rsid w:val="000A54D4"/>
    <w:rsid w:val="000B51D9"/>
    <w:rsid w:val="000D3311"/>
    <w:rsid w:val="000D4A7F"/>
    <w:rsid w:val="000D6553"/>
    <w:rsid w:val="000D707A"/>
    <w:rsid w:val="000E2B09"/>
    <w:rsid w:val="000F1467"/>
    <w:rsid w:val="000F3ACF"/>
    <w:rsid w:val="0010151B"/>
    <w:rsid w:val="001111C4"/>
    <w:rsid w:val="00112AAC"/>
    <w:rsid w:val="00112DB5"/>
    <w:rsid w:val="00112EC3"/>
    <w:rsid w:val="00124199"/>
    <w:rsid w:val="0013055B"/>
    <w:rsid w:val="001431F4"/>
    <w:rsid w:val="00153071"/>
    <w:rsid w:val="001630AC"/>
    <w:rsid w:val="001700A2"/>
    <w:rsid w:val="00173383"/>
    <w:rsid w:val="00175A81"/>
    <w:rsid w:val="00186990"/>
    <w:rsid w:val="00193A9D"/>
    <w:rsid w:val="00197502"/>
    <w:rsid w:val="001A59D8"/>
    <w:rsid w:val="001B1370"/>
    <w:rsid w:val="001B6C36"/>
    <w:rsid w:val="001B7ABC"/>
    <w:rsid w:val="001C3F13"/>
    <w:rsid w:val="001E3F1F"/>
    <w:rsid w:val="001E595D"/>
    <w:rsid w:val="001E5E59"/>
    <w:rsid w:val="001F2F66"/>
    <w:rsid w:val="002153CA"/>
    <w:rsid w:val="00221065"/>
    <w:rsid w:val="0022401A"/>
    <w:rsid w:val="002447F7"/>
    <w:rsid w:val="002461CA"/>
    <w:rsid w:val="002465E0"/>
    <w:rsid w:val="00247A47"/>
    <w:rsid w:val="00252EF4"/>
    <w:rsid w:val="002566D3"/>
    <w:rsid w:val="00256DD1"/>
    <w:rsid w:val="00286117"/>
    <w:rsid w:val="00292BC3"/>
    <w:rsid w:val="002A4874"/>
    <w:rsid w:val="002A7FEC"/>
    <w:rsid w:val="002B1F72"/>
    <w:rsid w:val="002B2753"/>
    <w:rsid w:val="002C115E"/>
    <w:rsid w:val="002C6F36"/>
    <w:rsid w:val="002D0E4C"/>
    <w:rsid w:val="002D1D4D"/>
    <w:rsid w:val="002D2297"/>
    <w:rsid w:val="002D3B21"/>
    <w:rsid w:val="002D461F"/>
    <w:rsid w:val="002D55B8"/>
    <w:rsid w:val="002E6E9F"/>
    <w:rsid w:val="002F04BE"/>
    <w:rsid w:val="002F1BCF"/>
    <w:rsid w:val="00315426"/>
    <w:rsid w:val="00317FD0"/>
    <w:rsid w:val="0032050D"/>
    <w:rsid w:val="0033033B"/>
    <w:rsid w:val="00331324"/>
    <w:rsid w:val="003375A6"/>
    <w:rsid w:val="003470D0"/>
    <w:rsid w:val="00353413"/>
    <w:rsid w:val="00355E33"/>
    <w:rsid w:val="00360A8B"/>
    <w:rsid w:val="00360F7B"/>
    <w:rsid w:val="003653F9"/>
    <w:rsid w:val="00370338"/>
    <w:rsid w:val="00370DD0"/>
    <w:rsid w:val="00370DED"/>
    <w:rsid w:val="00375C28"/>
    <w:rsid w:val="003905E8"/>
    <w:rsid w:val="003A6AAF"/>
    <w:rsid w:val="003B1814"/>
    <w:rsid w:val="003B18F6"/>
    <w:rsid w:val="003C72A2"/>
    <w:rsid w:val="003C73F4"/>
    <w:rsid w:val="003E16EA"/>
    <w:rsid w:val="003F015A"/>
    <w:rsid w:val="003F1BFF"/>
    <w:rsid w:val="003F4B0B"/>
    <w:rsid w:val="00427233"/>
    <w:rsid w:val="00433FF7"/>
    <w:rsid w:val="00441C94"/>
    <w:rsid w:val="0044313E"/>
    <w:rsid w:val="00452FE2"/>
    <w:rsid w:val="00467FED"/>
    <w:rsid w:val="00472015"/>
    <w:rsid w:val="00476005"/>
    <w:rsid w:val="004769C4"/>
    <w:rsid w:val="00490953"/>
    <w:rsid w:val="004916C8"/>
    <w:rsid w:val="00495856"/>
    <w:rsid w:val="004A6403"/>
    <w:rsid w:val="004E2364"/>
    <w:rsid w:val="004E4ED7"/>
    <w:rsid w:val="004E54C0"/>
    <w:rsid w:val="00501FE9"/>
    <w:rsid w:val="005022FC"/>
    <w:rsid w:val="00504BA3"/>
    <w:rsid w:val="00512518"/>
    <w:rsid w:val="0052043F"/>
    <w:rsid w:val="005210F6"/>
    <w:rsid w:val="005250DE"/>
    <w:rsid w:val="00536587"/>
    <w:rsid w:val="00546A35"/>
    <w:rsid w:val="00552FFC"/>
    <w:rsid w:val="00556FC8"/>
    <w:rsid w:val="0057178A"/>
    <w:rsid w:val="0058131A"/>
    <w:rsid w:val="00590FC0"/>
    <w:rsid w:val="005B0E18"/>
    <w:rsid w:val="005B14E5"/>
    <w:rsid w:val="005C549F"/>
    <w:rsid w:val="005D3E74"/>
    <w:rsid w:val="005D746B"/>
    <w:rsid w:val="006019A7"/>
    <w:rsid w:val="00601C60"/>
    <w:rsid w:val="00604E4D"/>
    <w:rsid w:val="0060710E"/>
    <w:rsid w:val="006141CC"/>
    <w:rsid w:val="006419F7"/>
    <w:rsid w:val="006506E3"/>
    <w:rsid w:val="00665169"/>
    <w:rsid w:val="00672FBB"/>
    <w:rsid w:val="0069242C"/>
    <w:rsid w:val="006A5D05"/>
    <w:rsid w:val="006D314E"/>
    <w:rsid w:val="006D52D4"/>
    <w:rsid w:val="006E3929"/>
    <w:rsid w:val="006E424E"/>
    <w:rsid w:val="006E60B7"/>
    <w:rsid w:val="006E6277"/>
    <w:rsid w:val="006F1CDD"/>
    <w:rsid w:val="006F40AE"/>
    <w:rsid w:val="006F415D"/>
    <w:rsid w:val="006F5B04"/>
    <w:rsid w:val="00707FDC"/>
    <w:rsid w:val="0071109A"/>
    <w:rsid w:val="00717898"/>
    <w:rsid w:val="00725C42"/>
    <w:rsid w:val="00727DD9"/>
    <w:rsid w:val="00730F39"/>
    <w:rsid w:val="007339BE"/>
    <w:rsid w:val="00737F37"/>
    <w:rsid w:val="007464CF"/>
    <w:rsid w:val="00762E95"/>
    <w:rsid w:val="0077117E"/>
    <w:rsid w:val="00791009"/>
    <w:rsid w:val="00795335"/>
    <w:rsid w:val="00797DF3"/>
    <w:rsid w:val="007B1648"/>
    <w:rsid w:val="007C798F"/>
    <w:rsid w:val="007C7C1D"/>
    <w:rsid w:val="007D2769"/>
    <w:rsid w:val="007D3374"/>
    <w:rsid w:val="007D6542"/>
    <w:rsid w:val="007E2967"/>
    <w:rsid w:val="007E42A1"/>
    <w:rsid w:val="007F197A"/>
    <w:rsid w:val="007F4F29"/>
    <w:rsid w:val="00806528"/>
    <w:rsid w:val="0083331A"/>
    <w:rsid w:val="00833BE1"/>
    <w:rsid w:val="00842F2D"/>
    <w:rsid w:val="00843924"/>
    <w:rsid w:val="0085231A"/>
    <w:rsid w:val="00864B28"/>
    <w:rsid w:val="00864F73"/>
    <w:rsid w:val="00865EEF"/>
    <w:rsid w:val="00875FBF"/>
    <w:rsid w:val="00882189"/>
    <w:rsid w:val="00891F36"/>
    <w:rsid w:val="008959EA"/>
    <w:rsid w:val="008D08E2"/>
    <w:rsid w:val="008D1286"/>
    <w:rsid w:val="008E4F6C"/>
    <w:rsid w:val="008E6DBC"/>
    <w:rsid w:val="008F041D"/>
    <w:rsid w:val="009036B5"/>
    <w:rsid w:val="00914832"/>
    <w:rsid w:val="00920CE7"/>
    <w:rsid w:val="00922DC7"/>
    <w:rsid w:val="00924771"/>
    <w:rsid w:val="00927E3D"/>
    <w:rsid w:val="00933608"/>
    <w:rsid w:val="00946420"/>
    <w:rsid w:val="00952D1E"/>
    <w:rsid w:val="00954317"/>
    <w:rsid w:val="00957A95"/>
    <w:rsid w:val="009624D1"/>
    <w:rsid w:val="0097744F"/>
    <w:rsid w:val="00984495"/>
    <w:rsid w:val="009867BA"/>
    <w:rsid w:val="009A0EF4"/>
    <w:rsid w:val="009A4E11"/>
    <w:rsid w:val="009A5984"/>
    <w:rsid w:val="009B42C6"/>
    <w:rsid w:val="009B42E8"/>
    <w:rsid w:val="009B61D3"/>
    <w:rsid w:val="009C7463"/>
    <w:rsid w:val="009D14F7"/>
    <w:rsid w:val="009D2C52"/>
    <w:rsid w:val="009E0247"/>
    <w:rsid w:val="009F1140"/>
    <w:rsid w:val="009F35C7"/>
    <w:rsid w:val="00A0344E"/>
    <w:rsid w:val="00A1029B"/>
    <w:rsid w:val="00A272CA"/>
    <w:rsid w:val="00A33D38"/>
    <w:rsid w:val="00A354D1"/>
    <w:rsid w:val="00A3705B"/>
    <w:rsid w:val="00A4004E"/>
    <w:rsid w:val="00A44698"/>
    <w:rsid w:val="00A44C94"/>
    <w:rsid w:val="00A476AF"/>
    <w:rsid w:val="00A54EE2"/>
    <w:rsid w:val="00A56256"/>
    <w:rsid w:val="00A60032"/>
    <w:rsid w:val="00A622C3"/>
    <w:rsid w:val="00A7121D"/>
    <w:rsid w:val="00A77165"/>
    <w:rsid w:val="00A84706"/>
    <w:rsid w:val="00A968E3"/>
    <w:rsid w:val="00A97348"/>
    <w:rsid w:val="00AB2A26"/>
    <w:rsid w:val="00AB2F05"/>
    <w:rsid w:val="00AB5AA5"/>
    <w:rsid w:val="00AC14CD"/>
    <w:rsid w:val="00AC1801"/>
    <w:rsid w:val="00AD157D"/>
    <w:rsid w:val="00AD539E"/>
    <w:rsid w:val="00AF4295"/>
    <w:rsid w:val="00B04658"/>
    <w:rsid w:val="00B054A9"/>
    <w:rsid w:val="00B054AD"/>
    <w:rsid w:val="00B15BAD"/>
    <w:rsid w:val="00B43083"/>
    <w:rsid w:val="00B46648"/>
    <w:rsid w:val="00B5473A"/>
    <w:rsid w:val="00B55CF6"/>
    <w:rsid w:val="00B60BA2"/>
    <w:rsid w:val="00B72480"/>
    <w:rsid w:val="00B84BF7"/>
    <w:rsid w:val="00B85564"/>
    <w:rsid w:val="00BB2FFE"/>
    <w:rsid w:val="00BC4FDB"/>
    <w:rsid w:val="00BF0C01"/>
    <w:rsid w:val="00C07E97"/>
    <w:rsid w:val="00C12359"/>
    <w:rsid w:val="00C21BDD"/>
    <w:rsid w:val="00C308CE"/>
    <w:rsid w:val="00C36E87"/>
    <w:rsid w:val="00C40373"/>
    <w:rsid w:val="00C43834"/>
    <w:rsid w:val="00C459FB"/>
    <w:rsid w:val="00C46C6D"/>
    <w:rsid w:val="00C67AC3"/>
    <w:rsid w:val="00C67F33"/>
    <w:rsid w:val="00C74DB4"/>
    <w:rsid w:val="00C75F91"/>
    <w:rsid w:val="00C761AA"/>
    <w:rsid w:val="00C76499"/>
    <w:rsid w:val="00C93BF6"/>
    <w:rsid w:val="00C96F0A"/>
    <w:rsid w:val="00CA5CAD"/>
    <w:rsid w:val="00CA7B8F"/>
    <w:rsid w:val="00CB0058"/>
    <w:rsid w:val="00CB5E07"/>
    <w:rsid w:val="00CB60A6"/>
    <w:rsid w:val="00CE42C0"/>
    <w:rsid w:val="00CE630A"/>
    <w:rsid w:val="00CF093D"/>
    <w:rsid w:val="00D01BD1"/>
    <w:rsid w:val="00D04B9A"/>
    <w:rsid w:val="00D0616E"/>
    <w:rsid w:val="00D12EDB"/>
    <w:rsid w:val="00D16C3B"/>
    <w:rsid w:val="00D2327E"/>
    <w:rsid w:val="00D262D4"/>
    <w:rsid w:val="00D33EB6"/>
    <w:rsid w:val="00D34ADA"/>
    <w:rsid w:val="00D4372E"/>
    <w:rsid w:val="00D46EFD"/>
    <w:rsid w:val="00D509F3"/>
    <w:rsid w:val="00D550E9"/>
    <w:rsid w:val="00D732D1"/>
    <w:rsid w:val="00D73C85"/>
    <w:rsid w:val="00D76BC3"/>
    <w:rsid w:val="00D9343F"/>
    <w:rsid w:val="00D95421"/>
    <w:rsid w:val="00D95E44"/>
    <w:rsid w:val="00DA412F"/>
    <w:rsid w:val="00DA7914"/>
    <w:rsid w:val="00DD445B"/>
    <w:rsid w:val="00DD76FA"/>
    <w:rsid w:val="00DE66C1"/>
    <w:rsid w:val="00DE75C5"/>
    <w:rsid w:val="00E04EFB"/>
    <w:rsid w:val="00E1192D"/>
    <w:rsid w:val="00E457B0"/>
    <w:rsid w:val="00E50E6D"/>
    <w:rsid w:val="00E60D78"/>
    <w:rsid w:val="00E64BAD"/>
    <w:rsid w:val="00E72F2A"/>
    <w:rsid w:val="00E74EA2"/>
    <w:rsid w:val="00E95AB2"/>
    <w:rsid w:val="00EB0103"/>
    <w:rsid w:val="00EB1A4B"/>
    <w:rsid w:val="00EC0031"/>
    <w:rsid w:val="00EE12CB"/>
    <w:rsid w:val="00EE763A"/>
    <w:rsid w:val="00EF1C68"/>
    <w:rsid w:val="00EF45DE"/>
    <w:rsid w:val="00F03CC6"/>
    <w:rsid w:val="00F064E6"/>
    <w:rsid w:val="00F108A9"/>
    <w:rsid w:val="00F2572E"/>
    <w:rsid w:val="00F3027B"/>
    <w:rsid w:val="00F325F8"/>
    <w:rsid w:val="00F32869"/>
    <w:rsid w:val="00F54637"/>
    <w:rsid w:val="00F63279"/>
    <w:rsid w:val="00F64AB6"/>
    <w:rsid w:val="00F654BB"/>
    <w:rsid w:val="00F800AC"/>
    <w:rsid w:val="00F839A9"/>
    <w:rsid w:val="00F95B22"/>
    <w:rsid w:val="00FA16AD"/>
    <w:rsid w:val="00FB2A54"/>
    <w:rsid w:val="00FB3687"/>
    <w:rsid w:val="00FC0754"/>
    <w:rsid w:val="00FC302C"/>
    <w:rsid w:val="00FE0299"/>
    <w:rsid w:val="00FE2EBC"/>
    <w:rsid w:val="00FE35A9"/>
    <w:rsid w:val="00FE3FB8"/>
    <w:rsid w:val="00FF4DB4"/>
    <w:rsid w:val="00FF5B75"/>
    <w:rsid w:val="00FF7FB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AE6"/>
  <w15:docId w15:val="{3D934199-98F5-487A-8CA7-062186E4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bg-BG" w:eastAsia="en-US"/>
    </w:rPr>
  </w:style>
  <w:style w:type="paragraph" w:styleId="Heading1">
    <w:name w:val="heading 1"/>
    <w:basedOn w:val="Normal"/>
    <w:next w:val="Normal"/>
    <w:link w:val="Heading1Char"/>
    <w:uiPriority w:val="9"/>
    <w:qFormat/>
    <w:rsid w:val="00665169"/>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semiHidden/>
    <w:unhideWhenUsed/>
    <w:qFormat/>
    <w:rsid w:val="00590FC0"/>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4308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1789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AD"/>
    <w:pPr>
      <w:ind w:left="720"/>
      <w:contextualSpacing/>
    </w:pPr>
  </w:style>
  <w:style w:type="paragraph" w:styleId="Header">
    <w:name w:val="header"/>
    <w:basedOn w:val="Normal"/>
    <w:link w:val="HeaderChar"/>
    <w:uiPriority w:val="99"/>
    <w:unhideWhenUsed/>
    <w:rsid w:val="00DA79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7914"/>
  </w:style>
  <w:style w:type="paragraph" w:styleId="Footer">
    <w:name w:val="footer"/>
    <w:basedOn w:val="Normal"/>
    <w:link w:val="FooterChar"/>
    <w:uiPriority w:val="99"/>
    <w:unhideWhenUsed/>
    <w:rsid w:val="00DA79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7914"/>
  </w:style>
  <w:style w:type="paragraph" w:styleId="BalloonText">
    <w:name w:val="Balloon Text"/>
    <w:basedOn w:val="Normal"/>
    <w:link w:val="BalloonTextChar"/>
    <w:uiPriority w:val="99"/>
    <w:semiHidden/>
    <w:unhideWhenUsed/>
    <w:rsid w:val="00DA79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7914"/>
    <w:rPr>
      <w:rFonts w:ascii="Tahoma" w:hAnsi="Tahoma" w:cs="Tahoma"/>
      <w:sz w:val="16"/>
      <w:szCs w:val="16"/>
    </w:rPr>
  </w:style>
  <w:style w:type="paragraph" w:styleId="FootnoteText">
    <w:name w:val="footnote text"/>
    <w:basedOn w:val="Normal"/>
    <w:link w:val="FootnoteTextChar"/>
    <w:uiPriority w:val="99"/>
    <w:semiHidden/>
    <w:unhideWhenUsed/>
    <w:rsid w:val="00665169"/>
    <w:pPr>
      <w:spacing w:after="0" w:line="240" w:lineRule="auto"/>
    </w:pPr>
    <w:rPr>
      <w:sz w:val="20"/>
      <w:szCs w:val="20"/>
    </w:rPr>
  </w:style>
  <w:style w:type="character" w:customStyle="1" w:styleId="FootnoteTextChar">
    <w:name w:val="Footnote Text Char"/>
    <w:link w:val="FootnoteText"/>
    <w:uiPriority w:val="99"/>
    <w:semiHidden/>
    <w:rsid w:val="00665169"/>
    <w:rPr>
      <w:sz w:val="20"/>
      <w:szCs w:val="20"/>
    </w:rPr>
  </w:style>
  <w:style w:type="character" w:styleId="FootnoteReference">
    <w:name w:val="footnote reference"/>
    <w:uiPriority w:val="99"/>
    <w:semiHidden/>
    <w:unhideWhenUsed/>
    <w:rsid w:val="00665169"/>
    <w:rPr>
      <w:vertAlign w:val="superscript"/>
    </w:rPr>
  </w:style>
  <w:style w:type="character" w:customStyle="1" w:styleId="Heading1Char">
    <w:name w:val="Heading 1 Char"/>
    <w:link w:val="Heading1"/>
    <w:uiPriority w:val="9"/>
    <w:rsid w:val="00665169"/>
    <w:rPr>
      <w:rFonts w:ascii="Cambria" w:eastAsia="Times New Roman" w:hAnsi="Cambria" w:cs="Times New Roman"/>
      <w:color w:val="365F91"/>
      <w:sz w:val="32"/>
      <w:szCs w:val="32"/>
    </w:rPr>
  </w:style>
  <w:style w:type="character" w:styleId="Hyperlink">
    <w:name w:val="Hyperlink"/>
    <w:uiPriority w:val="99"/>
    <w:unhideWhenUsed/>
    <w:rsid w:val="00665169"/>
    <w:rPr>
      <w:color w:val="0000FF"/>
      <w:u w:val="single"/>
    </w:rPr>
  </w:style>
  <w:style w:type="character" w:styleId="UnresolvedMention">
    <w:name w:val="Unresolved Mention"/>
    <w:uiPriority w:val="99"/>
    <w:semiHidden/>
    <w:unhideWhenUsed/>
    <w:rsid w:val="00665169"/>
    <w:rPr>
      <w:color w:val="605E5C"/>
      <w:shd w:val="clear" w:color="auto" w:fill="E1DFDD"/>
    </w:rPr>
  </w:style>
  <w:style w:type="character" w:customStyle="1" w:styleId="Heading2Char">
    <w:name w:val="Heading 2 Char"/>
    <w:link w:val="Heading2"/>
    <w:uiPriority w:val="9"/>
    <w:semiHidden/>
    <w:rsid w:val="00590FC0"/>
    <w:rPr>
      <w:rFonts w:ascii="Cambria" w:eastAsia="Times New Roman" w:hAnsi="Cambria" w:cs="Times New Roman"/>
      <w:color w:val="365F91"/>
      <w:sz w:val="26"/>
      <w:szCs w:val="26"/>
    </w:rPr>
  </w:style>
  <w:style w:type="paragraph" w:styleId="NormalWeb">
    <w:name w:val="Normal (Web)"/>
    <w:basedOn w:val="Normal"/>
    <w:uiPriority w:val="99"/>
    <w:semiHidden/>
    <w:unhideWhenUsed/>
    <w:rsid w:val="00427233"/>
    <w:rPr>
      <w:rFonts w:ascii="Times New Roman" w:hAnsi="Times New Roman"/>
      <w:sz w:val="24"/>
      <w:szCs w:val="24"/>
    </w:rPr>
  </w:style>
  <w:style w:type="character" w:styleId="PlaceholderText">
    <w:name w:val="Placeholder Text"/>
    <w:basedOn w:val="DefaultParagraphFont"/>
    <w:uiPriority w:val="99"/>
    <w:semiHidden/>
    <w:rsid w:val="00317FD0"/>
    <w:rPr>
      <w:color w:val="666666"/>
    </w:rPr>
  </w:style>
  <w:style w:type="character" w:customStyle="1" w:styleId="Heading3Char">
    <w:name w:val="Heading 3 Char"/>
    <w:basedOn w:val="DefaultParagraphFont"/>
    <w:link w:val="Heading3"/>
    <w:uiPriority w:val="9"/>
    <w:semiHidden/>
    <w:rsid w:val="00B43083"/>
    <w:rPr>
      <w:rFonts w:asciiTheme="majorHAnsi" w:eastAsiaTheme="majorEastAsia" w:hAnsiTheme="majorHAnsi" w:cstheme="majorBidi"/>
      <w:color w:val="0A2F40" w:themeColor="accent1" w:themeShade="7F"/>
      <w:sz w:val="24"/>
      <w:szCs w:val="24"/>
      <w:lang w:val="bg-BG" w:eastAsia="en-US"/>
    </w:rPr>
  </w:style>
  <w:style w:type="table" w:styleId="TableGrid">
    <w:name w:val="Table Grid"/>
    <w:basedOn w:val="TableNormal"/>
    <w:uiPriority w:val="59"/>
    <w:rsid w:val="00B4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959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717898"/>
    <w:rPr>
      <w:rFonts w:asciiTheme="majorHAnsi" w:eastAsiaTheme="majorEastAsia" w:hAnsiTheme="majorHAnsi" w:cstheme="majorBidi"/>
      <w:i/>
      <w:iCs/>
      <w:color w:val="0F4761" w:themeColor="accent1" w:themeShade="BF"/>
      <w:sz w:val="22"/>
      <w:szCs w:val="22"/>
      <w:lang w:val="bg-BG" w:eastAsia="en-US"/>
    </w:rPr>
  </w:style>
  <w:style w:type="character" w:styleId="Strong">
    <w:name w:val="Strong"/>
    <w:basedOn w:val="DefaultParagraphFont"/>
    <w:uiPriority w:val="22"/>
    <w:qFormat/>
    <w:rsid w:val="00197502"/>
    <w:rPr>
      <w:b/>
      <w:bCs/>
    </w:rPr>
  </w:style>
  <w:style w:type="character" w:styleId="Emphasis">
    <w:name w:val="Emphasis"/>
    <w:basedOn w:val="DefaultParagraphFont"/>
    <w:uiPriority w:val="20"/>
    <w:qFormat/>
    <w:rsid w:val="00197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287">
      <w:bodyDiv w:val="1"/>
      <w:marLeft w:val="0"/>
      <w:marRight w:val="0"/>
      <w:marTop w:val="0"/>
      <w:marBottom w:val="0"/>
      <w:divBdr>
        <w:top w:val="none" w:sz="0" w:space="0" w:color="auto"/>
        <w:left w:val="none" w:sz="0" w:space="0" w:color="auto"/>
        <w:bottom w:val="none" w:sz="0" w:space="0" w:color="auto"/>
        <w:right w:val="none" w:sz="0" w:space="0" w:color="auto"/>
      </w:divBdr>
    </w:div>
    <w:div w:id="64911742">
      <w:bodyDiv w:val="1"/>
      <w:marLeft w:val="0"/>
      <w:marRight w:val="0"/>
      <w:marTop w:val="0"/>
      <w:marBottom w:val="0"/>
      <w:divBdr>
        <w:top w:val="none" w:sz="0" w:space="0" w:color="auto"/>
        <w:left w:val="none" w:sz="0" w:space="0" w:color="auto"/>
        <w:bottom w:val="none" w:sz="0" w:space="0" w:color="auto"/>
        <w:right w:val="none" w:sz="0" w:space="0" w:color="auto"/>
      </w:divBdr>
    </w:div>
    <w:div w:id="184448450">
      <w:bodyDiv w:val="1"/>
      <w:marLeft w:val="0"/>
      <w:marRight w:val="0"/>
      <w:marTop w:val="0"/>
      <w:marBottom w:val="0"/>
      <w:divBdr>
        <w:top w:val="none" w:sz="0" w:space="0" w:color="auto"/>
        <w:left w:val="none" w:sz="0" w:space="0" w:color="auto"/>
        <w:bottom w:val="none" w:sz="0" w:space="0" w:color="auto"/>
        <w:right w:val="none" w:sz="0" w:space="0" w:color="auto"/>
      </w:divBdr>
    </w:div>
    <w:div w:id="194971156">
      <w:bodyDiv w:val="1"/>
      <w:marLeft w:val="0"/>
      <w:marRight w:val="0"/>
      <w:marTop w:val="0"/>
      <w:marBottom w:val="0"/>
      <w:divBdr>
        <w:top w:val="none" w:sz="0" w:space="0" w:color="auto"/>
        <w:left w:val="none" w:sz="0" w:space="0" w:color="auto"/>
        <w:bottom w:val="none" w:sz="0" w:space="0" w:color="auto"/>
        <w:right w:val="none" w:sz="0" w:space="0" w:color="auto"/>
      </w:divBdr>
    </w:div>
    <w:div w:id="198397440">
      <w:bodyDiv w:val="1"/>
      <w:marLeft w:val="0"/>
      <w:marRight w:val="0"/>
      <w:marTop w:val="0"/>
      <w:marBottom w:val="0"/>
      <w:divBdr>
        <w:top w:val="none" w:sz="0" w:space="0" w:color="auto"/>
        <w:left w:val="none" w:sz="0" w:space="0" w:color="auto"/>
        <w:bottom w:val="none" w:sz="0" w:space="0" w:color="auto"/>
        <w:right w:val="none" w:sz="0" w:space="0" w:color="auto"/>
      </w:divBdr>
      <w:divsChild>
        <w:div w:id="674722700">
          <w:marLeft w:val="0"/>
          <w:marRight w:val="0"/>
          <w:marTop w:val="0"/>
          <w:marBottom w:val="0"/>
          <w:divBdr>
            <w:top w:val="none" w:sz="0" w:space="0" w:color="auto"/>
            <w:left w:val="none" w:sz="0" w:space="0" w:color="auto"/>
            <w:bottom w:val="single" w:sz="12" w:space="0" w:color="F5F5F5"/>
            <w:right w:val="none" w:sz="0" w:space="0" w:color="auto"/>
          </w:divBdr>
        </w:div>
        <w:div w:id="1764570963">
          <w:marLeft w:val="0"/>
          <w:marRight w:val="0"/>
          <w:marTop w:val="0"/>
          <w:marBottom w:val="0"/>
          <w:divBdr>
            <w:top w:val="none" w:sz="0" w:space="0" w:color="auto"/>
            <w:left w:val="none" w:sz="0" w:space="0" w:color="auto"/>
            <w:bottom w:val="none" w:sz="0" w:space="0" w:color="auto"/>
            <w:right w:val="none" w:sz="0" w:space="0" w:color="auto"/>
          </w:divBdr>
          <w:divsChild>
            <w:div w:id="20673635">
              <w:marLeft w:val="0"/>
              <w:marRight w:val="0"/>
              <w:marTop w:val="0"/>
              <w:marBottom w:val="0"/>
              <w:divBdr>
                <w:top w:val="none" w:sz="0" w:space="0" w:color="auto"/>
                <w:left w:val="none" w:sz="0" w:space="0" w:color="auto"/>
                <w:bottom w:val="none" w:sz="0" w:space="0" w:color="auto"/>
                <w:right w:val="none" w:sz="0" w:space="0" w:color="auto"/>
              </w:divBdr>
            </w:div>
            <w:div w:id="202256259">
              <w:marLeft w:val="0"/>
              <w:marRight w:val="0"/>
              <w:marTop w:val="0"/>
              <w:marBottom w:val="0"/>
              <w:divBdr>
                <w:top w:val="none" w:sz="0" w:space="0" w:color="auto"/>
                <w:left w:val="none" w:sz="0" w:space="0" w:color="auto"/>
                <w:bottom w:val="none" w:sz="0" w:space="0" w:color="auto"/>
                <w:right w:val="none" w:sz="0" w:space="0" w:color="auto"/>
              </w:divBdr>
            </w:div>
            <w:div w:id="613905129">
              <w:marLeft w:val="0"/>
              <w:marRight w:val="0"/>
              <w:marTop w:val="0"/>
              <w:marBottom w:val="0"/>
              <w:divBdr>
                <w:top w:val="none" w:sz="0" w:space="0" w:color="auto"/>
                <w:left w:val="none" w:sz="0" w:space="0" w:color="auto"/>
                <w:bottom w:val="none" w:sz="0" w:space="0" w:color="auto"/>
                <w:right w:val="none" w:sz="0" w:space="0" w:color="auto"/>
              </w:divBdr>
            </w:div>
            <w:div w:id="756755138">
              <w:marLeft w:val="0"/>
              <w:marRight w:val="0"/>
              <w:marTop w:val="0"/>
              <w:marBottom w:val="0"/>
              <w:divBdr>
                <w:top w:val="none" w:sz="0" w:space="0" w:color="auto"/>
                <w:left w:val="none" w:sz="0" w:space="0" w:color="auto"/>
                <w:bottom w:val="none" w:sz="0" w:space="0" w:color="auto"/>
                <w:right w:val="none" w:sz="0" w:space="0" w:color="auto"/>
              </w:divBdr>
            </w:div>
            <w:div w:id="1155299712">
              <w:marLeft w:val="0"/>
              <w:marRight w:val="0"/>
              <w:marTop w:val="0"/>
              <w:marBottom w:val="0"/>
              <w:divBdr>
                <w:top w:val="none" w:sz="0" w:space="0" w:color="auto"/>
                <w:left w:val="none" w:sz="0" w:space="0" w:color="auto"/>
                <w:bottom w:val="none" w:sz="0" w:space="0" w:color="auto"/>
                <w:right w:val="none" w:sz="0" w:space="0" w:color="auto"/>
              </w:divBdr>
            </w:div>
            <w:div w:id="1159535928">
              <w:marLeft w:val="0"/>
              <w:marRight w:val="0"/>
              <w:marTop w:val="0"/>
              <w:marBottom w:val="0"/>
              <w:divBdr>
                <w:top w:val="none" w:sz="0" w:space="0" w:color="auto"/>
                <w:left w:val="none" w:sz="0" w:space="0" w:color="auto"/>
                <w:bottom w:val="none" w:sz="0" w:space="0" w:color="auto"/>
                <w:right w:val="none" w:sz="0" w:space="0" w:color="auto"/>
              </w:divBdr>
            </w:div>
            <w:div w:id="1319190049">
              <w:marLeft w:val="0"/>
              <w:marRight w:val="0"/>
              <w:marTop w:val="0"/>
              <w:marBottom w:val="0"/>
              <w:divBdr>
                <w:top w:val="none" w:sz="0" w:space="0" w:color="auto"/>
                <w:left w:val="none" w:sz="0" w:space="0" w:color="auto"/>
                <w:bottom w:val="none" w:sz="0" w:space="0" w:color="auto"/>
                <w:right w:val="none" w:sz="0" w:space="0" w:color="auto"/>
              </w:divBdr>
            </w:div>
            <w:div w:id="1458598509">
              <w:marLeft w:val="0"/>
              <w:marRight w:val="0"/>
              <w:marTop w:val="0"/>
              <w:marBottom w:val="0"/>
              <w:divBdr>
                <w:top w:val="none" w:sz="0" w:space="0" w:color="auto"/>
                <w:left w:val="none" w:sz="0" w:space="0" w:color="auto"/>
                <w:bottom w:val="none" w:sz="0" w:space="0" w:color="auto"/>
                <w:right w:val="none" w:sz="0" w:space="0" w:color="auto"/>
              </w:divBdr>
            </w:div>
            <w:div w:id="1925987305">
              <w:marLeft w:val="0"/>
              <w:marRight w:val="0"/>
              <w:marTop w:val="0"/>
              <w:marBottom w:val="0"/>
              <w:divBdr>
                <w:top w:val="none" w:sz="0" w:space="0" w:color="auto"/>
                <w:left w:val="none" w:sz="0" w:space="0" w:color="auto"/>
                <w:bottom w:val="none" w:sz="0" w:space="0" w:color="auto"/>
                <w:right w:val="none" w:sz="0" w:space="0" w:color="auto"/>
              </w:divBdr>
            </w:div>
            <w:div w:id="2030179972">
              <w:marLeft w:val="0"/>
              <w:marRight w:val="0"/>
              <w:marTop w:val="0"/>
              <w:marBottom w:val="0"/>
              <w:divBdr>
                <w:top w:val="none" w:sz="0" w:space="0" w:color="auto"/>
                <w:left w:val="none" w:sz="0" w:space="0" w:color="auto"/>
                <w:bottom w:val="none" w:sz="0" w:space="0" w:color="auto"/>
                <w:right w:val="none" w:sz="0" w:space="0" w:color="auto"/>
              </w:divBdr>
            </w:div>
            <w:div w:id="2052070613">
              <w:marLeft w:val="0"/>
              <w:marRight w:val="0"/>
              <w:marTop w:val="0"/>
              <w:marBottom w:val="0"/>
              <w:divBdr>
                <w:top w:val="none" w:sz="0" w:space="0" w:color="auto"/>
                <w:left w:val="none" w:sz="0" w:space="0" w:color="auto"/>
                <w:bottom w:val="none" w:sz="0" w:space="0" w:color="auto"/>
                <w:right w:val="none" w:sz="0" w:space="0" w:color="auto"/>
              </w:divBdr>
            </w:div>
            <w:div w:id="20600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5914">
      <w:bodyDiv w:val="1"/>
      <w:marLeft w:val="0"/>
      <w:marRight w:val="0"/>
      <w:marTop w:val="0"/>
      <w:marBottom w:val="0"/>
      <w:divBdr>
        <w:top w:val="none" w:sz="0" w:space="0" w:color="auto"/>
        <w:left w:val="none" w:sz="0" w:space="0" w:color="auto"/>
        <w:bottom w:val="none" w:sz="0" w:space="0" w:color="auto"/>
        <w:right w:val="none" w:sz="0" w:space="0" w:color="auto"/>
      </w:divBdr>
    </w:div>
    <w:div w:id="426193246">
      <w:bodyDiv w:val="1"/>
      <w:marLeft w:val="0"/>
      <w:marRight w:val="0"/>
      <w:marTop w:val="0"/>
      <w:marBottom w:val="0"/>
      <w:divBdr>
        <w:top w:val="none" w:sz="0" w:space="0" w:color="auto"/>
        <w:left w:val="none" w:sz="0" w:space="0" w:color="auto"/>
        <w:bottom w:val="none" w:sz="0" w:space="0" w:color="auto"/>
        <w:right w:val="none" w:sz="0" w:space="0" w:color="auto"/>
      </w:divBdr>
    </w:div>
    <w:div w:id="493028913">
      <w:bodyDiv w:val="1"/>
      <w:marLeft w:val="0"/>
      <w:marRight w:val="0"/>
      <w:marTop w:val="0"/>
      <w:marBottom w:val="0"/>
      <w:divBdr>
        <w:top w:val="none" w:sz="0" w:space="0" w:color="auto"/>
        <w:left w:val="none" w:sz="0" w:space="0" w:color="auto"/>
        <w:bottom w:val="none" w:sz="0" w:space="0" w:color="auto"/>
        <w:right w:val="none" w:sz="0" w:space="0" w:color="auto"/>
      </w:divBdr>
    </w:div>
    <w:div w:id="680473787">
      <w:bodyDiv w:val="1"/>
      <w:marLeft w:val="0"/>
      <w:marRight w:val="0"/>
      <w:marTop w:val="0"/>
      <w:marBottom w:val="0"/>
      <w:divBdr>
        <w:top w:val="none" w:sz="0" w:space="0" w:color="auto"/>
        <w:left w:val="none" w:sz="0" w:space="0" w:color="auto"/>
        <w:bottom w:val="none" w:sz="0" w:space="0" w:color="auto"/>
        <w:right w:val="none" w:sz="0" w:space="0" w:color="auto"/>
      </w:divBdr>
    </w:div>
    <w:div w:id="798063910">
      <w:bodyDiv w:val="1"/>
      <w:marLeft w:val="0"/>
      <w:marRight w:val="0"/>
      <w:marTop w:val="0"/>
      <w:marBottom w:val="0"/>
      <w:divBdr>
        <w:top w:val="none" w:sz="0" w:space="0" w:color="auto"/>
        <w:left w:val="none" w:sz="0" w:space="0" w:color="auto"/>
        <w:bottom w:val="none" w:sz="0" w:space="0" w:color="auto"/>
        <w:right w:val="none" w:sz="0" w:space="0" w:color="auto"/>
      </w:divBdr>
      <w:divsChild>
        <w:div w:id="1569340315">
          <w:marLeft w:val="0"/>
          <w:marRight w:val="0"/>
          <w:marTop w:val="0"/>
          <w:marBottom w:val="0"/>
          <w:divBdr>
            <w:top w:val="none" w:sz="0" w:space="0" w:color="auto"/>
            <w:left w:val="none" w:sz="0" w:space="0" w:color="auto"/>
            <w:bottom w:val="none" w:sz="0" w:space="0" w:color="auto"/>
            <w:right w:val="none" w:sz="0" w:space="0" w:color="auto"/>
          </w:divBdr>
          <w:divsChild>
            <w:div w:id="927929741">
              <w:marLeft w:val="0"/>
              <w:marRight w:val="0"/>
              <w:marTop w:val="0"/>
              <w:marBottom w:val="225"/>
              <w:divBdr>
                <w:top w:val="none" w:sz="0" w:space="0" w:color="auto"/>
                <w:left w:val="none" w:sz="0" w:space="0" w:color="auto"/>
                <w:bottom w:val="none" w:sz="0" w:space="0" w:color="auto"/>
                <w:right w:val="none" w:sz="0" w:space="0" w:color="auto"/>
              </w:divBdr>
              <w:divsChild>
                <w:div w:id="884290001">
                  <w:marLeft w:val="540"/>
                  <w:marRight w:val="0"/>
                  <w:marTop w:val="0"/>
                  <w:marBottom w:val="0"/>
                  <w:divBdr>
                    <w:top w:val="none" w:sz="0" w:space="0" w:color="auto"/>
                    <w:left w:val="none" w:sz="0" w:space="0" w:color="auto"/>
                    <w:bottom w:val="none" w:sz="0" w:space="0" w:color="auto"/>
                    <w:right w:val="none" w:sz="0" w:space="0" w:color="auto"/>
                  </w:divBdr>
                  <w:divsChild>
                    <w:div w:id="1678264620">
                      <w:marLeft w:val="0"/>
                      <w:marRight w:val="0"/>
                      <w:marTop w:val="15"/>
                      <w:marBottom w:val="15"/>
                      <w:divBdr>
                        <w:top w:val="none" w:sz="0" w:space="0" w:color="auto"/>
                        <w:left w:val="none" w:sz="0" w:space="0" w:color="auto"/>
                        <w:bottom w:val="none" w:sz="0" w:space="0" w:color="auto"/>
                        <w:right w:val="none" w:sz="0" w:space="0" w:color="auto"/>
                      </w:divBdr>
                      <w:divsChild>
                        <w:div w:id="16855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3757">
          <w:marLeft w:val="0"/>
          <w:marRight w:val="0"/>
          <w:marTop w:val="0"/>
          <w:marBottom w:val="0"/>
          <w:divBdr>
            <w:top w:val="none" w:sz="0" w:space="0" w:color="auto"/>
            <w:left w:val="none" w:sz="0" w:space="0" w:color="auto"/>
            <w:bottom w:val="none" w:sz="0" w:space="0" w:color="auto"/>
            <w:right w:val="none" w:sz="0" w:space="0" w:color="auto"/>
          </w:divBdr>
          <w:divsChild>
            <w:div w:id="1115947391">
              <w:marLeft w:val="0"/>
              <w:marRight w:val="0"/>
              <w:marTop w:val="0"/>
              <w:marBottom w:val="225"/>
              <w:divBdr>
                <w:top w:val="none" w:sz="0" w:space="0" w:color="auto"/>
                <w:left w:val="none" w:sz="0" w:space="0" w:color="auto"/>
                <w:bottom w:val="none" w:sz="0" w:space="0" w:color="auto"/>
                <w:right w:val="none" w:sz="0" w:space="0" w:color="auto"/>
              </w:divBdr>
              <w:divsChild>
                <w:div w:id="120864482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8907">
      <w:bodyDiv w:val="1"/>
      <w:marLeft w:val="0"/>
      <w:marRight w:val="0"/>
      <w:marTop w:val="0"/>
      <w:marBottom w:val="0"/>
      <w:divBdr>
        <w:top w:val="none" w:sz="0" w:space="0" w:color="auto"/>
        <w:left w:val="none" w:sz="0" w:space="0" w:color="auto"/>
        <w:bottom w:val="none" w:sz="0" w:space="0" w:color="auto"/>
        <w:right w:val="none" w:sz="0" w:space="0" w:color="auto"/>
      </w:divBdr>
    </w:div>
    <w:div w:id="953831752">
      <w:bodyDiv w:val="1"/>
      <w:marLeft w:val="0"/>
      <w:marRight w:val="0"/>
      <w:marTop w:val="0"/>
      <w:marBottom w:val="0"/>
      <w:divBdr>
        <w:top w:val="none" w:sz="0" w:space="0" w:color="auto"/>
        <w:left w:val="none" w:sz="0" w:space="0" w:color="auto"/>
        <w:bottom w:val="none" w:sz="0" w:space="0" w:color="auto"/>
        <w:right w:val="none" w:sz="0" w:space="0" w:color="auto"/>
      </w:divBdr>
    </w:div>
    <w:div w:id="1045183189">
      <w:bodyDiv w:val="1"/>
      <w:marLeft w:val="0"/>
      <w:marRight w:val="0"/>
      <w:marTop w:val="0"/>
      <w:marBottom w:val="0"/>
      <w:divBdr>
        <w:top w:val="none" w:sz="0" w:space="0" w:color="auto"/>
        <w:left w:val="none" w:sz="0" w:space="0" w:color="auto"/>
        <w:bottom w:val="none" w:sz="0" w:space="0" w:color="auto"/>
        <w:right w:val="none" w:sz="0" w:space="0" w:color="auto"/>
      </w:divBdr>
    </w:div>
    <w:div w:id="1050615850">
      <w:bodyDiv w:val="1"/>
      <w:marLeft w:val="0"/>
      <w:marRight w:val="0"/>
      <w:marTop w:val="0"/>
      <w:marBottom w:val="0"/>
      <w:divBdr>
        <w:top w:val="none" w:sz="0" w:space="0" w:color="auto"/>
        <w:left w:val="none" w:sz="0" w:space="0" w:color="auto"/>
        <w:bottom w:val="none" w:sz="0" w:space="0" w:color="auto"/>
        <w:right w:val="none" w:sz="0" w:space="0" w:color="auto"/>
      </w:divBdr>
    </w:div>
    <w:div w:id="1116942966">
      <w:bodyDiv w:val="1"/>
      <w:marLeft w:val="0"/>
      <w:marRight w:val="0"/>
      <w:marTop w:val="0"/>
      <w:marBottom w:val="0"/>
      <w:divBdr>
        <w:top w:val="none" w:sz="0" w:space="0" w:color="auto"/>
        <w:left w:val="none" w:sz="0" w:space="0" w:color="auto"/>
        <w:bottom w:val="none" w:sz="0" w:space="0" w:color="auto"/>
        <w:right w:val="none" w:sz="0" w:space="0" w:color="auto"/>
      </w:divBdr>
    </w:div>
    <w:div w:id="1150170909">
      <w:bodyDiv w:val="1"/>
      <w:marLeft w:val="0"/>
      <w:marRight w:val="0"/>
      <w:marTop w:val="0"/>
      <w:marBottom w:val="0"/>
      <w:divBdr>
        <w:top w:val="none" w:sz="0" w:space="0" w:color="auto"/>
        <w:left w:val="none" w:sz="0" w:space="0" w:color="auto"/>
        <w:bottom w:val="none" w:sz="0" w:space="0" w:color="auto"/>
        <w:right w:val="none" w:sz="0" w:space="0" w:color="auto"/>
      </w:divBdr>
    </w:div>
    <w:div w:id="1185898520">
      <w:bodyDiv w:val="1"/>
      <w:marLeft w:val="0"/>
      <w:marRight w:val="0"/>
      <w:marTop w:val="0"/>
      <w:marBottom w:val="0"/>
      <w:divBdr>
        <w:top w:val="none" w:sz="0" w:space="0" w:color="auto"/>
        <w:left w:val="none" w:sz="0" w:space="0" w:color="auto"/>
        <w:bottom w:val="none" w:sz="0" w:space="0" w:color="auto"/>
        <w:right w:val="none" w:sz="0" w:space="0" w:color="auto"/>
      </w:divBdr>
    </w:div>
    <w:div w:id="1218591935">
      <w:bodyDiv w:val="1"/>
      <w:marLeft w:val="0"/>
      <w:marRight w:val="0"/>
      <w:marTop w:val="0"/>
      <w:marBottom w:val="0"/>
      <w:divBdr>
        <w:top w:val="none" w:sz="0" w:space="0" w:color="auto"/>
        <w:left w:val="none" w:sz="0" w:space="0" w:color="auto"/>
        <w:bottom w:val="none" w:sz="0" w:space="0" w:color="auto"/>
        <w:right w:val="none" w:sz="0" w:space="0" w:color="auto"/>
      </w:divBdr>
    </w:div>
    <w:div w:id="1353843609">
      <w:bodyDiv w:val="1"/>
      <w:marLeft w:val="0"/>
      <w:marRight w:val="0"/>
      <w:marTop w:val="0"/>
      <w:marBottom w:val="0"/>
      <w:divBdr>
        <w:top w:val="none" w:sz="0" w:space="0" w:color="auto"/>
        <w:left w:val="none" w:sz="0" w:space="0" w:color="auto"/>
        <w:bottom w:val="none" w:sz="0" w:space="0" w:color="auto"/>
        <w:right w:val="none" w:sz="0" w:space="0" w:color="auto"/>
      </w:divBdr>
    </w:div>
    <w:div w:id="1372068724">
      <w:bodyDiv w:val="1"/>
      <w:marLeft w:val="0"/>
      <w:marRight w:val="0"/>
      <w:marTop w:val="0"/>
      <w:marBottom w:val="0"/>
      <w:divBdr>
        <w:top w:val="none" w:sz="0" w:space="0" w:color="auto"/>
        <w:left w:val="none" w:sz="0" w:space="0" w:color="auto"/>
        <w:bottom w:val="none" w:sz="0" w:space="0" w:color="auto"/>
        <w:right w:val="none" w:sz="0" w:space="0" w:color="auto"/>
      </w:divBdr>
    </w:div>
    <w:div w:id="1452942524">
      <w:bodyDiv w:val="1"/>
      <w:marLeft w:val="0"/>
      <w:marRight w:val="0"/>
      <w:marTop w:val="0"/>
      <w:marBottom w:val="0"/>
      <w:divBdr>
        <w:top w:val="none" w:sz="0" w:space="0" w:color="auto"/>
        <w:left w:val="none" w:sz="0" w:space="0" w:color="auto"/>
        <w:bottom w:val="none" w:sz="0" w:space="0" w:color="auto"/>
        <w:right w:val="none" w:sz="0" w:space="0" w:color="auto"/>
      </w:divBdr>
    </w:div>
    <w:div w:id="1605723415">
      <w:bodyDiv w:val="1"/>
      <w:marLeft w:val="0"/>
      <w:marRight w:val="0"/>
      <w:marTop w:val="0"/>
      <w:marBottom w:val="0"/>
      <w:divBdr>
        <w:top w:val="none" w:sz="0" w:space="0" w:color="auto"/>
        <w:left w:val="none" w:sz="0" w:space="0" w:color="auto"/>
        <w:bottom w:val="none" w:sz="0" w:space="0" w:color="auto"/>
        <w:right w:val="none" w:sz="0" w:space="0" w:color="auto"/>
      </w:divBdr>
    </w:div>
    <w:div w:id="1830250894">
      <w:bodyDiv w:val="1"/>
      <w:marLeft w:val="0"/>
      <w:marRight w:val="0"/>
      <w:marTop w:val="0"/>
      <w:marBottom w:val="0"/>
      <w:divBdr>
        <w:top w:val="none" w:sz="0" w:space="0" w:color="auto"/>
        <w:left w:val="none" w:sz="0" w:space="0" w:color="auto"/>
        <w:bottom w:val="none" w:sz="0" w:space="0" w:color="auto"/>
        <w:right w:val="none" w:sz="0" w:space="0" w:color="auto"/>
      </w:divBdr>
    </w:div>
    <w:div w:id="1967850504">
      <w:bodyDiv w:val="1"/>
      <w:marLeft w:val="0"/>
      <w:marRight w:val="0"/>
      <w:marTop w:val="0"/>
      <w:marBottom w:val="0"/>
      <w:divBdr>
        <w:top w:val="none" w:sz="0" w:space="0" w:color="auto"/>
        <w:left w:val="none" w:sz="0" w:space="0" w:color="auto"/>
        <w:bottom w:val="none" w:sz="0" w:space="0" w:color="auto"/>
        <w:right w:val="none" w:sz="0" w:space="0" w:color="auto"/>
      </w:divBdr>
    </w:div>
    <w:div w:id="2006395967">
      <w:bodyDiv w:val="1"/>
      <w:marLeft w:val="0"/>
      <w:marRight w:val="0"/>
      <w:marTop w:val="0"/>
      <w:marBottom w:val="0"/>
      <w:divBdr>
        <w:top w:val="none" w:sz="0" w:space="0" w:color="auto"/>
        <w:left w:val="none" w:sz="0" w:space="0" w:color="auto"/>
        <w:bottom w:val="none" w:sz="0" w:space="0" w:color="auto"/>
        <w:right w:val="none" w:sz="0" w:space="0" w:color="auto"/>
      </w:divBdr>
    </w:div>
    <w:div w:id="2072380727">
      <w:bodyDiv w:val="1"/>
      <w:marLeft w:val="0"/>
      <w:marRight w:val="0"/>
      <w:marTop w:val="0"/>
      <w:marBottom w:val="0"/>
      <w:divBdr>
        <w:top w:val="none" w:sz="0" w:space="0" w:color="auto"/>
        <w:left w:val="none" w:sz="0" w:space="0" w:color="auto"/>
        <w:bottom w:val="none" w:sz="0" w:space="0" w:color="auto"/>
        <w:right w:val="none" w:sz="0" w:space="0" w:color="auto"/>
      </w:divBdr>
    </w:div>
    <w:div w:id="21041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ages.stern.nyu.edu/~wgreene/Econometrics/Fama-Macbet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jor.2023.12.031"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39/ssrn.3510433"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48550/arxiv.2412.12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5D1F-C200-46F6-B9CB-8DA7AED8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47</Pages>
  <Words>8587</Words>
  <Characters>61227</Characters>
  <Application>Microsoft Office Word</Application>
  <DocSecurity>0</DocSecurity>
  <Lines>1020</Lines>
  <Paragraphs>237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 User</cp:lastModifiedBy>
  <cp:revision>5</cp:revision>
  <dcterms:created xsi:type="dcterms:W3CDTF">2025-10-30T19:12:00Z</dcterms:created>
  <dcterms:modified xsi:type="dcterms:W3CDTF">2025-10-30T19:43:00Z</dcterms:modified>
</cp:coreProperties>
</file>