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717A" w14:textId="434C10C3" w:rsidR="00946895" w:rsidRDefault="00946895" w:rsidP="00926278">
      <w:pPr>
        <w:spacing w:line="360" w:lineRule="auto"/>
        <w:jc w:val="center"/>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drawing>
          <wp:inline distT="0" distB="0" distL="0" distR="0" wp14:anchorId="340BDBB3" wp14:editId="297687FF">
            <wp:extent cx="4114800" cy="1112520"/>
            <wp:effectExtent l="0" t="0" r="0" b="0"/>
            <wp:docPr id="1431510337" name="Picture 1" descr="БТА :: ЮЗУ „Неофит Рилски“ – Благоевград: Осем проекта на ЮЗУ „Неофит  Рилски“ спечелиха финансиране от Фонд „Научни изслед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ТА :: ЮЗУ „Неофит Рилски“ – Благоевград: Осем проекта на ЮЗУ „Неофит  Рилски“ спечелиха финансиране от Фонд „Научни изследв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1112520"/>
                    </a:xfrm>
                    <a:prstGeom prst="rect">
                      <a:avLst/>
                    </a:prstGeom>
                    <a:noFill/>
                    <a:ln>
                      <a:noFill/>
                    </a:ln>
                  </pic:spPr>
                </pic:pic>
              </a:graphicData>
            </a:graphic>
          </wp:inline>
        </w:drawing>
      </w:r>
    </w:p>
    <w:p w14:paraId="436A940D" w14:textId="033C7044" w:rsidR="00946895" w:rsidRDefault="00946895" w:rsidP="00926278">
      <w:pPr>
        <w:spacing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t>ЮГОЗАПАДЕН УНИВЕРСИТЕТ „НЕОФИТ РИЛСКИ“</w:t>
      </w:r>
    </w:p>
    <w:p w14:paraId="13ADBFE0" w14:textId="77777777" w:rsidR="00946895" w:rsidRDefault="00946895" w:rsidP="00926278">
      <w:pPr>
        <w:spacing w:line="360" w:lineRule="auto"/>
        <w:jc w:val="center"/>
        <w:rPr>
          <w:rFonts w:ascii="Times New Roman" w:eastAsia="Times New Roman" w:hAnsi="Times New Roman" w:cs="Times New Roman"/>
          <w:b/>
          <w:bCs/>
          <w:sz w:val="28"/>
          <w:szCs w:val="28"/>
          <w:bdr w:val="none" w:sz="0" w:space="0" w:color="auto" w:frame="1"/>
        </w:rPr>
      </w:pPr>
    </w:p>
    <w:p w14:paraId="1EAE1E12" w14:textId="77777777" w:rsidR="00946895" w:rsidRP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sidRPr="00946895">
        <w:rPr>
          <w:rFonts w:ascii="Times New Roman" w:eastAsia="Times New Roman" w:hAnsi="Times New Roman" w:cs="Times New Roman"/>
          <w:b/>
          <w:bCs/>
          <w:sz w:val="28"/>
          <w:szCs w:val="28"/>
          <w:bdr w:val="none" w:sz="0" w:space="0" w:color="auto" w:frame="1"/>
        </w:rPr>
        <w:t>Правно-исторически факултет</w:t>
      </w:r>
    </w:p>
    <w:p w14:paraId="16C3C25E" w14:textId="18C45469" w:rsid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sidRPr="00946895">
        <w:rPr>
          <w:rFonts w:ascii="Times New Roman" w:eastAsia="Times New Roman" w:hAnsi="Times New Roman" w:cs="Times New Roman"/>
          <w:b/>
          <w:bCs/>
          <w:sz w:val="28"/>
          <w:szCs w:val="28"/>
          <w:bdr w:val="none" w:sz="0" w:space="0" w:color="auto" w:frame="1"/>
        </w:rPr>
        <w:t>Катедра „Международно право и международни отношения”</w:t>
      </w:r>
    </w:p>
    <w:p w14:paraId="3DDD83C5" w14:textId="36F6CC80" w:rsid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p>
    <w:p w14:paraId="468B7812" w14:textId="198E074D" w:rsid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ДИПЛОМНА РАБОТА </w:t>
      </w:r>
    </w:p>
    <w:p w14:paraId="315A61AA" w14:textId="77777777" w:rsidR="00946895" w:rsidRP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за </w:t>
      </w:r>
      <w:r w:rsidRPr="00946895">
        <w:rPr>
          <w:rFonts w:ascii="Times New Roman" w:eastAsia="Times New Roman" w:hAnsi="Times New Roman" w:cs="Times New Roman"/>
          <w:b/>
          <w:bCs/>
          <w:sz w:val="28"/>
          <w:szCs w:val="28"/>
          <w:bdr w:val="none" w:sz="0" w:space="0" w:color="auto" w:frame="1"/>
        </w:rPr>
        <w:t>придобиване на образователно-квалификационна</w:t>
      </w:r>
    </w:p>
    <w:p w14:paraId="31D3A800" w14:textId="007F348F" w:rsid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sidRPr="00946895">
        <w:rPr>
          <w:rFonts w:ascii="Times New Roman" w:eastAsia="Times New Roman" w:hAnsi="Times New Roman" w:cs="Times New Roman"/>
          <w:b/>
          <w:bCs/>
          <w:sz w:val="28"/>
          <w:szCs w:val="28"/>
          <w:bdr w:val="none" w:sz="0" w:space="0" w:color="auto" w:frame="1"/>
        </w:rPr>
        <w:t>степен „бакалавър”</w:t>
      </w:r>
    </w:p>
    <w:p w14:paraId="22F19E26" w14:textId="5B3EA650" w:rsidR="00946895" w:rsidRPr="00946895" w:rsidRDefault="00946895" w:rsidP="00946895">
      <w:pPr>
        <w:spacing w:line="36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на тема </w:t>
      </w:r>
    </w:p>
    <w:p w14:paraId="724D7353" w14:textId="3746C731" w:rsidR="005342DA" w:rsidRDefault="005342DA" w:rsidP="00926278">
      <w:pPr>
        <w:spacing w:line="360" w:lineRule="auto"/>
        <w:jc w:val="center"/>
        <w:rPr>
          <w:rFonts w:ascii="Times New Roman" w:eastAsia="Times New Roman" w:hAnsi="Times New Roman" w:cs="Times New Roman"/>
          <w:b/>
          <w:bCs/>
          <w:bdr w:val="none" w:sz="0" w:space="0" w:color="auto" w:frame="1"/>
        </w:rPr>
      </w:pPr>
      <w:r w:rsidRPr="00E73B36">
        <w:rPr>
          <w:rFonts w:ascii="Times New Roman" w:eastAsia="Times New Roman" w:hAnsi="Times New Roman" w:cs="Times New Roman"/>
          <w:b/>
          <w:bCs/>
          <w:bdr w:val="none" w:sz="0" w:space="0" w:color="auto" w:frame="1"/>
        </w:rPr>
        <w:t>Сътрудничество между НАТО и Европейския съюз в контекста на киберсигурността и хибридните войни</w:t>
      </w:r>
    </w:p>
    <w:p w14:paraId="6150083E" w14:textId="77777777" w:rsidR="00946895" w:rsidRDefault="00946895" w:rsidP="00926278">
      <w:pPr>
        <w:spacing w:line="360" w:lineRule="auto"/>
        <w:jc w:val="center"/>
        <w:rPr>
          <w:rFonts w:ascii="Times New Roman" w:eastAsia="Times New Roman" w:hAnsi="Times New Roman" w:cs="Times New Roman"/>
          <w:b/>
          <w:bCs/>
          <w:bdr w:val="none" w:sz="0" w:space="0" w:color="auto" w:frame="1"/>
        </w:rPr>
      </w:pPr>
    </w:p>
    <w:p w14:paraId="1EE6464E" w14:textId="77777777" w:rsidR="00946895" w:rsidRDefault="00946895" w:rsidP="00946895">
      <w:pPr>
        <w:spacing w:line="360" w:lineRule="auto"/>
        <w:rPr>
          <w:rFonts w:ascii="Times New Roman" w:eastAsia="Times New Roman" w:hAnsi="Times New Roman" w:cs="Times New Roman"/>
          <w:bdr w:val="none" w:sz="0" w:space="0" w:color="auto" w:frame="1"/>
        </w:rPr>
      </w:pPr>
      <w:proofErr w:type="spellStart"/>
      <w:r w:rsidRPr="00946895">
        <w:rPr>
          <w:rFonts w:ascii="Times New Roman" w:eastAsia="Times New Roman" w:hAnsi="Times New Roman" w:cs="Times New Roman"/>
          <w:bdr w:val="none" w:sz="0" w:space="0" w:color="auto" w:frame="1"/>
          <w:lang w:val="en-GB"/>
        </w:rPr>
        <w:t>Дипломант</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Йована</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Йовановска</w:t>
      </w:r>
      <w:proofErr w:type="spellEnd"/>
      <w:r w:rsidRPr="00946895">
        <w:rPr>
          <w:rFonts w:ascii="Times New Roman" w:eastAsia="Times New Roman" w:hAnsi="Times New Roman" w:cs="Times New Roman"/>
          <w:bdr w:val="none" w:sz="0" w:space="0" w:color="auto" w:frame="1"/>
          <w:lang w:val="en-GB"/>
        </w:rPr>
        <w:t xml:space="preserve"> </w:t>
      </w:r>
    </w:p>
    <w:p w14:paraId="153410B0" w14:textId="33B4DA94" w:rsidR="00946895" w:rsidRPr="00946895" w:rsidRDefault="00946895" w:rsidP="00946895">
      <w:pPr>
        <w:spacing w:line="360" w:lineRule="auto"/>
        <w:rPr>
          <w:rFonts w:ascii="Times New Roman" w:eastAsia="Times New Roman" w:hAnsi="Times New Roman" w:cs="Times New Roman"/>
          <w:bdr w:val="none" w:sz="0" w:space="0" w:color="auto" w:frame="1"/>
        </w:rPr>
      </w:pPr>
      <w:r w:rsidRPr="00946895">
        <w:rPr>
          <w:rFonts w:ascii="Times New Roman" w:eastAsia="Times New Roman" w:hAnsi="Times New Roman" w:cs="Times New Roman"/>
          <w:bdr w:val="none" w:sz="0" w:space="0" w:color="auto" w:frame="1"/>
        </w:rPr>
        <w:t>Фак. №: 21100321023</w:t>
      </w:r>
    </w:p>
    <w:p w14:paraId="1A6D9327" w14:textId="10301019" w:rsidR="00946895" w:rsidRDefault="00946895" w:rsidP="00946895">
      <w:pPr>
        <w:spacing w:line="360" w:lineRule="auto"/>
        <w:jc w:val="right"/>
        <w:rPr>
          <w:rFonts w:ascii="Times New Roman" w:eastAsia="Times New Roman" w:hAnsi="Times New Roman" w:cs="Times New Roman"/>
          <w:bdr w:val="none" w:sz="0" w:space="0" w:color="auto" w:frame="1"/>
        </w:rPr>
      </w:pPr>
      <w:r w:rsidRPr="00946895">
        <w:rPr>
          <w:rFonts w:ascii="Times New Roman" w:eastAsia="Times New Roman" w:hAnsi="Times New Roman" w:cs="Times New Roman"/>
          <w:bdr w:val="none" w:sz="0" w:space="0" w:color="auto" w:frame="1"/>
        </w:rPr>
        <w:t xml:space="preserve"> </w:t>
      </w:r>
      <w:proofErr w:type="spellStart"/>
      <w:r w:rsidRPr="00946895">
        <w:rPr>
          <w:rFonts w:ascii="Times New Roman" w:eastAsia="Times New Roman" w:hAnsi="Times New Roman" w:cs="Times New Roman"/>
          <w:bdr w:val="none" w:sz="0" w:space="0" w:color="auto" w:frame="1"/>
          <w:lang w:val="en-GB"/>
        </w:rPr>
        <w:t>Научен</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ръководител</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гл</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ас</w:t>
      </w:r>
      <w:proofErr w:type="spellEnd"/>
      <w:r w:rsidRPr="00946895">
        <w:rPr>
          <w:rFonts w:ascii="Times New Roman" w:eastAsia="Times New Roman" w:hAnsi="Times New Roman" w:cs="Times New Roman"/>
          <w:bdr w:val="none" w:sz="0" w:space="0" w:color="auto" w:frame="1"/>
          <w:lang w:val="en-GB"/>
        </w:rPr>
        <w:t xml:space="preserve">. д-р </w:t>
      </w:r>
      <w:proofErr w:type="spellStart"/>
      <w:r w:rsidRPr="00946895">
        <w:rPr>
          <w:rFonts w:ascii="Times New Roman" w:eastAsia="Times New Roman" w:hAnsi="Times New Roman" w:cs="Times New Roman"/>
          <w:bdr w:val="none" w:sz="0" w:space="0" w:color="auto" w:frame="1"/>
          <w:lang w:val="en-GB"/>
        </w:rPr>
        <w:t>Йосиф</w:t>
      </w:r>
      <w:proofErr w:type="spellEnd"/>
      <w:r w:rsidRPr="00946895">
        <w:rPr>
          <w:rFonts w:ascii="Times New Roman" w:eastAsia="Times New Roman" w:hAnsi="Times New Roman" w:cs="Times New Roman"/>
          <w:bdr w:val="none" w:sz="0" w:space="0" w:color="auto" w:frame="1"/>
          <w:lang w:val="en-GB"/>
        </w:rPr>
        <w:t xml:space="preserve"> </w:t>
      </w:r>
      <w:proofErr w:type="spellStart"/>
      <w:r w:rsidRPr="00946895">
        <w:rPr>
          <w:rFonts w:ascii="Times New Roman" w:eastAsia="Times New Roman" w:hAnsi="Times New Roman" w:cs="Times New Roman"/>
          <w:bdr w:val="none" w:sz="0" w:space="0" w:color="auto" w:frame="1"/>
          <w:lang w:val="en-GB"/>
        </w:rPr>
        <w:t>Кочев</w:t>
      </w:r>
      <w:proofErr w:type="spellEnd"/>
    </w:p>
    <w:p w14:paraId="69E20EA1" w14:textId="77777777" w:rsidR="00946895" w:rsidRDefault="00946895" w:rsidP="00946895">
      <w:pPr>
        <w:spacing w:line="360" w:lineRule="auto"/>
        <w:jc w:val="right"/>
        <w:rPr>
          <w:rFonts w:ascii="Times New Roman" w:eastAsia="Times New Roman" w:hAnsi="Times New Roman" w:cs="Times New Roman"/>
          <w:bdr w:val="none" w:sz="0" w:space="0" w:color="auto" w:frame="1"/>
        </w:rPr>
      </w:pPr>
    </w:p>
    <w:p w14:paraId="21C21E4A" w14:textId="55165230" w:rsidR="005342DA" w:rsidRPr="00E73B36" w:rsidRDefault="00946895" w:rsidP="00946895">
      <w:pPr>
        <w:spacing w:line="360" w:lineRule="auto"/>
        <w:jc w:val="center"/>
        <w:rPr>
          <w:rFonts w:ascii="Times New Roman" w:eastAsia="Times New Roman" w:hAnsi="Times New Roman" w:cs="Times New Roman"/>
          <w:b/>
          <w:bCs/>
          <w:bdr w:val="none" w:sz="0" w:space="0" w:color="auto" w:frame="1"/>
        </w:rPr>
      </w:pPr>
      <w:r>
        <w:rPr>
          <w:rFonts w:ascii="Times New Roman" w:eastAsia="Times New Roman" w:hAnsi="Times New Roman" w:cs="Times New Roman"/>
          <w:bdr w:val="none" w:sz="0" w:space="0" w:color="auto" w:frame="1"/>
        </w:rPr>
        <w:t>Благоевград, 2025</w:t>
      </w:r>
      <w:r w:rsidR="005342DA" w:rsidRPr="00E73B36">
        <w:rPr>
          <w:rFonts w:ascii="Times New Roman" w:eastAsia="Times New Roman" w:hAnsi="Times New Roman" w:cs="Times New Roman"/>
          <w:b/>
          <w:bCs/>
          <w:bdr w:val="none" w:sz="0" w:space="0" w:color="auto" w:frame="1"/>
        </w:rPr>
        <w:br w:type="page"/>
      </w:r>
    </w:p>
    <w:p w14:paraId="64D8CBC6" w14:textId="77777777" w:rsidR="00946895" w:rsidRDefault="00946895" w:rsidP="00946895">
      <w:pPr>
        <w:tabs>
          <w:tab w:val="left" w:pos="7088"/>
        </w:tabs>
        <w:spacing w:after="0" w:line="240" w:lineRule="auto"/>
        <w:ind w:firstLine="720"/>
        <w:jc w:val="center"/>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lastRenderedPageBreak/>
        <w:t>Съдържание</w:t>
      </w:r>
    </w:p>
    <w:p w14:paraId="274FACBE" w14:textId="6531FC4E"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t>Увод.....................................................................................................................................3</w:t>
      </w:r>
    </w:p>
    <w:p w14:paraId="68DA84B2" w14:textId="1FFCDA72" w:rsidR="00946895" w:rsidRP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Глава I. История и структура на НАТО и Европейския съюз</w:t>
      </w:r>
      <w:r>
        <w:rPr>
          <w:rFonts w:ascii="Times New Roman" w:eastAsia="Times New Roman" w:hAnsi="Times New Roman" w:cs="Times New Roman"/>
          <w:b/>
          <w:bCs/>
          <w:bdr w:val="none" w:sz="0" w:space="0" w:color="auto" w:frame="1"/>
        </w:rPr>
        <w:t>................................6</w:t>
      </w:r>
    </w:p>
    <w:p w14:paraId="78627B65" w14:textId="0C009AED"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1.1. История на НАТО</w:t>
      </w:r>
      <w:r>
        <w:rPr>
          <w:rFonts w:ascii="Times New Roman" w:eastAsia="Times New Roman" w:hAnsi="Times New Roman" w:cs="Times New Roman"/>
          <w:b/>
          <w:bCs/>
          <w:bdr w:val="none" w:sz="0" w:space="0" w:color="auto" w:frame="1"/>
        </w:rPr>
        <w:t>.....................................................................................................6</w:t>
      </w:r>
    </w:p>
    <w:p w14:paraId="1DED35ED" w14:textId="0E471BD4"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1.2. История на Европейския съюз</w:t>
      </w:r>
      <w:r>
        <w:rPr>
          <w:rFonts w:ascii="Times New Roman" w:eastAsia="Times New Roman" w:hAnsi="Times New Roman" w:cs="Times New Roman"/>
          <w:b/>
          <w:bCs/>
          <w:bdr w:val="none" w:sz="0" w:space="0" w:color="auto" w:frame="1"/>
        </w:rPr>
        <w:t>.............................................................................14</w:t>
      </w:r>
    </w:p>
    <w:p w14:paraId="6DA10108" w14:textId="5D0043FE"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1.3. Структура и основни органи на НАТО</w:t>
      </w:r>
      <w:r>
        <w:rPr>
          <w:rFonts w:ascii="Times New Roman" w:eastAsia="Times New Roman" w:hAnsi="Times New Roman" w:cs="Times New Roman"/>
          <w:b/>
          <w:bCs/>
          <w:bdr w:val="none" w:sz="0" w:space="0" w:color="auto" w:frame="1"/>
        </w:rPr>
        <w:t>...............................................................21</w:t>
      </w:r>
    </w:p>
    <w:p w14:paraId="47C49C78" w14:textId="64C1586D"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1.4. Структура и основни органи на ЕС</w:t>
      </w:r>
      <w:r>
        <w:rPr>
          <w:rFonts w:ascii="Times New Roman" w:eastAsia="Times New Roman" w:hAnsi="Times New Roman" w:cs="Times New Roman"/>
          <w:b/>
          <w:bCs/>
          <w:bdr w:val="none" w:sz="0" w:space="0" w:color="auto" w:frame="1"/>
        </w:rPr>
        <w:t>....................................................................24</w:t>
      </w:r>
    </w:p>
    <w:p w14:paraId="4455251F" w14:textId="63B3DF66" w:rsidR="00946895" w:rsidRP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Глава II. Правни и институционални механизми за сътрудничество между НАТО и ЕС</w:t>
      </w:r>
      <w:r>
        <w:rPr>
          <w:rFonts w:ascii="Times New Roman" w:eastAsia="Times New Roman" w:hAnsi="Times New Roman" w:cs="Times New Roman"/>
          <w:b/>
          <w:bCs/>
          <w:bdr w:val="none" w:sz="0" w:space="0" w:color="auto" w:frame="1"/>
        </w:rPr>
        <w:t>..................................................................................................................................27</w:t>
      </w:r>
    </w:p>
    <w:p w14:paraId="4BD980F6" w14:textId="6992811D"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2.1. Основни споразумения между НАТО и ЕС</w:t>
      </w:r>
      <w:r>
        <w:rPr>
          <w:rFonts w:ascii="Times New Roman" w:eastAsia="Times New Roman" w:hAnsi="Times New Roman" w:cs="Times New Roman"/>
          <w:b/>
          <w:bCs/>
          <w:bdr w:val="none" w:sz="0" w:space="0" w:color="auto" w:frame="1"/>
        </w:rPr>
        <w:t>........................................................27</w:t>
      </w:r>
    </w:p>
    <w:p w14:paraId="4E09F982" w14:textId="7C911D46"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2.2. Договорите от Маастрихт и Лисабон и значението им за сътрудничеството</w:t>
      </w:r>
      <w:r>
        <w:rPr>
          <w:rFonts w:ascii="Times New Roman" w:eastAsia="Times New Roman" w:hAnsi="Times New Roman" w:cs="Times New Roman"/>
          <w:b/>
          <w:bCs/>
          <w:bdr w:val="none" w:sz="0" w:space="0" w:color="auto" w:frame="1"/>
        </w:rPr>
        <w:t>.......................................................................................................................31</w:t>
      </w:r>
    </w:p>
    <w:p w14:paraId="048E2FD7" w14:textId="0D21D564" w:rsidR="00946895" w:rsidRDefault="00946895" w:rsidP="00946895">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2.3. Споразумения за обмен на информация и координация</w:t>
      </w:r>
      <w:r>
        <w:rPr>
          <w:rFonts w:ascii="Times New Roman" w:eastAsia="Times New Roman" w:hAnsi="Times New Roman" w:cs="Times New Roman"/>
          <w:b/>
          <w:bCs/>
          <w:bdr w:val="none" w:sz="0" w:space="0" w:color="auto" w:frame="1"/>
        </w:rPr>
        <w:t>................................35</w:t>
      </w:r>
    </w:p>
    <w:p w14:paraId="435933C7" w14:textId="01CEB82E" w:rsidR="00946895" w:rsidRDefault="00946895"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946895">
        <w:rPr>
          <w:rFonts w:ascii="Times New Roman" w:eastAsia="Times New Roman" w:hAnsi="Times New Roman" w:cs="Times New Roman"/>
          <w:b/>
          <w:bCs/>
          <w:bdr w:val="none" w:sz="0" w:space="0" w:color="auto" w:frame="1"/>
        </w:rPr>
        <w:t>2.4. Институционални механизми за координация на действията на НАТО и ЕС в областта на киберсигурността</w:t>
      </w:r>
    </w:p>
    <w:p w14:paraId="02CB8D3B" w14:textId="56A41632" w:rsidR="000B3C68" w:rsidRP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Глава III. Политики и стратегии за съвместни действия между НАТО и ЕС в контекста на киберсигурността и хибридните войни</w:t>
      </w:r>
      <w:r>
        <w:rPr>
          <w:rFonts w:ascii="Times New Roman" w:eastAsia="Times New Roman" w:hAnsi="Times New Roman" w:cs="Times New Roman"/>
          <w:b/>
          <w:bCs/>
          <w:bdr w:val="none" w:sz="0" w:space="0" w:color="auto" w:frame="1"/>
        </w:rPr>
        <w:t>........................................................46</w:t>
      </w:r>
    </w:p>
    <w:p w14:paraId="3ED268E3" w14:textId="72CE7A6D" w:rsidR="00946895"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3. 1. Европейска стратегия за киберсигурност</w:t>
      </w:r>
      <w:r>
        <w:rPr>
          <w:rFonts w:ascii="Times New Roman" w:eastAsia="Times New Roman" w:hAnsi="Times New Roman" w:cs="Times New Roman"/>
          <w:b/>
          <w:bCs/>
          <w:bdr w:val="none" w:sz="0" w:space="0" w:color="auto" w:frame="1"/>
        </w:rPr>
        <w:t>..............................‘..........................46</w:t>
      </w:r>
    </w:p>
    <w:p w14:paraId="2D85695D" w14:textId="0E6ADFD7"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3.2. Политика на НАТО за киберотбрана</w:t>
      </w:r>
      <w:r>
        <w:rPr>
          <w:rFonts w:ascii="Times New Roman" w:eastAsia="Times New Roman" w:hAnsi="Times New Roman" w:cs="Times New Roman"/>
          <w:b/>
          <w:bCs/>
          <w:bdr w:val="none" w:sz="0" w:space="0" w:color="auto" w:frame="1"/>
        </w:rPr>
        <w:t>..................................................................49</w:t>
      </w:r>
    </w:p>
    <w:p w14:paraId="587B1B10" w14:textId="331CF918"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3.3. Съвместни планове и механизми на НАТО и ЕС за противодействие на хибридни заплахи</w:t>
      </w:r>
      <w:r>
        <w:rPr>
          <w:rFonts w:ascii="Times New Roman" w:eastAsia="Times New Roman" w:hAnsi="Times New Roman" w:cs="Times New Roman"/>
          <w:b/>
          <w:bCs/>
          <w:bdr w:val="none" w:sz="0" w:space="0" w:color="auto" w:frame="1"/>
        </w:rPr>
        <w:t>.......................................................................................................................52</w:t>
      </w:r>
    </w:p>
    <w:p w14:paraId="2A439129" w14:textId="2082F23D"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3.4. Съвместни операции и инициативи</w:t>
      </w:r>
      <w:r>
        <w:rPr>
          <w:rFonts w:ascii="Times New Roman" w:eastAsia="Times New Roman" w:hAnsi="Times New Roman" w:cs="Times New Roman"/>
          <w:b/>
          <w:bCs/>
          <w:bdr w:val="none" w:sz="0" w:space="0" w:color="auto" w:frame="1"/>
        </w:rPr>
        <w:t>....................................................................59</w:t>
      </w:r>
    </w:p>
    <w:p w14:paraId="37A12373" w14:textId="2AC5BC51"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t>3</w:t>
      </w:r>
      <w:r w:rsidRPr="000B3C68">
        <w:rPr>
          <w:rFonts w:ascii="Times New Roman" w:eastAsia="Times New Roman" w:hAnsi="Times New Roman" w:cs="Times New Roman"/>
          <w:b/>
          <w:bCs/>
          <w:bdr w:val="none" w:sz="0" w:space="0" w:color="auto" w:frame="1"/>
        </w:rPr>
        <w:t>.5. Водещи тенденции и перспективи в сътрудничеството на ЕС и НАТО в областта на киберсигурността в контекста на хибридните войни</w:t>
      </w:r>
      <w:r>
        <w:rPr>
          <w:rFonts w:ascii="Times New Roman" w:eastAsia="Times New Roman" w:hAnsi="Times New Roman" w:cs="Times New Roman"/>
          <w:b/>
          <w:bCs/>
          <w:bdr w:val="none" w:sz="0" w:space="0" w:color="auto" w:frame="1"/>
        </w:rPr>
        <w:t>...................................66</w:t>
      </w:r>
    </w:p>
    <w:p w14:paraId="2313E494" w14:textId="240FA4D9"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sidRPr="000B3C68">
        <w:rPr>
          <w:rFonts w:ascii="Times New Roman" w:eastAsia="Times New Roman" w:hAnsi="Times New Roman" w:cs="Times New Roman"/>
          <w:b/>
          <w:bCs/>
          <w:bdr w:val="none" w:sz="0" w:space="0" w:color="auto" w:frame="1"/>
        </w:rPr>
        <w:t>Заключение</w:t>
      </w:r>
      <w:r>
        <w:rPr>
          <w:rFonts w:ascii="Times New Roman" w:eastAsia="Times New Roman" w:hAnsi="Times New Roman" w:cs="Times New Roman"/>
          <w:b/>
          <w:bCs/>
          <w:bdr w:val="none" w:sz="0" w:space="0" w:color="auto" w:frame="1"/>
        </w:rPr>
        <w:t>......................................................................................................................74</w:t>
      </w:r>
    </w:p>
    <w:p w14:paraId="69E11C7B" w14:textId="3C5CD20D"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t>Цитирана литература....................................................................................................80</w:t>
      </w:r>
    </w:p>
    <w:p w14:paraId="30D2A180" w14:textId="77777777"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p>
    <w:p w14:paraId="724A3271" w14:textId="77777777" w:rsidR="000B3C68" w:rsidRDefault="000B3C68" w:rsidP="000B3C68">
      <w:pPr>
        <w:tabs>
          <w:tab w:val="left" w:pos="7088"/>
        </w:tabs>
        <w:spacing w:after="0" w:line="240" w:lineRule="auto"/>
        <w:ind w:firstLine="720"/>
        <w:jc w:val="both"/>
        <w:rPr>
          <w:rFonts w:ascii="Times New Roman" w:eastAsia="Times New Roman" w:hAnsi="Times New Roman" w:cs="Times New Roman"/>
          <w:b/>
          <w:bCs/>
          <w:bdr w:val="none" w:sz="0" w:space="0" w:color="auto" w:frame="1"/>
        </w:rPr>
      </w:pPr>
    </w:p>
    <w:p w14:paraId="7D2E6BAE" w14:textId="77777777" w:rsidR="00946895" w:rsidRDefault="00946895" w:rsidP="000B3C68">
      <w:pPr>
        <w:spacing w:line="240" w:lineRule="auto"/>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br w:type="page"/>
      </w:r>
    </w:p>
    <w:p w14:paraId="58F617FE" w14:textId="6C0E570D" w:rsidR="005342DA" w:rsidRDefault="005342DA" w:rsidP="00926278">
      <w:pPr>
        <w:spacing w:line="360" w:lineRule="auto"/>
        <w:ind w:firstLine="720"/>
        <w:jc w:val="both"/>
        <w:rPr>
          <w:rFonts w:ascii="Times New Roman" w:eastAsia="Times New Roman" w:hAnsi="Times New Roman" w:cs="Times New Roman"/>
          <w:bdr w:val="none" w:sz="0" w:space="0" w:color="auto" w:frame="1"/>
        </w:rPr>
      </w:pPr>
      <w:r w:rsidRPr="00E73B36">
        <w:rPr>
          <w:rFonts w:ascii="Times New Roman" w:eastAsia="Times New Roman" w:hAnsi="Times New Roman" w:cs="Times New Roman"/>
          <w:b/>
          <w:bCs/>
          <w:bdr w:val="none" w:sz="0" w:space="0" w:color="auto" w:frame="1"/>
        </w:rPr>
        <w:lastRenderedPageBreak/>
        <w:t>Увод</w:t>
      </w:r>
    </w:p>
    <w:p w14:paraId="0B7826BA" w14:textId="445862F5" w:rsidR="00926278" w:rsidRDefault="00926278" w:rsidP="00926278">
      <w:pPr>
        <w:spacing w:line="360" w:lineRule="auto"/>
        <w:ind w:firstLine="720"/>
        <w:jc w:val="both"/>
        <w:rPr>
          <w:rFonts w:ascii="Times New Roman" w:eastAsia="Times New Roman" w:hAnsi="Times New Roman" w:cs="Times New Roman"/>
          <w:bdr w:val="none" w:sz="0" w:space="0" w:color="auto" w:frame="1"/>
        </w:rPr>
      </w:pPr>
      <w:r w:rsidRPr="00926278">
        <w:rPr>
          <w:rFonts w:ascii="Times New Roman" w:eastAsia="Times New Roman" w:hAnsi="Times New Roman" w:cs="Times New Roman"/>
          <w:bdr w:val="none" w:sz="0" w:space="0" w:color="auto" w:frame="1"/>
        </w:rPr>
        <w:t xml:space="preserve">Актуалността и значимостта на </w:t>
      </w:r>
      <w:r>
        <w:rPr>
          <w:rFonts w:ascii="Times New Roman" w:eastAsia="Times New Roman" w:hAnsi="Times New Roman" w:cs="Times New Roman"/>
          <w:bdr w:val="none" w:sz="0" w:space="0" w:color="auto" w:frame="1"/>
        </w:rPr>
        <w:t>настоящото</w:t>
      </w:r>
      <w:r w:rsidRPr="00926278">
        <w:rPr>
          <w:rFonts w:ascii="Times New Roman" w:eastAsia="Times New Roman" w:hAnsi="Times New Roman" w:cs="Times New Roman"/>
          <w:bdr w:val="none" w:sz="0" w:space="0" w:color="auto" w:frame="1"/>
        </w:rPr>
        <w:t xml:space="preserve"> изследване произтичат от изключително динамичната и ескалираща среда на международната сигурност, в която киберзаплахите и хибридните войни се превръщат в основен инструмент за дестабилизация, натиск и подкопаване на демократичните общества. В условията на засилена руска агресивност, технологични пробиви като изкуствения интелект и квантовите изчисления, както и възможни промени в трансатлантическите отношения при нова американска администрация, Европейският съюз и НАТО са изправени пред необходимостта от изграждане на интегрирана, устойчива и стратегически ориентирана киберотбрана. Изследването е значимо, защото анализира не само постигнатото сътрудничество между двете организации и неговите реални резултати, но и очертава основните предизвикателства, стратегическите пропуски и възможните пътища за надграждане на общата сигурност, което е от ключово значение за бъдещето на стабилността и отбраната в Европа и отвъд нея.</w:t>
      </w:r>
    </w:p>
    <w:p w14:paraId="1C84D177" w14:textId="666D1D12" w:rsidR="00926278" w:rsidRDefault="00926278" w:rsidP="00926278">
      <w:pPr>
        <w:spacing w:line="360" w:lineRule="auto"/>
        <w:ind w:firstLine="720"/>
        <w:jc w:val="both"/>
        <w:rPr>
          <w:rFonts w:ascii="Times New Roman" w:eastAsia="Times New Roman" w:hAnsi="Times New Roman" w:cs="Times New Roman"/>
          <w:bdr w:val="none" w:sz="0" w:space="0" w:color="auto" w:frame="1"/>
        </w:rPr>
      </w:pPr>
      <w:r w:rsidRPr="00926278">
        <w:rPr>
          <w:rFonts w:ascii="Times New Roman" w:eastAsia="Times New Roman" w:hAnsi="Times New Roman" w:cs="Times New Roman"/>
          <w:bdr w:val="none" w:sz="0" w:space="0" w:color="auto" w:frame="1"/>
        </w:rPr>
        <w:t>Целта на изследването е да анализира развитието на сътрудничеството между Европейския съюз и НАТО в областта на киберсигурността и противодействието на хибридните заплахи, като оцени постигнатите резултати, идентифицира основните предизвикателства пред ефективната координация и предложи насоки за задълбочаване на партньорството в условията на нарастваща несигурност, технологични промени и потенциални геополитически трансформации.</w:t>
      </w:r>
    </w:p>
    <w:p w14:paraId="1A170A55" w14:textId="77777777" w:rsidR="00926278" w:rsidRPr="00926278" w:rsidRDefault="00926278" w:rsidP="00926278">
      <w:pPr>
        <w:numPr>
          <w:ilvl w:val="0"/>
          <w:numId w:val="9"/>
        </w:numPr>
        <w:spacing w:line="360" w:lineRule="auto"/>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Проследяване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еволюцията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киберзаплахите</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контекста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хибридните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войни</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тяхното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отражение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върху</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сигурността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ЕС и НАТО</w:t>
      </w:r>
    </w:p>
    <w:p w14:paraId="00F4241E" w14:textId="77777777" w:rsidR="00926278" w:rsidRPr="00926278" w:rsidRDefault="00926278" w:rsidP="00926278">
      <w:pPr>
        <w:numPr>
          <w:ilvl w:val="0"/>
          <w:numId w:val="9"/>
        </w:numPr>
        <w:spacing w:line="360" w:lineRule="auto"/>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Описване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основните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постижения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ЕС и НАТО в </w:t>
      </w:r>
      <w:proofErr w:type="spellStart"/>
      <w:r w:rsidRPr="00926278">
        <w:rPr>
          <w:rFonts w:ascii="Times New Roman" w:eastAsia="Times New Roman" w:hAnsi="Times New Roman" w:cs="Times New Roman"/>
          <w:bdr w:val="none" w:sz="0" w:space="0" w:color="auto" w:frame="1"/>
          <w:lang w:val="en-GB"/>
        </w:rPr>
        <w:t>областта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киберсигурността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борбата</w:t>
      </w:r>
      <w:proofErr w:type="spellEnd"/>
      <w:r w:rsidRPr="00926278">
        <w:rPr>
          <w:rFonts w:ascii="Times New Roman" w:eastAsia="Times New Roman" w:hAnsi="Times New Roman" w:cs="Times New Roman"/>
          <w:bdr w:val="none" w:sz="0" w:space="0" w:color="auto" w:frame="1"/>
          <w:lang w:val="en-GB"/>
        </w:rPr>
        <w:t xml:space="preserve"> с </w:t>
      </w:r>
      <w:proofErr w:type="spellStart"/>
      <w:r w:rsidRPr="00926278">
        <w:rPr>
          <w:rFonts w:ascii="Times New Roman" w:eastAsia="Times New Roman" w:hAnsi="Times New Roman" w:cs="Times New Roman"/>
          <w:bdr w:val="none" w:sz="0" w:space="0" w:color="auto" w:frame="1"/>
          <w:lang w:val="en-GB"/>
        </w:rPr>
        <w:t>хибридните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заплахи</w:t>
      </w:r>
      <w:proofErr w:type="spellEnd"/>
    </w:p>
    <w:p w14:paraId="311A4015" w14:textId="77777777" w:rsidR="00926278" w:rsidRPr="00926278" w:rsidRDefault="00926278" w:rsidP="00926278">
      <w:pPr>
        <w:numPr>
          <w:ilvl w:val="0"/>
          <w:numId w:val="9"/>
        </w:numPr>
        <w:spacing w:line="360" w:lineRule="auto"/>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Идентифициране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основните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предизвикателства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ЕС и НАТО в </w:t>
      </w:r>
      <w:proofErr w:type="spellStart"/>
      <w:r w:rsidRPr="00926278">
        <w:rPr>
          <w:rFonts w:ascii="Times New Roman" w:eastAsia="Times New Roman" w:hAnsi="Times New Roman" w:cs="Times New Roman"/>
          <w:bdr w:val="none" w:sz="0" w:space="0" w:color="auto" w:frame="1"/>
          <w:lang w:val="en-GB"/>
        </w:rPr>
        <w:t>тази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сфера</w:t>
      </w:r>
      <w:proofErr w:type="spellEnd"/>
    </w:p>
    <w:p w14:paraId="57192D69" w14:textId="77777777" w:rsidR="00926278" w:rsidRPr="00926278" w:rsidRDefault="00926278" w:rsidP="00926278">
      <w:pPr>
        <w:numPr>
          <w:ilvl w:val="0"/>
          <w:numId w:val="9"/>
        </w:numPr>
        <w:spacing w:line="360" w:lineRule="auto"/>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Очертаване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перспективите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развитието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партньорството</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контекста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постигнатото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съществуващите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предизвикателства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новата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политическа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обстановка</w:t>
      </w:r>
      <w:proofErr w:type="spellEnd"/>
    </w:p>
    <w:p w14:paraId="7BEFFAEE" w14:textId="1A74BE85" w:rsidR="00926278" w:rsidRPr="00926278" w:rsidRDefault="00926278" w:rsidP="00926278">
      <w:pPr>
        <w:numPr>
          <w:ilvl w:val="0"/>
          <w:numId w:val="9"/>
        </w:numPr>
        <w:spacing w:line="360" w:lineRule="auto"/>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lastRenderedPageBreak/>
        <w:t>Формулиране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препоръки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засилване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сътрудничеството</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преодоляване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предизвикателствата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w:t>
      </w:r>
      <w:proofErr w:type="spellEnd"/>
      <w:r w:rsidRPr="00926278">
        <w:rPr>
          <w:rFonts w:ascii="Times New Roman" w:eastAsia="Times New Roman" w:hAnsi="Times New Roman" w:cs="Times New Roman"/>
          <w:bdr w:val="none" w:sz="0" w:space="0" w:color="auto" w:frame="1"/>
          <w:lang w:val="en-GB"/>
        </w:rPr>
        <w:t xml:space="preserve"> ЕС и НАТО в </w:t>
      </w:r>
      <w:proofErr w:type="spellStart"/>
      <w:r w:rsidRPr="00926278">
        <w:rPr>
          <w:rFonts w:ascii="Times New Roman" w:eastAsia="Times New Roman" w:hAnsi="Times New Roman" w:cs="Times New Roman"/>
          <w:bdr w:val="none" w:sz="0" w:space="0" w:color="auto" w:frame="1"/>
          <w:lang w:val="en-GB"/>
        </w:rPr>
        <w:t>областта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киберсигурността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хибридните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заплахи</w:t>
      </w:r>
      <w:proofErr w:type="spellEnd"/>
      <w:r>
        <w:rPr>
          <w:rFonts w:ascii="Times New Roman" w:eastAsia="Times New Roman" w:hAnsi="Times New Roman" w:cs="Times New Roman"/>
          <w:bdr w:val="none" w:sz="0" w:space="0" w:color="auto" w:frame="1"/>
        </w:rPr>
        <w:t>.</w:t>
      </w:r>
    </w:p>
    <w:p w14:paraId="59AE7432" w14:textId="77777777" w:rsidR="00926278" w:rsidRPr="00926278" w:rsidRDefault="00926278" w:rsidP="00926278">
      <w:pPr>
        <w:spacing w:line="360" w:lineRule="auto"/>
        <w:ind w:left="360" w:firstLine="360"/>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Обект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изследването</w:t>
      </w:r>
      <w:proofErr w:type="spellEnd"/>
      <w:r w:rsidRPr="00926278">
        <w:rPr>
          <w:rFonts w:ascii="Times New Roman" w:eastAsia="Times New Roman" w:hAnsi="Times New Roman" w:cs="Times New Roman"/>
          <w:bdr w:val="none" w:sz="0" w:space="0" w:color="auto" w:frame="1"/>
          <w:lang w:val="en-GB"/>
        </w:rPr>
        <w:t xml:space="preserve"> е </w:t>
      </w:r>
      <w:proofErr w:type="spellStart"/>
      <w:r w:rsidRPr="00926278">
        <w:rPr>
          <w:rFonts w:ascii="Times New Roman" w:eastAsia="Times New Roman" w:hAnsi="Times New Roman" w:cs="Times New Roman"/>
          <w:bdr w:val="none" w:sz="0" w:space="0" w:color="auto" w:frame="1"/>
          <w:lang w:val="en-GB"/>
        </w:rPr>
        <w:t>сътрудничеството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Европейския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съюз</w:t>
      </w:r>
      <w:proofErr w:type="spellEnd"/>
      <w:r w:rsidRPr="00926278">
        <w:rPr>
          <w:rFonts w:ascii="Times New Roman" w:eastAsia="Times New Roman" w:hAnsi="Times New Roman" w:cs="Times New Roman"/>
          <w:bdr w:val="none" w:sz="0" w:space="0" w:color="auto" w:frame="1"/>
          <w:lang w:val="en-GB"/>
        </w:rPr>
        <w:t xml:space="preserve"> и НАТО в </w:t>
      </w:r>
      <w:proofErr w:type="spellStart"/>
      <w:r w:rsidRPr="00926278">
        <w:rPr>
          <w:rFonts w:ascii="Times New Roman" w:eastAsia="Times New Roman" w:hAnsi="Times New Roman" w:cs="Times New Roman"/>
          <w:bdr w:val="none" w:sz="0" w:space="0" w:color="auto" w:frame="1"/>
          <w:lang w:val="en-GB"/>
        </w:rPr>
        <w:t>областта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киберсигурността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противодействието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хибридните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заплахи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обхваща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институционалните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механизми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политическите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инициативи</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оперативните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действия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които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двете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организации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предприемат</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отговор</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нарастващите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рискове</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цифровата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хибридната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среда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сигурност</w:t>
      </w:r>
      <w:proofErr w:type="spellEnd"/>
      <w:r w:rsidRPr="00926278">
        <w:rPr>
          <w:rFonts w:ascii="Times New Roman" w:eastAsia="Times New Roman" w:hAnsi="Times New Roman" w:cs="Times New Roman"/>
          <w:bdr w:val="none" w:sz="0" w:space="0" w:color="auto" w:frame="1"/>
          <w:lang w:val="en-GB"/>
        </w:rPr>
        <w:t>.</w:t>
      </w:r>
    </w:p>
    <w:p w14:paraId="094A80D9" w14:textId="38744028" w:rsidR="00926278" w:rsidRPr="00926278" w:rsidRDefault="00926278" w:rsidP="00926278">
      <w:pPr>
        <w:spacing w:line="360" w:lineRule="auto"/>
        <w:ind w:left="360" w:firstLine="360"/>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Предмет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изследването</w:t>
      </w:r>
      <w:proofErr w:type="spellEnd"/>
      <w:r w:rsidRPr="00926278">
        <w:rPr>
          <w:rFonts w:ascii="Times New Roman" w:eastAsia="Times New Roman" w:hAnsi="Times New Roman" w:cs="Times New Roman"/>
          <w:bdr w:val="none" w:sz="0" w:space="0" w:color="auto" w:frame="1"/>
          <w:lang w:val="en-GB"/>
        </w:rPr>
        <w:t xml:space="preserve"> е </w:t>
      </w:r>
      <w:proofErr w:type="spellStart"/>
      <w:r w:rsidRPr="00926278">
        <w:rPr>
          <w:rFonts w:ascii="Times New Roman" w:eastAsia="Times New Roman" w:hAnsi="Times New Roman" w:cs="Times New Roman"/>
          <w:bdr w:val="none" w:sz="0" w:space="0" w:color="auto" w:frame="1"/>
          <w:lang w:val="en-GB"/>
        </w:rPr>
        <w:t>динамиката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взаимодействието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ЕС и НАТО в </w:t>
      </w:r>
      <w:proofErr w:type="spellStart"/>
      <w:r w:rsidRPr="00926278">
        <w:rPr>
          <w:rFonts w:ascii="Times New Roman" w:eastAsia="Times New Roman" w:hAnsi="Times New Roman" w:cs="Times New Roman"/>
          <w:bdr w:val="none" w:sz="0" w:space="0" w:color="auto" w:frame="1"/>
          <w:lang w:val="en-GB"/>
        </w:rPr>
        <w:t>контекста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еволюцията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киберзаплахите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постиженията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предизвикателствата</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тяхното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както</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възможните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насоки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неговото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задълбочаване</w:t>
      </w:r>
      <w:proofErr w:type="spellEnd"/>
      <w:r w:rsidRPr="00926278">
        <w:rPr>
          <w:rFonts w:ascii="Times New Roman" w:eastAsia="Times New Roman" w:hAnsi="Times New Roman" w:cs="Times New Roman"/>
          <w:bdr w:val="none" w:sz="0" w:space="0" w:color="auto" w:frame="1"/>
          <w:lang w:val="en-GB"/>
        </w:rPr>
        <w:t xml:space="preserve"> с </w:t>
      </w:r>
      <w:proofErr w:type="spellStart"/>
      <w:r w:rsidRPr="00926278">
        <w:rPr>
          <w:rFonts w:ascii="Times New Roman" w:eastAsia="Times New Roman" w:hAnsi="Times New Roman" w:cs="Times New Roman"/>
          <w:bdr w:val="none" w:sz="0" w:space="0" w:color="auto" w:frame="1"/>
          <w:lang w:val="en-GB"/>
        </w:rPr>
        <w:t>цел</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повишаване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устойчивостта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демократичните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общества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ефективното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противодействие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съвременните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комплексни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заплахи</w:t>
      </w:r>
      <w:proofErr w:type="spellEnd"/>
      <w:r w:rsidRPr="00926278">
        <w:rPr>
          <w:rFonts w:ascii="Times New Roman" w:eastAsia="Times New Roman" w:hAnsi="Times New Roman" w:cs="Times New Roman"/>
          <w:bdr w:val="none" w:sz="0" w:space="0" w:color="auto" w:frame="1"/>
          <w:lang w:val="en-GB"/>
        </w:rPr>
        <w:t>.</w:t>
      </w:r>
    </w:p>
    <w:p w14:paraId="3BB0EC2E" w14:textId="77777777" w:rsidR="00926278" w:rsidRPr="00926278" w:rsidRDefault="00926278" w:rsidP="00926278">
      <w:pPr>
        <w:spacing w:line="360" w:lineRule="auto"/>
        <w:ind w:firstLine="720"/>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Тезата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изследването</w:t>
      </w:r>
      <w:proofErr w:type="spellEnd"/>
      <w:r w:rsidRPr="00926278">
        <w:rPr>
          <w:rFonts w:ascii="Times New Roman" w:eastAsia="Times New Roman" w:hAnsi="Times New Roman" w:cs="Times New Roman"/>
          <w:bdr w:val="none" w:sz="0" w:space="0" w:color="auto" w:frame="1"/>
          <w:lang w:val="en-GB"/>
        </w:rPr>
        <w:t xml:space="preserve"> е, </w:t>
      </w:r>
      <w:proofErr w:type="spellStart"/>
      <w:r w:rsidRPr="00926278">
        <w:rPr>
          <w:rFonts w:ascii="Times New Roman" w:eastAsia="Times New Roman" w:hAnsi="Times New Roman" w:cs="Times New Roman"/>
          <w:bdr w:val="none" w:sz="0" w:space="0" w:color="auto" w:frame="1"/>
          <w:lang w:val="en-GB"/>
        </w:rPr>
        <w:t>че</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условията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нарастваща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комплексност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киберзаплахите</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ескалираща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хибридна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агресия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ефективното</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задълбочено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Европейския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съюз</w:t>
      </w:r>
      <w:proofErr w:type="spellEnd"/>
      <w:r w:rsidRPr="00926278">
        <w:rPr>
          <w:rFonts w:ascii="Times New Roman" w:eastAsia="Times New Roman" w:hAnsi="Times New Roman" w:cs="Times New Roman"/>
          <w:bdr w:val="none" w:sz="0" w:space="0" w:color="auto" w:frame="1"/>
          <w:lang w:val="en-GB"/>
        </w:rPr>
        <w:t xml:space="preserve"> и НАТО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утвърждава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като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ключов</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фактор</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укрепване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стратегическата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устойчивост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демократичните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общества</w:t>
      </w:r>
      <w:proofErr w:type="spellEnd"/>
      <w:r w:rsidRPr="00926278">
        <w:rPr>
          <w:rFonts w:ascii="Times New Roman" w:eastAsia="Times New Roman" w:hAnsi="Times New Roman" w:cs="Times New Roman"/>
          <w:bdr w:val="none" w:sz="0" w:space="0" w:color="auto" w:frame="1"/>
          <w:lang w:val="en-GB"/>
        </w:rPr>
        <w:t xml:space="preserve">, а </w:t>
      </w:r>
      <w:proofErr w:type="spellStart"/>
      <w:r w:rsidRPr="00926278">
        <w:rPr>
          <w:rFonts w:ascii="Times New Roman" w:eastAsia="Times New Roman" w:hAnsi="Times New Roman" w:cs="Times New Roman"/>
          <w:bdr w:val="none" w:sz="0" w:space="0" w:color="auto" w:frame="1"/>
          <w:lang w:val="en-GB"/>
        </w:rPr>
        <w:t>преминаването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координация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към</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интегрирано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действие</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областта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киберсигурността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става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необходимо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условие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запазване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стабилността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сигурността</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един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по-несигурен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глобален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контекст</w:t>
      </w:r>
      <w:proofErr w:type="spellEnd"/>
      <w:r w:rsidRPr="00926278">
        <w:rPr>
          <w:rFonts w:ascii="Times New Roman" w:eastAsia="Times New Roman" w:hAnsi="Times New Roman" w:cs="Times New Roman"/>
          <w:bdr w:val="none" w:sz="0" w:space="0" w:color="auto" w:frame="1"/>
          <w:lang w:val="en-GB"/>
        </w:rPr>
        <w:t>.</w:t>
      </w:r>
    </w:p>
    <w:p w14:paraId="4FC663A8" w14:textId="77777777" w:rsidR="00926278" w:rsidRPr="00926278" w:rsidRDefault="00926278" w:rsidP="00926278">
      <w:pPr>
        <w:spacing w:line="360" w:lineRule="auto"/>
        <w:ind w:firstLine="720"/>
        <w:jc w:val="both"/>
        <w:rPr>
          <w:rFonts w:ascii="Times New Roman" w:eastAsia="Times New Roman" w:hAnsi="Times New Roman" w:cs="Times New Roman"/>
          <w:bdr w:val="none" w:sz="0" w:space="0" w:color="auto" w:frame="1"/>
          <w:lang w:val="en-GB"/>
        </w:rPr>
      </w:pPr>
      <w:proofErr w:type="spellStart"/>
      <w:r w:rsidRPr="00926278">
        <w:rPr>
          <w:rFonts w:ascii="Times New Roman" w:eastAsia="Times New Roman" w:hAnsi="Times New Roman" w:cs="Times New Roman"/>
          <w:bdr w:val="none" w:sz="0" w:space="0" w:color="auto" w:frame="1"/>
          <w:lang w:val="en-GB"/>
        </w:rPr>
        <w:t>Изследването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използва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комплексен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подход</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съчетаващ</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няколко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основни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постигане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целта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обосноваване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тезата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Прилага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методът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системния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анализ</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цялостно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разглеждане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взаимодействието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Европейския</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съюз</w:t>
      </w:r>
      <w:proofErr w:type="spellEnd"/>
      <w:r w:rsidRPr="00926278">
        <w:rPr>
          <w:rFonts w:ascii="Times New Roman" w:eastAsia="Times New Roman" w:hAnsi="Times New Roman" w:cs="Times New Roman"/>
          <w:bdr w:val="none" w:sz="0" w:space="0" w:color="auto" w:frame="1"/>
          <w:lang w:val="en-GB"/>
        </w:rPr>
        <w:t xml:space="preserve"> и НАТО в </w:t>
      </w:r>
      <w:proofErr w:type="spellStart"/>
      <w:r w:rsidRPr="00926278">
        <w:rPr>
          <w:rFonts w:ascii="Times New Roman" w:eastAsia="Times New Roman" w:hAnsi="Times New Roman" w:cs="Times New Roman"/>
          <w:bdr w:val="none" w:sz="0" w:space="0" w:color="auto" w:frame="1"/>
          <w:lang w:val="en-GB"/>
        </w:rPr>
        <w:t>областта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киберсигурността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като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взаимосвързана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динамично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развиваща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система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Използва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също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така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сравнителният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чрез</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който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проследяват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различията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допълненията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подходите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двете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организации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отношение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противодействието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хибридни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заплахи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Прилага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историческият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проследяване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еволюцията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киберзаплахите</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развитието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w:t>
      </w:r>
      <w:proofErr w:type="spellEnd"/>
      <w:r w:rsidRPr="00926278">
        <w:rPr>
          <w:rFonts w:ascii="Times New Roman" w:eastAsia="Times New Roman" w:hAnsi="Times New Roman" w:cs="Times New Roman"/>
          <w:bdr w:val="none" w:sz="0" w:space="0" w:color="auto" w:frame="1"/>
          <w:lang w:val="en-GB"/>
        </w:rPr>
        <w:t xml:space="preserve"> ЕС и НАТО </w:t>
      </w:r>
      <w:proofErr w:type="spellStart"/>
      <w:r w:rsidRPr="00926278">
        <w:rPr>
          <w:rFonts w:ascii="Times New Roman" w:eastAsia="Times New Roman" w:hAnsi="Times New Roman" w:cs="Times New Roman"/>
          <w:bdr w:val="none" w:sz="0" w:space="0" w:color="auto" w:frame="1"/>
          <w:lang w:val="en-GB"/>
        </w:rPr>
        <w:t>от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началото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XXI </w:t>
      </w:r>
      <w:proofErr w:type="spellStart"/>
      <w:r w:rsidRPr="00926278">
        <w:rPr>
          <w:rFonts w:ascii="Times New Roman" w:eastAsia="Times New Roman" w:hAnsi="Times New Roman" w:cs="Times New Roman"/>
          <w:bdr w:val="none" w:sz="0" w:space="0" w:color="auto" w:frame="1"/>
          <w:lang w:val="en-GB"/>
        </w:rPr>
        <w:t>век</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днес</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Освен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това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използва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аналитико-синтетичният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извличане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основните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тенденции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предизвикателства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перспективи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от</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разнообразни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източници</w:t>
      </w:r>
      <w:proofErr w:type="spellEnd"/>
      <w:r w:rsidRPr="00926278">
        <w:rPr>
          <w:rFonts w:ascii="Times New Roman" w:eastAsia="Times New Roman" w:hAnsi="Times New Roman" w:cs="Times New Roman"/>
          <w:bdr w:val="none" w:sz="0" w:space="0" w:color="auto" w:frame="1"/>
          <w:lang w:val="en-GB"/>
        </w:rPr>
        <w:t xml:space="preserve"> – </w:t>
      </w:r>
      <w:proofErr w:type="spellStart"/>
      <w:r w:rsidRPr="00926278">
        <w:rPr>
          <w:rFonts w:ascii="Times New Roman" w:eastAsia="Times New Roman" w:hAnsi="Times New Roman" w:cs="Times New Roman"/>
          <w:bdr w:val="none" w:sz="0" w:space="0" w:color="auto" w:frame="1"/>
          <w:lang w:val="en-GB"/>
        </w:rPr>
        <w:lastRenderedPageBreak/>
        <w:t>официални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документи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декларации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стратегически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доклади</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научни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публикации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Провежда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прогностичен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анализ</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формулиране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възможните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сценарии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развитие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сътрудничеството</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контекста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променящата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международна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среда</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политическите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тенденции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Всички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методи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съчетават</w:t>
      </w:r>
      <w:proofErr w:type="spellEnd"/>
      <w:r w:rsidRPr="00926278">
        <w:rPr>
          <w:rFonts w:ascii="Times New Roman" w:eastAsia="Times New Roman" w:hAnsi="Times New Roman" w:cs="Times New Roman"/>
          <w:bdr w:val="none" w:sz="0" w:space="0" w:color="auto" w:frame="1"/>
          <w:lang w:val="en-GB"/>
        </w:rPr>
        <w:t xml:space="preserve"> в </w:t>
      </w:r>
      <w:proofErr w:type="spellStart"/>
      <w:r w:rsidRPr="00926278">
        <w:rPr>
          <w:rFonts w:ascii="Times New Roman" w:eastAsia="Times New Roman" w:hAnsi="Times New Roman" w:cs="Times New Roman"/>
          <w:bdr w:val="none" w:sz="0" w:space="0" w:color="auto" w:frame="1"/>
          <w:lang w:val="en-GB"/>
        </w:rPr>
        <w:t>рамките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качествено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изследване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което</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стреми</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даде</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задълбочен</w:t>
      </w:r>
      <w:proofErr w:type="spellEnd"/>
      <w:r w:rsidRPr="00926278">
        <w:rPr>
          <w:rFonts w:ascii="Times New Roman" w:eastAsia="Times New Roman" w:hAnsi="Times New Roman" w:cs="Times New Roman"/>
          <w:bdr w:val="none" w:sz="0" w:space="0" w:color="auto" w:frame="1"/>
          <w:lang w:val="en-GB"/>
        </w:rPr>
        <w:t xml:space="preserve"> и </w:t>
      </w:r>
      <w:proofErr w:type="spellStart"/>
      <w:r w:rsidRPr="00926278">
        <w:rPr>
          <w:rFonts w:ascii="Times New Roman" w:eastAsia="Times New Roman" w:hAnsi="Times New Roman" w:cs="Times New Roman"/>
          <w:bdr w:val="none" w:sz="0" w:space="0" w:color="auto" w:frame="1"/>
          <w:lang w:val="en-GB"/>
        </w:rPr>
        <w:t>обоснован</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отговор</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поставената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научна</w:t>
      </w:r>
      <w:proofErr w:type="spellEnd"/>
      <w:r w:rsidRPr="00926278">
        <w:rPr>
          <w:rFonts w:ascii="Times New Roman" w:eastAsia="Times New Roman" w:hAnsi="Times New Roman" w:cs="Times New Roman"/>
          <w:bdr w:val="none" w:sz="0" w:space="0" w:color="auto" w:frame="1"/>
          <w:lang w:val="en-GB"/>
        </w:rPr>
        <w:t xml:space="preserve"> </w:t>
      </w:r>
      <w:proofErr w:type="spellStart"/>
      <w:r w:rsidRPr="00926278">
        <w:rPr>
          <w:rFonts w:ascii="Times New Roman" w:eastAsia="Times New Roman" w:hAnsi="Times New Roman" w:cs="Times New Roman"/>
          <w:bdr w:val="none" w:sz="0" w:space="0" w:color="auto" w:frame="1"/>
          <w:lang w:val="en-GB"/>
        </w:rPr>
        <w:t>задача</w:t>
      </w:r>
      <w:proofErr w:type="spellEnd"/>
      <w:r w:rsidRPr="00926278">
        <w:rPr>
          <w:rFonts w:ascii="Times New Roman" w:eastAsia="Times New Roman" w:hAnsi="Times New Roman" w:cs="Times New Roman"/>
          <w:bdr w:val="none" w:sz="0" w:space="0" w:color="auto" w:frame="1"/>
          <w:lang w:val="en-GB"/>
        </w:rPr>
        <w:t>.</w:t>
      </w:r>
    </w:p>
    <w:p w14:paraId="5D082B9D" w14:textId="77777777" w:rsidR="00926278" w:rsidRPr="00926278" w:rsidRDefault="00926278" w:rsidP="00926278">
      <w:pPr>
        <w:spacing w:line="360" w:lineRule="auto"/>
        <w:ind w:firstLine="720"/>
        <w:jc w:val="both"/>
        <w:rPr>
          <w:rFonts w:ascii="Times New Roman" w:eastAsia="Times New Roman" w:hAnsi="Times New Roman" w:cs="Times New Roman"/>
          <w:bdr w:val="none" w:sz="0" w:space="0" w:color="auto" w:frame="1"/>
        </w:rPr>
      </w:pPr>
    </w:p>
    <w:p w14:paraId="3EC3E115" w14:textId="77777777" w:rsidR="005342DA" w:rsidRPr="00E73B36" w:rsidRDefault="005342DA" w:rsidP="00926278">
      <w:pPr>
        <w:spacing w:line="360" w:lineRule="auto"/>
        <w:jc w:val="both"/>
        <w:rPr>
          <w:rFonts w:ascii="Times New Roman" w:eastAsia="Times New Roman" w:hAnsi="Times New Roman" w:cs="Times New Roman"/>
          <w:b/>
          <w:bCs/>
          <w:bdr w:val="none" w:sz="0" w:space="0" w:color="auto" w:frame="1"/>
        </w:rPr>
      </w:pPr>
      <w:r w:rsidRPr="00E73B36">
        <w:rPr>
          <w:rFonts w:ascii="Times New Roman" w:eastAsia="Times New Roman" w:hAnsi="Times New Roman" w:cs="Times New Roman"/>
          <w:b/>
          <w:bCs/>
          <w:bdr w:val="none" w:sz="0" w:space="0" w:color="auto" w:frame="1"/>
        </w:rPr>
        <w:br w:type="page"/>
      </w:r>
    </w:p>
    <w:p w14:paraId="5884B189" w14:textId="7403543F" w:rsidR="00406EFD" w:rsidRPr="00E73B36" w:rsidRDefault="00406EFD"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bdr w:val="none" w:sz="0" w:space="0" w:color="auto" w:frame="1"/>
        </w:rPr>
        <w:lastRenderedPageBreak/>
        <w:t>Глава I. История и структура на НАТО и Европейския съюз</w:t>
      </w:r>
    </w:p>
    <w:p w14:paraId="759BB0EE" w14:textId="77777777" w:rsidR="00406EFD" w:rsidRPr="00E73B36" w:rsidRDefault="00406EFD" w:rsidP="00926278">
      <w:pPr>
        <w:spacing w:line="360" w:lineRule="auto"/>
        <w:jc w:val="both"/>
        <w:rPr>
          <w:rFonts w:ascii="Times New Roman" w:hAnsi="Times New Roman" w:cs="Times New Roman"/>
          <w:b/>
          <w:bCs/>
        </w:rPr>
      </w:pPr>
      <w:r w:rsidRPr="00E73B36">
        <w:rPr>
          <w:rFonts w:ascii="Times New Roman" w:eastAsia="Times New Roman" w:hAnsi="Times New Roman" w:cs="Times New Roman"/>
          <w:b/>
          <w:bCs/>
          <w:color w:val="313131"/>
          <w:kern w:val="0"/>
          <w14:ligatures w14:val="none"/>
        </w:rPr>
        <w:t>1.</w:t>
      </w:r>
      <w:r w:rsidRPr="00E73B36">
        <w:rPr>
          <w:rFonts w:ascii="Times New Roman" w:hAnsi="Times New Roman" w:cs="Times New Roman"/>
          <w:b/>
          <w:bCs/>
        </w:rPr>
        <w:t>1. История на НАТО</w:t>
      </w:r>
    </w:p>
    <w:p w14:paraId="73D69665" w14:textId="649CBDC0" w:rsidR="00D72290" w:rsidRPr="00E73B36"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След Втората световна война Европа изпада в икономическа и военна разруха, а разширяването на съветското влияние в Източна Европа поражда сериозни опасения сред западните държави и Съединените щати за бъдещата сигурност на континента. Идеологическият конфликт между демократичния капитализъм на Запада и комунистическата система на Изтока прави противопоставянето неизбежно. Липсата на ефективни механизми за колективна отбрана в Европа, ограничените ресурси на Великобритания и Франция и осъзнатата необходимост от американско ангажиране за европейската сигурност водят до отказ на САЩ от изолационизъм. Допълнително, неуспехът на ООН да осигури стабилна международна сигурност, поради блокажите в Съвета за сигурност, налага създаването на алтернативен механизъм за защита на демократичните държави, което води до основаването на НАТО</w:t>
      </w:r>
      <w:r w:rsidR="00167195" w:rsidRPr="00E73B36">
        <w:rPr>
          <w:rStyle w:val="FootnoteReference"/>
          <w:rFonts w:ascii="Times New Roman" w:eastAsia="Times New Roman" w:hAnsi="Times New Roman" w:cs="Times New Roman"/>
          <w:color w:val="313131"/>
          <w:kern w:val="0"/>
          <w14:ligatures w14:val="none"/>
        </w:rPr>
        <w:footnoteReference w:id="1"/>
      </w:r>
      <w:r w:rsidR="00D72290" w:rsidRPr="00E73B36">
        <w:rPr>
          <w:rFonts w:ascii="Times New Roman" w:eastAsia="Times New Roman" w:hAnsi="Times New Roman" w:cs="Times New Roman"/>
          <w:color w:val="313131"/>
          <w:kern w:val="0"/>
          <w14:ligatures w14:val="none"/>
        </w:rPr>
        <w:t>.</w:t>
      </w:r>
    </w:p>
    <w:p w14:paraId="037D04BD" w14:textId="65548978" w:rsidR="00D72290" w:rsidRPr="00E73B36" w:rsidRDefault="00D72290"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Целите на НАТО са дефинирани в Северноатлантическия договор, подписан на 4 април 1949 г., като основната му функция е осигуряване на колективна отбрана срещу външни заплахи</w:t>
      </w:r>
      <w:r w:rsidR="00167195" w:rsidRPr="00E73B36">
        <w:rPr>
          <w:rStyle w:val="FootnoteReference"/>
          <w:rFonts w:ascii="Times New Roman" w:eastAsia="Times New Roman" w:hAnsi="Times New Roman" w:cs="Times New Roman"/>
          <w:color w:val="313131"/>
          <w:kern w:val="0"/>
          <w14:ligatures w14:val="none"/>
        </w:rPr>
        <w:footnoteReference w:id="2"/>
      </w:r>
      <w:r w:rsidRPr="00E73B36">
        <w:rPr>
          <w:rFonts w:ascii="Times New Roman" w:eastAsia="Times New Roman" w:hAnsi="Times New Roman" w:cs="Times New Roman"/>
          <w:color w:val="313131"/>
          <w:kern w:val="0"/>
          <w14:ligatures w14:val="none"/>
        </w:rPr>
        <w:t xml:space="preserve">. </w:t>
      </w:r>
      <w:r w:rsidR="00AD644C" w:rsidRPr="00AD644C">
        <w:rPr>
          <w:rFonts w:ascii="Times New Roman" w:eastAsia="Times New Roman" w:hAnsi="Times New Roman" w:cs="Times New Roman"/>
          <w:color w:val="313131"/>
          <w:kern w:val="0"/>
          <w14:ligatures w14:val="none"/>
        </w:rPr>
        <w:t>Основният принцип на НАТО е заложен в член 5 от договора, според който нападение срещу една държава членка се счита за нападение срещу всички, като съюзниците са задължени да окажат помощ, с цел възпиране на агресия, особено от страна на Съветския съюз. Организацията работи за укрепване на военното сътрудничество чрез координиране на стратегията, стандартизация на въоръжението и осигуряване на оперативна съвместимост между армиите на страните членки, като същевременно се стреми да поддържа политическа и икономическа стабилност в Европа. С времето НАТО разширява ролята си, включвайки участие в мироопазващи мисии, борба с тероризма и справяне с нови заплахи като киберсигурността, като продължава да защитава демократичните ценности и да се адаптира към променящата се международна среда.</w:t>
      </w:r>
    </w:p>
    <w:p w14:paraId="15251906" w14:textId="5A3BF0E7" w:rsidR="00D72290" w:rsidRDefault="00D72290"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Историята на НАТО преминава през няколко ключови етапа, свързани с промените в международната среда и ролята на алианса в гарантирането на сигурността</w:t>
      </w:r>
      <w:r w:rsidR="00167195" w:rsidRPr="00E73B36">
        <w:rPr>
          <w:rStyle w:val="FootnoteReference"/>
          <w:rFonts w:ascii="Times New Roman" w:eastAsia="Times New Roman" w:hAnsi="Times New Roman" w:cs="Times New Roman"/>
          <w:color w:val="313131"/>
          <w:kern w:val="0"/>
          <w14:ligatures w14:val="none"/>
        </w:rPr>
        <w:footnoteReference w:id="3"/>
      </w:r>
      <w:r w:rsidRPr="00E73B36">
        <w:rPr>
          <w:rFonts w:ascii="Times New Roman" w:eastAsia="Times New Roman" w:hAnsi="Times New Roman" w:cs="Times New Roman"/>
          <w:color w:val="313131"/>
          <w:kern w:val="0"/>
          <w14:ligatures w14:val="none"/>
        </w:rPr>
        <w:t xml:space="preserve">. </w:t>
      </w:r>
      <w:r w:rsidR="00AD644C" w:rsidRPr="00AD644C">
        <w:rPr>
          <w:rFonts w:ascii="Times New Roman" w:eastAsia="Times New Roman" w:hAnsi="Times New Roman" w:cs="Times New Roman"/>
          <w:color w:val="313131"/>
          <w:kern w:val="0"/>
          <w14:ligatures w14:val="none"/>
        </w:rPr>
        <w:t>След подписването на Северноатлантическия договор през 1949 година НАТО се заема с изграждането на стабилна институционална и военна структура за ефективна защита срещу съветската заплаха, като в центъра на системата стои Северноатлантическият съвет, подпомаган от различни военни и политически комитети. С нарастващото напрежение между Изтока и Запада през 1951 година е създадено Върховното главно командване на обединените въоръжени сили в Европа (SHAPE), оглавявано от американски офицер, което координира стратегическите отбранителни планове и оперативната съвместимост между армиите на страните членки. Алиансът изгражда мрежа от бази и въвежда стандартизирани процедури за съвместни учения и операции, като паралелно започва да развива стратегия за възпиране, включително чрез разполагане на тактически ядрени оръжия в Европа. Този начален период полага основите на съвременния НАТО и формира принципите, които гарантират неговата способност да поддържа стабилност и да реагира на заплахи през следващите десетилетия.</w:t>
      </w:r>
    </w:p>
    <w:p w14:paraId="3CDD6C66" w14:textId="0AB1A4E1" w:rsidR="00AD644C"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През 50-те години НАТО укрепва своята структура и разширява състава си с приемането на Гърция и Турция през 1952 година, което осигурява стратегически контрол върху Източното Средиземноморие и създава натиск върху южните граници на СССР. През 1955 година към алианса се присъединява и Западна Германия, с което се поставя началото на нейното реинтегриране в западната система за сигурност чрез създаването на Бундесвера. Това предизвиква остра съветска реакция и води до създаването на Варшавския договор като отговор на западното разширяване, окончателно оформяйки разделението на Европа на два противопоставени военни блока и засилвайки напрежението на Студената война.</w:t>
      </w:r>
    </w:p>
    <w:p w14:paraId="3F7BD796" w14:textId="291021C9" w:rsidR="00AD644C" w:rsidRPr="00E73B36"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 xml:space="preserve">През този период НАТО изгражда своята военна стратегия върху американската ядрена мощ, като САЩ разполагат ядрени оръжия в Европа с цел осигуряване на бърз отговор при нападение, а концепцията за „масирано възмездие“ става основа на отбранителната политика, предвиждайки унищожителен ядрен удар при всяка агресия срещу държава </w:t>
      </w:r>
      <w:r w:rsidRPr="00AD644C">
        <w:rPr>
          <w:rFonts w:ascii="Times New Roman" w:eastAsia="Times New Roman" w:hAnsi="Times New Roman" w:cs="Times New Roman"/>
          <w:color w:val="313131"/>
          <w:kern w:val="0"/>
          <w14:ligatures w14:val="none"/>
        </w:rPr>
        <w:lastRenderedPageBreak/>
        <w:t>членка. Макар да действа като силен възпиращ механизъм, тази стратегия поражда притеснения за липса на гъвкавост при локални конфликти. Успоредно с това НАТО развива постоянна военна инфраструктура в Европа, създава нови бази и командни центрове, засилва съвместните учения и така се превръща в добре организиран военнополитически алианс, гарантиращ сигурността на Западна Европа в условията на растящо съветско военно влияние.</w:t>
      </w:r>
    </w:p>
    <w:p w14:paraId="0B54979A" w14:textId="77777777" w:rsidR="003A6894" w:rsidRPr="00E73B36" w:rsidRDefault="003A689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Краят на 50-те години бележи нарастване на напрежението между НАТО и Варшавския договор, като и двете страни започват мащабно натрупване на оръжия и развитие на стратегически военни доктрини. Противопоставянето между двата блока достига своята кулминация през следващото десетилетие, когато започва надпреварата във въоръжаването и кризите около разполагането на ядрени ракети в Европа и Карибския басейн. Независимо от тези заплахи, НАТО успява да запази стабилността на Западна Европа и да утвърди своята роля като водеща организация за колективна сигурност в условията на Студената война.</w:t>
      </w:r>
    </w:p>
    <w:p w14:paraId="7FA50010" w14:textId="1967C892" w:rsidR="00AD644C"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В края на 60-те и началото на 70-те години НАТО навлиза в период на вътрешни разногласия и стратегически преосмисляния, като недоволството от доминиращата роля на САЩ води до оттеглянето на Франция от военната структура на алианса през 1966 година и преместването на централата от Париж в Брюксел. Успоредно с това настъпва разведряване в отношенията между Запада и СССР, което принуждава НАТО да адаптира своята стратегия, заменяйки доктрината на масирано възмездие с концепцията за „гъвкав отговор“, предвиждаща поетапна реакция на агресия с конвенционални сили и използване на ядрено оръжие само като последна мярка, с цел постигане на по-гъвкави и пропорционални военни действия.</w:t>
      </w:r>
    </w:p>
    <w:p w14:paraId="717E127E" w14:textId="28976567" w:rsidR="00AD644C"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 xml:space="preserve">В контекста на разведряването през 70-те години започват първите сериозни преговори за контрол на ядрените оръжия между САЩ и СССР, като подписването на Договора за ограничаване на стратегическите оръжия (SALT I) през 1972 година бележи важна стъпка към намаляване на риска от ядрена война, подкрепена от НАТО при запазване на принципите на колективна отбрана и модернизация на въоръжените сили. Паралелно с това алиансът засилва вниманието си към икономическата устойчивост и социалното развитие, </w:t>
      </w:r>
      <w:r w:rsidRPr="00AD644C">
        <w:rPr>
          <w:rFonts w:ascii="Times New Roman" w:eastAsia="Times New Roman" w:hAnsi="Times New Roman" w:cs="Times New Roman"/>
          <w:color w:val="313131"/>
          <w:kern w:val="0"/>
          <w14:ligatures w14:val="none"/>
        </w:rPr>
        <w:lastRenderedPageBreak/>
        <w:t>насърчавайки тясно сътрудничество между страните членки в областта на технологиите, разузнаването и инфраструктурата, като остава предпазлив спрямо СССР и продължава да развива отбранителните си способности за гарантиране на сигурността на Западна Европа.</w:t>
      </w:r>
    </w:p>
    <w:p w14:paraId="69E79D9E" w14:textId="688586A0" w:rsidR="003A6894" w:rsidRDefault="003A689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Краят на 70-те години носи нови предизвикателства за НАТО, тъй като разведряването започва да губи инерция, а СССР засилва военните си дейности, включително разполагането на нови ракети със среден обсег в Европа. Това принуждава НАТО да преосмисли стратегическите си приоритети и да подготви отговор на нарастващите заплахи, което поставя основите за нов етап в развитието на алианса през следващото десетилетие.</w:t>
      </w:r>
    </w:p>
    <w:p w14:paraId="564CC464" w14:textId="511A91F0" w:rsidR="00AD644C" w:rsidRPr="00E73B36"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През 80-те години НАТО се сблъсква с нова ескалация на напрежението със СССР заради разполагането на съветските ракети SS-20 в Източна Европа, което води до „двойното решение“ от 1979 година за разполагане на американски ракети „Пършинг II“ и крилати ракети в Западна Европа, ако Съветският съюз не се съгласи на оръжейно съкращение. Въпреки масовите анти-военни протести в страните членки, НАТО остава твърд в изпълнението на тази политика. С идването на Михаил Горбачов и политиките на „гласност“ и „перестройка“, както и с икономическите затруднения на СССР, започват интензивни дипломатически преговори, които завършват през 1987 година с подписването на Договора за ликвидиране на ракетите със среден и малък обсег (INF Treaty), първото съществено споразумение за ядрено разоръжаване, което НАТО подкрепя като важна стъпка към намаляване на напрежението.</w:t>
      </w:r>
    </w:p>
    <w:p w14:paraId="4985F701" w14:textId="10EA8438" w:rsidR="00823FF9" w:rsidRPr="00E73B36" w:rsidRDefault="00823FF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края на 80-те години в Източна Европа започват дълбоки политически промени, които напълно променят международната среда и поставят НАТО пред нова ситуация. Комунистическите режими в Полша, Унгария, Чехословакия, Източна Германия, България и Румъния започват да се разпадат, като гражданите в тези държави масово изразяват несъгласие с тоталитарното управление. През 1989 година Берлинската стена пада, което символизира края на разделението на Европа и открива пътя към обединението на Германия. За НАТО това означава, че основният му противник – Варшавският договор – започва да се разпада, което поставя въпроса за бъдещата роля на алианса в един нов свят, в който заплахата от пряка военна конфронтация със СССР изчезва.</w:t>
      </w:r>
    </w:p>
    <w:p w14:paraId="6D41FAAC" w14:textId="77777777" w:rsidR="00823FF9" w:rsidRDefault="00823FF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С края на Студената война НАТО се изправя пред нова геополитическа реалност, при която основният му противник – Съветският съюз – престава да съществува, а Западът вече не е изправен пред непосредствена военна заплаха. Разпадането на Варшавския договор през 1991 година допълнително поставя въпроса за бъдещата роля на алианса, тъй като неговото първоначално предназначение като отбранителен съюз срещу съветската експанзия изглежда губи своята значимост. В този контекст се засилват дебатите дали НАТО трябва да продължи да съществува и ако да, каква да бъде неговата нова стратегическа насоченост.</w:t>
      </w:r>
    </w:p>
    <w:p w14:paraId="5D777F95" w14:textId="1C718754" w:rsidR="00AD644C"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AD644C">
        <w:rPr>
          <w:rFonts w:ascii="Times New Roman" w:eastAsia="Times New Roman" w:hAnsi="Times New Roman" w:cs="Times New Roman"/>
          <w:color w:val="313131"/>
          <w:kern w:val="0"/>
          <w14:ligatures w14:val="none"/>
        </w:rPr>
        <w:t>През 90-те години НАТО преминава през процес на трансформация, насочвайки се към управление на кризи, стабилизиране на международната среда и участие в мироопазващи мисии извън традиционните си граници, като същевременно започва разширяване чрез инициативи като „Партньорство за мир“. Най-сериозните предизвикателства идват с конфликтите на Балканите, където НАТО се намесва с въздушната операция „Deliberate Force“ през 1995 година за прекратяване на войната в Босна и Херцеговина и с операция „Allied Force“ през 1999 година срещу режима на Милошевич в Косово. Тези интервенции утвърждават алианса като ключов фактор в международната сигурност и бележат прехода му от организация за колективна отбрана към активен участник в глобалното управление на кризи, въпреки възникналите дебати относно легитимността на действията му извън страните членки.</w:t>
      </w:r>
    </w:p>
    <w:p w14:paraId="2B5D269D" w14:textId="77777777" w:rsidR="00AD644C" w:rsidRPr="00E73B36" w:rsidRDefault="00AD644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След края на Студената война НАТО преминава през процес на трансформация, като разширяването на алианса става един от основните му приоритети. Разпадането на Варшавския договор и разпускането на Съветския съюз създават нова геополитическа ситуация, при която държавите от Централна и Източна Европа започват да търсят по-тесни връзки със Запада. За тези страни членството в НАТО се разглежда като гаранция за сигурност и стабилност в условията на политическа и икономическа несигурност, породена от прехода към демокрация и пазарна икономика</w:t>
      </w:r>
      <w:r w:rsidRPr="00E73B36">
        <w:rPr>
          <w:rStyle w:val="FootnoteReference"/>
          <w:rFonts w:ascii="Times New Roman" w:eastAsia="Times New Roman" w:hAnsi="Times New Roman" w:cs="Times New Roman"/>
          <w:color w:val="313131"/>
          <w:kern w:val="0"/>
          <w14:ligatures w14:val="none"/>
        </w:rPr>
        <w:footnoteReference w:id="4"/>
      </w:r>
      <w:r w:rsidRPr="00E73B36">
        <w:rPr>
          <w:rFonts w:ascii="Times New Roman" w:eastAsia="Times New Roman" w:hAnsi="Times New Roman" w:cs="Times New Roman"/>
          <w:color w:val="313131"/>
          <w:kern w:val="0"/>
          <w14:ligatures w14:val="none"/>
        </w:rPr>
        <w:t>.</w:t>
      </w:r>
    </w:p>
    <w:p w14:paraId="0901C561" w14:textId="7B078A33" w:rsidR="000E59E2" w:rsidRPr="00E73B36" w:rsidRDefault="00D72290"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През първото десетилетие на XXI век НАТО продължава своя процес на разширяване с включването на България, Румъния, Словакия, Словения и трите балтийски държави през 2004 година. Това разширяване предизвиква напрежение с Русия, която разглежда присъединяването на бивши съветски съюзници към алианса като заплаха за собствената си сигурност. След 2014 година, когато Русия анексира Крим и започва конфликта в Източна Украйна, НАТО се връща към по-активна отбранителна политика в Източна Европа. Алиансът увеличава военното си присъствие в региона, разгръща многонационални сили в Балтийските държави и Полша и засилва сътрудничеството си с Украйна</w:t>
      </w:r>
      <w:r w:rsidR="00167195" w:rsidRPr="00E73B36">
        <w:rPr>
          <w:rStyle w:val="FootnoteReference"/>
          <w:rFonts w:ascii="Times New Roman" w:eastAsia="Times New Roman" w:hAnsi="Times New Roman" w:cs="Times New Roman"/>
          <w:color w:val="313131"/>
          <w:kern w:val="0"/>
          <w14:ligatures w14:val="none"/>
        </w:rPr>
        <w:footnoteReference w:id="5"/>
      </w:r>
      <w:r w:rsidR="000E59E2" w:rsidRPr="00E73B36">
        <w:rPr>
          <w:rFonts w:ascii="Times New Roman" w:eastAsia="Times New Roman" w:hAnsi="Times New Roman" w:cs="Times New Roman"/>
          <w:color w:val="313131"/>
          <w:kern w:val="0"/>
          <w14:ligatures w14:val="none"/>
        </w:rPr>
        <w:t>.</w:t>
      </w:r>
    </w:p>
    <w:p w14:paraId="23FDD12A" w14:textId="04F3BEA7"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Разширяването на НАТО води до включването на държави с различен военен капацитет, политически системи и икономическо развитие, което изисква значителни усилия за постигане на оперативна съвместимост между армиите на страните членки. Новоприетите държави трябва да приведат своите отбранителни структури в съответствие със стандартите на НАТО, което често е дълъг и сложен процес, изискващ мащабни реформи и значителни инвестиции в модернизация на въоръжените сили. За да улесни този преход, алиансът разработва програми за техническа и финансова подкрепа, като подпомага държавите кандидатки в изграждането на съвместими отбранителни системи и обучава техните военни кадри</w:t>
      </w:r>
      <w:r w:rsidR="00167195" w:rsidRPr="00E73B36">
        <w:rPr>
          <w:rStyle w:val="FootnoteReference"/>
          <w:rFonts w:ascii="Times New Roman" w:eastAsia="Times New Roman" w:hAnsi="Times New Roman" w:cs="Times New Roman"/>
          <w:color w:val="313131"/>
          <w:kern w:val="0"/>
          <w14:ligatures w14:val="none"/>
        </w:rPr>
        <w:footnoteReference w:id="6"/>
      </w:r>
      <w:r w:rsidRPr="00E73B36">
        <w:rPr>
          <w:rFonts w:ascii="Times New Roman" w:eastAsia="Times New Roman" w:hAnsi="Times New Roman" w:cs="Times New Roman"/>
          <w:color w:val="313131"/>
          <w:kern w:val="0"/>
          <w14:ligatures w14:val="none"/>
        </w:rPr>
        <w:t>.</w:t>
      </w:r>
    </w:p>
    <w:p w14:paraId="0ADA3A58" w14:textId="11BE3C32" w:rsidR="008F63C1"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Новата стратегическа концепция на НАТО, приета през 2022 година, отразява нарастващите заплахи пред глобалната и националната сигурност, като поставя акцент върху възпирането и отбраната, управлението на кризи и кооперативната сигурност. В съвременната международна среда, характеризираща се със стратегическа конкуренция, конфликтни зони и технологични предизвикателства, НАТО адаптира своята политика и механизми, за да остане надежден стълб на колективната отбрана и стабилността</w:t>
      </w:r>
      <w:r w:rsidR="00167195" w:rsidRPr="00E73B36">
        <w:rPr>
          <w:rStyle w:val="FootnoteReference"/>
          <w:rFonts w:ascii="Times New Roman" w:eastAsia="Times New Roman" w:hAnsi="Times New Roman" w:cs="Times New Roman"/>
          <w:color w:val="313131"/>
          <w:kern w:val="0"/>
          <w14:ligatures w14:val="none"/>
        </w:rPr>
        <w:footnoteReference w:id="7"/>
      </w:r>
      <w:r w:rsidRPr="00E73B36">
        <w:rPr>
          <w:rFonts w:ascii="Times New Roman" w:eastAsia="Times New Roman" w:hAnsi="Times New Roman" w:cs="Times New Roman"/>
          <w:color w:val="313131"/>
          <w:kern w:val="0"/>
          <w14:ligatures w14:val="none"/>
        </w:rPr>
        <w:t>.</w:t>
      </w:r>
    </w:p>
    <w:p w14:paraId="162C9DF8" w14:textId="4FDD4D3F" w:rsidR="002E54E1" w:rsidRPr="00E73B36" w:rsidRDefault="002E54E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2E54E1">
        <w:rPr>
          <w:rFonts w:ascii="Times New Roman" w:eastAsia="Times New Roman" w:hAnsi="Times New Roman" w:cs="Times New Roman"/>
          <w:color w:val="313131"/>
          <w:kern w:val="0"/>
          <w14:ligatures w14:val="none"/>
        </w:rPr>
        <w:t xml:space="preserve">Новата стратегическа концепция на НАТО отразява дълбока адаптация на алианса към променящата се международна среда, като основните му задачи остават възпирането и </w:t>
      </w:r>
      <w:r w:rsidRPr="002E54E1">
        <w:rPr>
          <w:rFonts w:ascii="Times New Roman" w:eastAsia="Times New Roman" w:hAnsi="Times New Roman" w:cs="Times New Roman"/>
          <w:color w:val="313131"/>
          <w:kern w:val="0"/>
          <w14:ligatures w14:val="none"/>
        </w:rPr>
        <w:lastRenderedPageBreak/>
        <w:t>отбраната, базирани на ядрени, конвенционални и противоракетни способности, допълнени с акцент върху космическата сигурност и киберсигурността. В отговор на агресията на Русия и глобалните предизвикателства, НАТО прилага 360-градусов подход към сигурността, засилва военното си присъствие на източния фланг, модернизира командните си структури и повишава оперативната готовност на силите си. На срещата на върха в Мадрид през 2022 година се вземат решения за укрепване на възпиращата позиция, разширяване на бойните групи и внедряване на нов модел на въоръжените сили. Паралелно, НАТО засилва механизмите си за управление на кризи и сътрудничеството си с организации като ООН и ЕС, като акцентира и върху нови предизвикателства като климатичните промени и продоволствената несигурност. Алиансът запазва ядрения елемент в своята стратегия, като същевременно се ангажира с контрол върху въоръженията и неразпространението. В политиката на кооперативна сигурност НАТО поддържа отворени врати за нови членове, но проявява предпазливост спрямо Украйна, Молдова и Грузия, като същевременно задълбочава партньорството си с ЕС и разширява стратегическите си връзки с държави от Индо-Тихоокеанския регион като Австралия, Япония, Нова Зеландия и Южна Корея, на фона на увеличеното внимание към предизвикателствата, свързани с Китай. НАТО инвестира активно в технологични иновации чрез инициативи като DIANA и фонд за иновации, за да поддържа технологично предимство, и настоява съюзниците да увеличат разходите си за отбрана до поне 2% от БВП. Войната в Украйна радикално променя отношенията между НАТО и Киев, като алиансът засилва военната си подкрепа за Украйна чрез предоставяне на оръжия, финансова помощ и разузнавателна информация, но продължава да избягва пряка военна намеса, за да предотврати директна конфронтация с Русия.</w:t>
      </w:r>
    </w:p>
    <w:p w14:paraId="3008134B" w14:textId="33A81368"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Решаващ</w:t>
      </w:r>
      <w:r w:rsidR="002E54E1">
        <w:rPr>
          <w:rFonts w:ascii="Times New Roman" w:eastAsia="Times New Roman" w:hAnsi="Times New Roman" w:cs="Times New Roman"/>
          <w:color w:val="313131"/>
          <w:kern w:val="0"/>
          <w14:ligatures w14:val="none"/>
        </w:rPr>
        <w:t xml:space="preserve"> поврат в отношенията с Русия настъпва по време на</w:t>
      </w:r>
      <w:r w:rsidRPr="00E73B36">
        <w:rPr>
          <w:rFonts w:ascii="Times New Roman" w:eastAsia="Times New Roman" w:hAnsi="Times New Roman" w:cs="Times New Roman"/>
          <w:color w:val="313131"/>
          <w:kern w:val="0"/>
          <w14:ligatures w14:val="none"/>
        </w:rPr>
        <w:t xml:space="preserve"> срещата на върха на НАТО във Вилнюс през 2023 година, на която украинският президент Володимир Зеленски настоява за ясна перспектива за членство. Въпреки че получава уверения за продължаваща военна подкрепа и задълбочаване на сътрудничеството, НАТО не предоставя конкретен график за присъединяване, основавайки се на аргумента, че приемането на Украйна в алианса докато войната все още продължава би означавало автоматично въвличане на НАТО в конфликта. В същото време Западът остава разделен относно бъдещите стъпки – </w:t>
      </w:r>
      <w:r w:rsidRPr="00E73B36">
        <w:rPr>
          <w:rFonts w:ascii="Times New Roman" w:eastAsia="Times New Roman" w:hAnsi="Times New Roman" w:cs="Times New Roman"/>
          <w:color w:val="313131"/>
          <w:kern w:val="0"/>
          <w14:ligatures w14:val="none"/>
        </w:rPr>
        <w:lastRenderedPageBreak/>
        <w:t>докато някои страни, като Полша и балтийските държави, настояват за ускорена интеграция на Украйна, други, включително Германия и САЩ, предпочитат по-предпазлив подход, фокусиран върху дългосрочна военна подкрепа, без незабавни ангажименти за членство.</w:t>
      </w:r>
    </w:p>
    <w:p w14:paraId="40D8E91B" w14:textId="77777777"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Позицията на Съединените щати играе ключова роля в този процес, а политическите разногласия в страната допълнително усложняват ситуацията. Бившият президент Доналд Тръмп многократно изразява скептицизъм по отношение на американските ангажименти към НАТО, като дори заплашва да намали подкрепата за алианса или да изтегли САЩ от него, ако бъде преизбран. Това предизвиква сериозни опасения сред европейските съюзници, които разчитат на американската военна мощ като основен гарант за сигурността на континента. В същото време Тръмп нееднократно поставя под въпрос обема на помощта за Украйна и критикува Зеленски за твърде големите му очаквания към САЩ. Още по време на първия му мандат отношението към Украйна предизвиква политически скандал, когато става ясно, че Тръмп оказва натиск върху Зеленски да разследва политическия си опонент Джо Байдън в замяна на военна помощ, което довежда до първия му импийчмънт.</w:t>
      </w:r>
    </w:p>
    <w:p w14:paraId="5C7387E0" w14:textId="77777777"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Въпреки политическите сътресения в САЩ, НАТО продължава да увеличава военната си помощ за Украйна и да задълбочава интеграцията ѝ в своите структури. Алиансът разширява програмите за обучение на украинските въоръжени сили, предоставя напреднали военни технологии и създава нови механизми за дългосрочна военна подкрепа. Същевременно в Европа се увеличава натискът за стратегическа автономия, като някои лидери, включително френският президент Еманюел Макрон, призовават ЕС да засили собствените си отбранителни способности, за да не бъде изцяло зависим от политическите промени във Вашингтон.</w:t>
      </w:r>
    </w:p>
    <w:p w14:paraId="573078C3" w14:textId="77777777"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Грузия остава в сходна ситуация, като също се стреми към членство в НАТО, но се сблъсква с постоянната съпротива на Русия. След войната между Русия и Грузия през 2008 година Москва окупира и фактически контролира две грузински територии – Абхазия и Южна Осетия. Подобно на Украйна, и Грузия не получава ясен график за членство, но НАТО продължава да я подкрепя чрез съвместни военни учения и съветнически мисии.</w:t>
      </w:r>
    </w:p>
    <w:p w14:paraId="7995A941" w14:textId="77777777" w:rsidR="000E59E2" w:rsidRPr="00E73B36" w:rsidRDefault="000E59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Разширяването на НАТО през последните десетилетия затвърждава алианса като основен стълб на сигурността в Европа и демонстрира способността му да се адаптира към новите геополитически реалности. Войната в Украйна и нарастващото напрежение с Русия превръщат НАТО в още по-ключов играч в международната политика, но същевременно поставят алианса пред трудни решения, свързани с бъдещето на евроатлантическата сигурност, баланса на силите в Европа и дългосрочните ангажименти на неговите членове.</w:t>
      </w:r>
    </w:p>
    <w:p w14:paraId="44F1FE42" w14:textId="77777777" w:rsidR="00406EFD" w:rsidRPr="00E73B36" w:rsidRDefault="00406EFD"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rPr>
        <w:t>1.2. История на Европейския съюз</w:t>
      </w:r>
    </w:p>
    <w:p w14:paraId="23BB172D" w14:textId="77777777" w:rsidR="00A73FD7" w:rsidRDefault="00A73FD7"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След края на Втората световна война Европа е изправена пред предизвикателството да се възстанови и да преодолее дълбоките разделения, довели до опустошителния конфликт. Основен приоритет през този период става изграждането на механизми, които да гарантират дългосрочен мир и сътрудничество между държавите, с цел предотвратяване на бъдещи войни. Именно в този контекст, на 9 май 1950 година, френският министър на вътрешните работи Робер Шуман представя историческата си декларация, станала известна като Декларацията „Шуман“. В нея той предлага новаторска концепция за онова време – създаването на международна организация, която да обедини и постави под общ контрол стратегически индустрии, като добива на въглища и производството на стомана.</w:t>
      </w:r>
      <w:r w:rsidR="00587FFB" w:rsidRPr="00E73B36">
        <w:rPr>
          <w:rFonts w:ascii="Times New Roman" w:eastAsia="Times New Roman" w:hAnsi="Times New Roman" w:cs="Times New Roman"/>
          <w:color w:val="313131"/>
          <w:kern w:val="0"/>
          <w:vertAlign w:val="superscript"/>
          <w14:ligatures w14:val="none"/>
        </w:rPr>
        <w:footnoteReference w:id="8"/>
      </w:r>
    </w:p>
    <w:p w14:paraId="5468B3FB" w14:textId="77777777" w:rsidR="002E54E1" w:rsidRDefault="002E54E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2E54E1">
        <w:rPr>
          <w:rFonts w:ascii="Times New Roman" w:eastAsia="Times New Roman" w:hAnsi="Times New Roman" w:cs="Times New Roman"/>
          <w:color w:val="313131"/>
          <w:kern w:val="0"/>
          <w14:ligatures w14:val="none"/>
        </w:rPr>
        <w:t>Създаването на Европейската общност за въглища и стомана (ЕОВС) бележи началото на европейската интеграция, като шест държави – Франция, Германия, Италия, Белгия, Люксембург и Нидерландия – обединяват усилия за постигане на трайна политическа стабилност чрез икономическо сътрудничество. ЕОВС поставя добива на въглища и производството на стомана под наднационален контрол с цел стимулиране на икономическия растеж и предотвратяване на бъдещи конфликти, като по този начин Декларацията „Шуман“ полага основите на идеята за единна Европа, която впоследствие ще доведе до създаването на Европейския съюз.</w:t>
      </w:r>
    </w:p>
    <w:p w14:paraId="1E172956" w14:textId="5B4F718E" w:rsidR="00A73FD7" w:rsidRPr="00E73B36" w:rsidRDefault="00587FFB" w:rsidP="00926278">
      <w:pPr>
        <w:spacing w:before="100" w:beforeAutospacing="1" w:after="100" w:afterAutospacing="1" w:line="360" w:lineRule="auto"/>
        <w:ind w:firstLine="360"/>
        <w:jc w:val="both"/>
        <w:rPr>
          <w:rFonts w:ascii="Times New Roman" w:hAnsi="Times New Roman" w:cs="Times New Roman"/>
        </w:rPr>
      </w:pPr>
      <w:r w:rsidRPr="00E73B36">
        <w:rPr>
          <w:rFonts w:ascii="Times New Roman" w:hAnsi="Times New Roman" w:cs="Times New Roman"/>
        </w:rPr>
        <w:lastRenderedPageBreak/>
        <w:t>На 25 март 1957 г. в Рим са подписани два основополагащи договора, които значително разширяват рамката на европейската интеграция</w:t>
      </w:r>
      <w:r w:rsidRPr="00E73B36">
        <w:rPr>
          <w:rStyle w:val="FootnoteReference"/>
          <w:rFonts w:ascii="Times New Roman" w:hAnsi="Times New Roman" w:cs="Times New Roman"/>
        </w:rPr>
        <w:footnoteReference w:id="9"/>
      </w:r>
      <w:r w:rsidRPr="00E73B36">
        <w:rPr>
          <w:rFonts w:ascii="Times New Roman" w:hAnsi="Times New Roman" w:cs="Times New Roman"/>
        </w:rPr>
        <w:t xml:space="preserve">. </w:t>
      </w:r>
      <w:r w:rsidR="002E54E1" w:rsidRPr="002E54E1">
        <w:rPr>
          <w:rFonts w:ascii="Times New Roman" w:hAnsi="Times New Roman" w:cs="Times New Roman"/>
        </w:rPr>
        <w:t>Подписването на Римските договори води до създаването на Европейската икономическа общност (ЕИО) и Европейската общност за атомна енергия (Евратом), с основна цел изграждането на общ пазар и развитието на мирното използване на ядрената енергия в шестте държави основателки. Те полагат основите за по-нататъшна икономическа и политическа интеграция, като създават институционална рамка за управление на новите общности. Поради необходимостта от по-ефективна координация, през 1965 година е подписан Договорът за сливане, който обединява институциите на трите общности в единна административна структура, оптимизира процеса на вземане на решения и засилва сътрудничеството. Римските договори поставят основите за бъдещото създаване на Европейския съюз, въплъщавайки визията за обединена и стабилна Европа, изградена върху икономическо взаимодействие и институционална солидарност.</w:t>
      </w:r>
    </w:p>
    <w:p w14:paraId="03F1DD96" w14:textId="296F3CBD" w:rsidR="00FE0234"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През 1993 г. с подписването на Договора за Европейския съюз, известен като Договор от Маастрихт</w:t>
      </w:r>
      <w:r w:rsidRPr="00E73B36">
        <w:rPr>
          <w:rStyle w:val="FootnoteReference"/>
          <w:rFonts w:ascii="Times New Roman" w:hAnsi="Times New Roman" w:cs="Times New Roman"/>
        </w:rPr>
        <w:footnoteReference w:id="10"/>
      </w:r>
      <w:r w:rsidRPr="00E73B36">
        <w:rPr>
          <w:rFonts w:ascii="Times New Roman" w:hAnsi="Times New Roman" w:cs="Times New Roman"/>
        </w:rPr>
        <w:t xml:space="preserve">, Европейската общност прави решаваща стъпка към превръщането си в Европейски съюз (ЕС). </w:t>
      </w:r>
      <w:r w:rsidR="002E54E1" w:rsidRPr="002E54E1">
        <w:rPr>
          <w:rFonts w:ascii="Times New Roman" w:hAnsi="Times New Roman" w:cs="Times New Roman"/>
        </w:rPr>
        <w:t>Маастрихтският договор поставя началото на нов етап в европейската интеграция, като създава европейско гражданство с права за свободно движение, пребиваване и участие в избори във всички държави членки, полага основите на обща външна политика и политика на сигурност, и въвежда механизми за полицейско и съдебно сътрудничество в борбата с трансграничната престъпност. През 1993 година Европейският съвет в Копенхаген приема критерии за членство в ЕС, които изискват стабилни демократични институции, функционираща пазарна икономика и административен капацитет за изпълнение на задълженията в рамките на съюза, като така се очертават ясни стандарти за бъдещото разширяване на Европейския съюз.</w:t>
      </w:r>
    </w:p>
    <w:p w14:paraId="18D2ABA7"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lastRenderedPageBreak/>
        <w:t>През 1995 г. ЕС отново се разширява, като към него се присъединяват Австрия, Финландия и Швеция</w:t>
      </w:r>
      <w:r w:rsidRPr="00E73B36">
        <w:rPr>
          <w:rStyle w:val="FootnoteReference"/>
          <w:rFonts w:ascii="Times New Roman" w:hAnsi="Times New Roman" w:cs="Times New Roman"/>
        </w:rPr>
        <w:footnoteReference w:id="11"/>
      </w:r>
      <w:r w:rsidRPr="00E73B36">
        <w:rPr>
          <w:rFonts w:ascii="Times New Roman" w:hAnsi="Times New Roman" w:cs="Times New Roman"/>
        </w:rPr>
        <w:t>. Тези държави укрепват съюза с богатството на своите демократични традиции, икономическа стабилност и културно разнообразие. Това разширение е важно не само за засилването на единството в рамките на съюза, но и за укрепването на неговата роля в международните отношения.</w:t>
      </w:r>
    </w:p>
    <w:p w14:paraId="63762943" w14:textId="2B79DCC7" w:rsidR="00FE0234" w:rsidRPr="00E73B36" w:rsidRDefault="00FE0234" w:rsidP="00926278">
      <w:pPr>
        <w:spacing w:line="360" w:lineRule="auto"/>
        <w:ind w:firstLine="708"/>
        <w:jc w:val="both"/>
        <w:rPr>
          <w:rFonts w:ascii="Times New Roman" w:hAnsi="Times New Roman" w:cs="Times New Roman"/>
        </w:rPr>
      </w:pPr>
      <w:r w:rsidRPr="00E73B36">
        <w:rPr>
          <w:rFonts w:ascii="Times New Roman" w:hAnsi="Times New Roman" w:cs="Times New Roman"/>
        </w:rPr>
        <w:t xml:space="preserve">На 1 януари 1999 г. Европейският съюз предприема значителна стъпка напред с въвеждането на еврото като обща валута. В първоначалния си етап еврото се използва само за счетоводни цели и електронни транзакции, но през 2002 г. започва да циркулира като физическо платежно средство, заменяйки националните валути в страните от еврозоната. </w:t>
      </w:r>
    </w:p>
    <w:p w14:paraId="34D323F6" w14:textId="5BA12E76" w:rsidR="00FE0234"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Договорът от Лисабон, подписан на 13 декември 2007 г. и влязъл в сила на 1 декември 2009 г., е ключов момент в историята на европейската интеграция, като модернизира и укрепва институционалната рамка на Европейския съюз (ЕС)</w:t>
      </w:r>
      <w:r w:rsidRPr="00E73B36">
        <w:rPr>
          <w:rStyle w:val="FootnoteReference"/>
          <w:rFonts w:ascii="Times New Roman" w:hAnsi="Times New Roman" w:cs="Times New Roman"/>
        </w:rPr>
        <w:footnoteReference w:id="12"/>
      </w:r>
      <w:r w:rsidRPr="00E73B36">
        <w:rPr>
          <w:rFonts w:ascii="Times New Roman" w:hAnsi="Times New Roman" w:cs="Times New Roman"/>
        </w:rPr>
        <w:t xml:space="preserve">. </w:t>
      </w:r>
      <w:r w:rsidR="002E54E1" w:rsidRPr="002E54E1">
        <w:rPr>
          <w:rFonts w:ascii="Times New Roman" w:hAnsi="Times New Roman" w:cs="Times New Roman"/>
        </w:rPr>
        <w:t>Договорът от Лисабон цели да направи Европейския съюз по-ефективен, демократичен и адаптивен, като заменя проекта за Европейска конституция и въвежда реформи, които засилват ролята на Европейския парламент, укрепват позицията на националните парламенти и създават нови институционални постове за по-добра координация и международно влияние. Договорът разширява правомощията на ЕС в области като климатичните промени, енергетиката, борбата с тероризма и защитата на човешките права, като Хартата на основните права става юридически обвързваща. Създаването на единна правна личност на ЕС, опростяването на институционалната структура и разширяването на вземането на решения чрез квалифицирано мнозинство допълнително повишават ефективността на съюза. Така Договорът от Лисабон укрепва демократичните принципи, прозрачността и способността на ЕС да реагира на глобалните предизвикателства, утвърждавайки го като силен и ориентиран към гражданите съюз.</w:t>
      </w:r>
    </w:p>
    <w:p w14:paraId="1DF797B9"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lastRenderedPageBreak/>
        <w:t>Периодът между 2010 и 2020 г. е белязан от значителни предизвикателства и важни събития, които оказват трайно въздействие върху Европейския съюз (ЕС). На 1 януари 2013 г. Хърватия официално става 28-ата държава членка на ЕС, отбелязвайки още една крачка в процеса на разширяване на съюза</w:t>
      </w:r>
      <w:r w:rsidRPr="00E73B36">
        <w:rPr>
          <w:rStyle w:val="FootnoteReference"/>
          <w:rFonts w:ascii="Times New Roman" w:hAnsi="Times New Roman" w:cs="Times New Roman"/>
        </w:rPr>
        <w:footnoteReference w:id="13"/>
      </w:r>
      <w:r w:rsidRPr="00E73B36">
        <w:rPr>
          <w:rFonts w:ascii="Times New Roman" w:hAnsi="Times New Roman" w:cs="Times New Roman"/>
        </w:rPr>
        <w:t>. Това присъединяване е символ на успеха на интеграцията в региона на Балканите и засилва ролята на ЕС като фактор за стабилност и просперитет в тази част на Европа.</w:t>
      </w:r>
    </w:p>
    <w:p w14:paraId="3E84546C"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В същото време ЕС се изправя пред последиците от световната икономическа и финансова криза, която оказва сериозно въздействие върху икономиките на държавите членки. Тези предизвикателства засилват необходимостта от координирани действия и солидарност в рамките на съюза, но също така водят до увеличаване на евроскептицизма и популистката реторика в много страни</w:t>
      </w:r>
      <w:r w:rsidRPr="00E73B36">
        <w:rPr>
          <w:rStyle w:val="FootnoteReference"/>
          <w:rFonts w:ascii="Times New Roman" w:hAnsi="Times New Roman" w:cs="Times New Roman"/>
        </w:rPr>
        <w:footnoteReference w:id="14"/>
      </w:r>
      <w:r w:rsidRPr="00E73B36">
        <w:rPr>
          <w:rFonts w:ascii="Times New Roman" w:hAnsi="Times New Roman" w:cs="Times New Roman"/>
        </w:rPr>
        <w:t>. Възникват и нови проблеми, като мигрантската криза, която достига своя връх през 2015 г., когато стотици хиляди хора, бягащи от войни и бедност, търсят убежище в Европа. Това предизвиква сериозни разделения между държавите членки относно политиките за прием и разпределение на мигрантите</w:t>
      </w:r>
      <w:r w:rsidRPr="00E73B36">
        <w:rPr>
          <w:rStyle w:val="FootnoteReference"/>
          <w:rFonts w:ascii="Times New Roman" w:hAnsi="Times New Roman" w:cs="Times New Roman"/>
        </w:rPr>
        <w:footnoteReference w:id="15"/>
      </w:r>
      <w:r w:rsidRPr="00E73B36">
        <w:rPr>
          <w:rFonts w:ascii="Times New Roman" w:hAnsi="Times New Roman" w:cs="Times New Roman"/>
        </w:rPr>
        <w:t>.</w:t>
      </w:r>
    </w:p>
    <w:p w14:paraId="75A78042"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На фона на тези вътрешни и външни предизвикателства се засилва и геополитическото напрежение, което подчертава необходимостта ЕС да говори с единен глас на международната сцена. Въпреки това, липсата на консенсус в много случаи затруднява способността на съюза да действа като единен субект в глобалната политика.</w:t>
      </w:r>
    </w:p>
    <w:p w14:paraId="35F059B1"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Едно от най-значимите събития през този период е референдумът в Обединеното кралство на 23 юни 2016 г., който определя бъдещето на страната в ЕС. С резултат от 52% в полза на напускането, Брекзит става реалност, а на 31 януари 2020 г. Великобритания официално напуска ЕС, превръщайки се в първата държава, която напуска общността</w:t>
      </w:r>
      <w:r w:rsidRPr="00E73B36">
        <w:rPr>
          <w:rStyle w:val="FootnoteReference"/>
          <w:rFonts w:ascii="Times New Roman" w:hAnsi="Times New Roman" w:cs="Times New Roman"/>
        </w:rPr>
        <w:footnoteReference w:id="16"/>
      </w:r>
      <w:r w:rsidRPr="00E73B36">
        <w:rPr>
          <w:rFonts w:ascii="Times New Roman" w:hAnsi="Times New Roman" w:cs="Times New Roman"/>
        </w:rPr>
        <w:t xml:space="preserve">. </w:t>
      </w:r>
      <w:r w:rsidRPr="00E73B36">
        <w:rPr>
          <w:rFonts w:ascii="Times New Roman" w:hAnsi="Times New Roman" w:cs="Times New Roman"/>
        </w:rPr>
        <w:lastRenderedPageBreak/>
        <w:t>Това събитие поражда сериозни дебати относно бъдещето на европейската интеграция, като поставя на преден план въпроси за баланса между националния суверенитет и членството в съюза.</w:t>
      </w:r>
    </w:p>
    <w:p w14:paraId="60AD9C90" w14:textId="77777777" w:rsidR="00587FFB" w:rsidRPr="00E73B36" w:rsidRDefault="00587FFB" w:rsidP="00926278">
      <w:pPr>
        <w:spacing w:line="360" w:lineRule="auto"/>
        <w:ind w:firstLine="708"/>
        <w:jc w:val="both"/>
        <w:rPr>
          <w:rFonts w:ascii="Times New Roman" w:hAnsi="Times New Roman" w:cs="Times New Roman"/>
        </w:rPr>
      </w:pPr>
      <w:r w:rsidRPr="00E73B36">
        <w:rPr>
          <w:rFonts w:ascii="Times New Roman" w:hAnsi="Times New Roman" w:cs="Times New Roman"/>
        </w:rPr>
        <w:t>Този период е изпълнен с предизвикателства, които подлагат на изпитание устойчивостта на ЕС и способността му да реагира на кризисни ситуации. Въпреки трудностите, съюзът продължава да се стреми към укрепване на своето единство и към намиране на решения, които да отговорят на нуждите на своите граждани в един променящ се свят.</w:t>
      </w:r>
    </w:p>
    <w:p w14:paraId="7E960F26" w14:textId="77777777" w:rsidR="008D7ADB" w:rsidRPr="00E73B36" w:rsidRDefault="008D7ADB" w:rsidP="00926278">
      <w:pPr>
        <w:spacing w:line="360" w:lineRule="auto"/>
        <w:ind w:firstLine="708"/>
        <w:jc w:val="both"/>
        <w:rPr>
          <w:rFonts w:ascii="Times New Roman" w:hAnsi="Times New Roman" w:cs="Times New Roman"/>
        </w:rPr>
      </w:pPr>
      <w:r w:rsidRPr="00E73B36">
        <w:rPr>
          <w:rFonts w:ascii="Times New Roman" w:hAnsi="Times New Roman" w:cs="Times New Roman"/>
        </w:rPr>
        <w:t>От 2020 г. до настоящия момент Европейският съюз (ЕС) преживява интензивна динамика в процесите на интеграция, повлияна от поредица от глобални и регионални предизвикателства. Пандемията от COVID-19, започнала през 2020 г., поставя ЕС пред изпитание, което изисква засилено сътрудничество между държавите членки. В отговор съюзът приема мащабни инициативи, като въвеждането на Фонда за възстановяване и устойчивост („NextGenerationEU“), който предоставя значителна финансова подкрепа за справяне с икономическите и социалните последици от пандемията. Този фонд е проява на солидарност и новаторски подход към икономическото управление, тъй като за първи път ЕС издава общи дългови инструменти, за да осигури финансиране за възстановяването</w:t>
      </w:r>
      <w:r w:rsidRPr="00E73B36">
        <w:rPr>
          <w:rStyle w:val="FootnoteReference"/>
          <w:rFonts w:ascii="Times New Roman" w:hAnsi="Times New Roman" w:cs="Times New Roman"/>
        </w:rPr>
        <w:footnoteReference w:id="17"/>
      </w:r>
      <w:r w:rsidRPr="00E73B36">
        <w:rPr>
          <w:rFonts w:ascii="Times New Roman" w:hAnsi="Times New Roman" w:cs="Times New Roman"/>
        </w:rPr>
        <w:t>.</w:t>
      </w:r>
    </w:p>
    <w:p w14:paraId="5DD028E7" w14:textId="77777777" w:rsidR="008D7ADB" w:rsidRPr="00E73B36" w:rsidRDefault="008D7ADB" w:rsidP="00926278">
      <w:pPr>
        <w:spacing w:line="360" w:lineRule="auto"/>
        <w:ind w:firstLine="708"/>
        <w:jc w:val="both"/>
        <w:rPr>
          <w:rFonts w:ascii="Times New Roman" w:hAnsi="Times New Roman" w:cs="Times New Roman"/>
        </w:rPr>
      </w:pPr>
      <w:r w:rsidRPr="00E73B36">
        <w:rPr>
          <w:rFonts w:ascii="Times New Roman" w:hAnsi="Times New Roman" w:cs="Times New Roman"/>
        </w:rPr>
        <w:t>В допълнение към пандемията, геополитическите предизвикателства също оказват влияние върху интеграцията. Конфликтът в Украйна, започнал през 2022 г., довежда до безпрецедентни мерки за подкрепа от страна на ЕС, включително налагане на санкции срещу Русия, предоставяне на хуманитарна и военна помощ на Украйна и усилия за енергийна независимост от руските ресурси</w:t>
      </w:r>
      <w:r w:rsidRPr="00E73B36">
        <w:rPr>
          <w:rStyle w:val="FootnoteReference"/>
          <w:rFonts w:ascii="Times New Roman" w:hAnsi="Times New Roman" w:cs="Times New Roman"/>
        </w:rPr>
        <w:footnoteReference w:id="18"/>
      </w:r>
      <w:r w:rsidRPr="00E73B36">
        <w:rPr>
          <w:rFonts w:ascii="Times New Roman" w:hAnsi="Times New Roman" w:cs="Times New Roman"/>
        </w:rPr>
        <w:t>. Тези събития ускоряват интеграцията в областите на отбраната и енергетиката, като държавите членки работят заедно за диверсификация на енергийните източници и укрепване на общата сигурност.</w:t>
      </w:r>
    </w:p>
    <w:p w14:paraId="15BE08C0" w14:textId="77777777" w:rsidR="008D7ADB" w:rsidRPr="00E73B36" w:rsidRDefault="008D7ADB" w:rsidP="00926278">
      <w:pPr>
        <w:spacing w:line="360" w:lineRule="auto"/>
        <w:ind w:firstLine="708"/>
        <w:jc w:val="both"/>
        <w:rPr>
          <w:rFonts w:ascii="Times New Roman" w:hAnsi="Times New Roman" w:cs="Times New Roman"/>
        </w:rPr>
      </w:pPr>
      <w:r w:rsidRPr="00E73B36">
        <w:rPr>
          <w:rFonts w:ascii="Times New Roman" w:hAnsi="Times New Roman" w:cs="Times New Roman"/>
        </w:rPr>
        <w:t xml:space="preserve">Зелената трансформация и климатичните политики са друга основна посока на интеграцията. Европейският зелен пакт остава централен приоритет, като ЕС засилва </w:t>
      </w:r>
      <w:r w:rsidRPr="00E73B36">
        <w:rPr>
          <w:rFonts w:ascii="Times New Roman" w:hAnsi="Times New Roman" w:cs="Times New Roman"/>
        </w:rPr>
        <w:lastRenderedPageBreak/>
        <w:t>усилията за постигане на въглеродна неутралност до 2050 г. и въвежда нови регулации в енергийния, транспортния и индустриалния сектор</w:t>
      </w:r>
      <w:r w:rsidRPr="00E73B36">
        <w:rPr>
          <w:rStyle w:val="FootnoteReference"/>
          <w:rFonts w:ascii="Times New Roman" w:hAnsi="Times New Roman" w:cs="Times New Roman"/>
        </w:rPr>
        <w:footnoteReference w:id="19"/>
      </w:r>
      <w:r w:rsidRPr="00E73B36">
        <w:rPr>
          <w:rFonts w:ascii="Times New Roman" w:hAnsi="Times New Roman" w:cs="Times New Roman"/>
        </w:rPr>
        <w:t>. Програмата за устойчиво развитие е съпътствана от инвестиции в иновации и технологии, които подпомагат прехода към екологично устойчива икономика.</w:t>
      </w:r>
    </w:p>
    <w:p w14:paraId="366277A1" w14:textId="2A94BB35" w:rsidR="008D7ADB" w:rsidRPr="00E73B36" w:rsidRDefault="008D7ADB" w:rsidP="00926278">
      <w:pPr>
        <w:spacing w:line="360" w:lineRule="auto"/>
        <w:ind w:firstLine="708"/>
        <w:jc w:val="both"/>
        <w:rPr>
          <w:rFonts w:ascii="Times New Roman" w:hAnsi="Times New Roman" w:cs="Times New Roman"/>
        </w:rPr>
      </w:pPr>
      <w:r w:rsidRPr="00E73B36">
        <w:rPr>
          <w:rFonts w:ascii="Times New Roman" w:hAnsi="Times New Roman" w:cs="Times New Roman"/>
        </w:rPr>
        <w:t>Процесите на интеграция след 2020 г. демонстрират гъвкавостта и способността на ЕС да реагира на съвременните предизвикателства. Въпреки различията между държавите членки, съюзът показва значителен напредък в областите на здравеопазването, отбраната, енергетиката, климата и дигитализацията, като засилва ролята си както като глобален играч, така и като стабилна общност за своите граждани.</w:t>
      </w:r>
    </w:p>
    <w:p w14:paraId="1B67D77D" w14:textId="52438C38"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t>Политическото състояние на Европейския съюз в началото на 2025 г. е белязано от прехода към нов институционален цикъл, започнал с встъпването в длъжност на новата Европейска комисия на 1 декември 2024 г. В този контекст основните политически предизвикателства пред Съюза са свързани със стратегическите приоритети, определени от Комисията на Урсула фон дер Лайен за втория ѝ мандат, предстоящите дебати за бъдещето на интеграцията, както и влиянието на глобалните геополитически промени върху вътрешната стабилност на ЕС</w:t>
      </w:r>
      <w:r w:rsidRPr="00E73B36">
        <w:rPr>
          <w:rStyle w:val="FootnoteReference"/>
          <w:rFonts w:ascii="Times New Roman" w:eastAsia="Times New Roman" w:hAnsi="Times New Roman" w:cs="Times New Roman"/>
          <w:kern w:val="0"/>
          <w14:ligatures w14:val="none"/>
        </w:rPr>
        <w:footnoteReference w:id="20"/>
      </w:r>
      <w:r w:rsidRPr="00E73B36">
        <w:rPr>
          <w:rFonts w:ascii="Times New Roman" w:eastAsia="Times New Roman" w:hAnsi="Times New Roman" w:cs="Times New Roman"/>
          <w:kern w:val="0"/>
          <w14:ligatures w14:val="none"/>
        </w:rPr>
        <w:t>.</w:t>
      </w:r>
    </w:p>
    <w:p w14:paraId="79C2A9BA" w14:textId="797FC568"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t>Новият политически цикъл започва в обстановка на висока степен на несигурност, като ключовите институции на ЕС трябва да отговорят на растящото обществено недоволство, породено от икономическите трудности и социалното разделение. Според Käppeli, Gavas и Granito (2025) политическата обстановка в ЕС е усложнена от засилващите се евроскептични и националистически движения, които увеличават присъствието си в Европейския парламент след изборите през 2024 г. Този процес ограничава възможностите за прокарване на амбициозни законодателни инициативи и принуждава основните политически групи да търсят по-широки коалиции</w:t>
      </w:r>
      <w:r w:rsidRPr="00E73B36">
        <w:rPr>
          <w:rStyle w:val="FootnoteReference"/>
          <w:rFonts w:ascii="Times New Roman" w:eastAsia="Times New Roman" w:hAnsi="Times New Roman" w:cs="Times New Roman"/>
          <w:kern w:val="0"/>
          <w14:ligatures w14:val="none"/>
        </w:rPr>
        <w:footnoteReference w:id="21"/>
      </w:r>
      <w:r w:rsidRPr="00E73B36">
        <w:rPr>
          <w:rFonts w:ascii="Times New Roman" w:eastAsia="Times New Roman" w:hAnsi="Times New Roman" w:cs="Times New Roman"/>
          <w:kern w:val="0"/>
          <w14:ligatures w14:val="none"/>
        </w:rPr>
        <w:t>.</w:t>
      </w:r>
    </w:p>
    <w:p w14:paraId="3BF6442C" w14:textId="1A9C3535"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lastRenderedPageBreak/>
        <w:t>Един от най-големите политически приоритети за ЕС през 2025 г. е укрепването на европейската сигурност и отбранителните способности. В отговор на войната в Украйна и нарастващите глобални заплахи Европейският съюз поставя акцент върху задълбочаването на интеграцията в областта на отбраната, като част от новата стратегия за европейската промишлена военна база (EDIS), представена в началото на 2024 г.  Въпреки че концепцията за общоевропейска отбрана получава политическа подкрепа, реализацията ѝ среща значителни предизвикателства поради различията в националните интереси на държавите членки, както и от нежеланието на някои правителства да намалят зависимостта си от САЩ и НАТО</w:t>
      </w:r>
      <w:r w:rsidR="00FE0234" w:rsidRPr="00E73B36">
        <w:rPr>
          <w:rStyle w:val="FootnoteReference"/>
          <w:rFonts w:ascii="Times New Roman" w:eastAsia="Times New Roman" w:hAnsi="Times New Roman" w:cs="Times New Roman"/>
          <w:kern w:val="0"/>
          <w14:ligatures w14:val="none"/>
        </w:rPr>
        <w:footnoteReference w:id="22"/>
      </w:r>
      <w:r w:rsidRPr="00E73B36">
        <w:rPr>
          <w:rFonts w:ascii="Times New Roman" w:eastAsia="Times New Roman" w:hAnsi="Times New Roman" w:cs="Times New Roman"/>
          <w:kern w:val="0"/>
          <w14:ligatures w14:val="none"/>
        </w:rPr>
        <w:t>.</w:t>
      </w:r>
    </w:p>
    <w:p w14:paraId="71A232B5" w14:textId="23EF89A4"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t>Политическите отношения в рамките на ЕС също се усложняват от различията между държавите членки относно разходите за отбрана и стратегическите зависимости. Дебатите относно финансирането на отбранителната политика се преплитат с по-широкия спор за разпределението на бюджета на ЕС и създаването на нови механизми за финансиране на европейските приоритети. В този контекст се поставя въпросът дали ЕС ще трябва да прибегне до нови заеми, подобно на подхода с Next Generation EU, за да осигури средства за отбрана и сигурност</w:t>
      </w:r>
      <w:r w:rsidRPr="00E73B36">
        <w:rPr>
          <w:rStyle w:val="FootnoteReference"/>
          <w:rFonts w:ascii="Times New Roman" w:eastAsia="Times New Roman" w:hAnsi="Times New Roman" w:cs="Times New Roman"/>
          <w:kern w:val="0"/>
          <w14:ligatures w14:val="none"/>
        </w:rPr>
        <w:footnoteReference w:id="23"/>
      </w:r>
      <w:r w:rsidRPr="00E73B36">
        <w:rPr>
          <w:rFonts w:ascii="Times New Roman" w:eastAsia="Times New Roman" w:hAnsi="Times New Roman" w:cs="Times New Roman"/>
          <w:kern w:val="0"/>
          <w14:ligatures w14:val="none"/>
        </w:rPr>
        <w:t>.</w:t>
      </w:r>
    </w:p>
    <w:p w14:paraId="76804B14" w14:textId="3BEC2C48"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t>Друг съществен политически въпрос в началото на 2025 г. е подготовката за евентуално разширяване на Европейския съюз. През 2024 г. е очертана нова рамка за разширяването, включваща реформи в институционалната архитектура на ЕС, които ще позволят интеграцията на нови държави като Украйна, Молдова и страните от Западните Балкани</w:t>
      </w:r>
      <w:r w:rsidRPr="00E73B36">
        <w:rPr>
          <w:rStyle w:val="FootnoteReference"/>
          <w:rFonts w:ascii="Times New Roman" w:eastAsia="Times New Roman" w:hAnsi="Times New Roman" w:cs="Times New Roman"/>
          <w:kern w:val="0"/>
          <w14:ligatures w14:val="none"/>
        </w:rPr>
        <w:footnoteReference w:id="24"/>
      </w:r>
      <w:r w:rsidRPr="00E73B36">
        <w:rPr>
          <w:rFonts w:ascii="Times New Roman" w:eastAsia="Times New Roman" w:hAnsi="Times New Roman" w:cs="Times New Roman"/>
          <w:kern w:val="0"/>
          <w14:ligatures w14:val="none"/>
        </w:rPr>
        <w:t xml:space="preserve">. Според Zettelmeyer (2025) основното предизвикателство в този процес е намирането на компромис между необходимостта от реформи в рамките на ЕС и политическия натиск за ускорено присъединяване на нови членове. Докато Франция и Германия настояват за задълбочаване на институционалната реформа преди </w:t>
      </w:r>
      <w:r w:rsidRPr="00E73B36">
        <w:rPr>
          <w:rFonts w:ascii="Times New Roman" w:eastAsia="Times New Roman" w:hAnsi="Times New Roman" w:cs="Times New Roman"/>
          <w:kern w:val="0"/>
          <w14:ligatures w14:val="none"/>
        </w:rPr>
        <w:lastRenderedPageBreak/>
        <w:t>разширяването, други държави членки, като Полша и Литва, подкрепят по-бързо интегриране на Украйна и Молдова, за да се укрепи източният фланг на ЕС.</w:t>
      </w:r>
      <w:r w:rsidRPr="00E73B36">
        <w:rPr>
          <w:rStyle w:val="FootnoteReference"/>
          <w:rFonts w:ascii="Times New Roman" w:eastAsia="Times New Roman" w:hAnsi="Times New Roman" w:cs="Times New Roman"/>
          <w:kern w:val="0"/>
          <w14:ligatures w14:val="none"/>
        </w:rPr>
        <w:footnoteReference w:id="25"/>
      </w:r>
    </w:p>
    <w:p w14:paraId="32CD2BE3" w14:textId="2624DC28" w:rsidR="008D7ADB" w:rsidRPr="00E73B36" w:rsidRDefault="008D7ADB" w:rsidP="00926278">
      <w:pPr>
        <w:spacing w:line="360" w:lineRule="auto"/>
        <w:ind w:firstLine="720"/>
        <w:jc w:val="both"/>
        <w:rPr>
          <w:rFonts w:ascii="Times New Roman" w:eastAsia="Times New Roman" w:hAnsi="Times New Roman" w:cs="Times New Roman"/>
          <w:kern w:val="0"/>
          <w14:ligatures w14:val="none"/>
        </w:rPr>
      </w:pPr>
      <w:r w:rsidRPr="00E73B36">
        <w:rPr>
          <w:rFonts w:ascii="Times New Roman" w:eastAsia="Times New Roman" w:hAnsi="Times New Roman" w:cs="Times New Roman"/>
          <w:kern w:val="0"/>
          <w14:ligatures w14:val="none"/>
        </w:rPr>
        <w:t>Политическата динамика на ЕС през 2025 г. също е повлияна от международните отношения и нестабилността в глобален план. Според Käppeli, Gavas и Granito (2025) евентуално повторно избиране на Доналд Тръмп в САЩ може да предизвика значителни политически промени, включително намаляване на американската подкрепа за НАТО и преориентация на трансатлантическите отношения. Това би наложило на ЕС да поеме по-голяма отговорност за собствената си сигурност и да разработи по-независима външна политика. Възможността за търговски конфликт между ЕС, САЩ и Китай също добавя слой на несигурност, като политическите лидери в Европа трябва да балансират между защитата на европейските индустрии и запазването на свободната търговия</w:t>
      </w:r>
      <w:r w:rsidRPr="00E73B36">
        <w:rPr>
          <w:rStyle w:val="FootnoteReference"/>
          <w:rFonts w:ascii="Times New Roman" w:eastAsia="Times New Roman" w:hAnsi="Times New Roman" w:cs="Times New Roman"/>
          <w:kern w:val="0"/>
          <w14:ligatures w14:val="none"/>
        </w:rPr>
        <w:footnoteReference w:id="26"/>
      </w:r>
      <w:r w:rsidRPr="00E73B36">
        <w:rPr>
          <w:rFonts w:ascii="Times New Roman" w:eastAsia="Times New Roman" w:hAnsi="Times New Roman" w:cs="Times New Roman"/>
          <w:kern w:val="0"/>
          <w14:ligatures w14:val="none"/>
        </w:rPr>
        <w:t>.</w:t>
      </w:r>
    </w:p>
    <w:p w14:paraId="0F3E0B55" w14:textId="77777777" w:rsidR="00406EFD" w:rsidRPr="00E73B36" w:rsidRDefault="00406EFD"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rPr>
        <w:t>1.3. Структура и основни органи на НАТО</w:t>
      </w:r>
    </w:p>
    <w:p w14:paraId="4547F2DC" w14:textId="5607C576"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Северноатлантическият съвет е централният орган за вземане на политически решения в рамките на НАТО и представлява основния механизъм за координация между страните членки</w:t>
      </w:r>
      <w:r w:rsidR="00840CFA" w:rsidRPr="00E73B36">
        <w:rPr>
          <w:rStyle w:val="FootnoteReference"/>
          <w:rFonts w:ascii="Times New Roman" w:eastAsia="Times New Roman" w:hAnsi="Times New Roman" w:cs="Times New Roman"/>
          <w:color w:val="313131"/>
          <w:kern w:val="0"/>
          <w14:ligatures w14:val="none"/>
        </w:rPr>
        <w:footnoteReference w:id="27"/>
      </w:r>
      <w:r w:rsidRPr="00E73B36">
        <w:rPr>
          <w:rFonts w:ascii="Times New Roman" w:eastAsia="Times New Roman" w:hAnsi="Times New Roman" w:cs="Times New Roman"/>
          <w:color w:val="313131"/>
          <w:kern w:val="0"/>
          <w14:ligatures w14:val="none"/>
        </w:rPr>
        <w:t xml:space="preserve">. </w:t>
      </w:r>
      <w:r w:rsidR="00812F0D" w:rsidRPr="00812F0D">
        <w:rPr>
          <w:rFonts w:ascii="Times New Roman" w:eastAsia="Times New Roman" w:hAnsi="Times New Roman" w:cs="Times New Roman"/>
          <w:color w:val="313131"/>
          <w:kern w:val="0"/>
          <w14:ligatures w14:val="none"/>
        </w:rPr>
        <w:t xml:space="preserve">Председателстван от генералния секретар на НАТО, който действа като неутрален посредник без право на глас, съветът заседава на различни нива – от постоянни представители до държавни и правителствени ръководители – в зависимост от значимостта на въпросите. Основните му задачи включват определяне на политическите насоки, управление на кризи, вземане на решения за военни или политически действия и активиране на член 5 при нужда от колективна отбрана. Съветът работи в тясно сътрудничество с органи като Военния комитет и стратегическите командвания, като същевременно ръководи партньорствата на НАТО с международни организации и държави извън алианса. Чрез своята дейност Северноатлантическият съвет осигурява ефективното функциониране </w:t>
      </w:r>
      <w:r w:rsidR="00812F0D" w:rsidRPr="00812F0D">
        <w:rPr>
          <w:rFonts w:ascii="Times New Roman" w:eastAsia="Times New Roman" w:hAnsi="Times New Roman" w:cs="Times New Roman"/>
          <w:color w:val="313131"/>
          <w:kern w:val="0"/>
          <w14:ligatures w14:val="none"/>
        </w:rPr>
        <w:lastRenderedPageBreak/>
        <w:t>на НАТО, укрепва сплотеността между съюзниците и гарантира адаптацията на алианса към глобалните предизвикателства пред сигурността.</w:t>
      </w:r>
    </w:p>
    <w:p w14:paraId="6464E8F8" w14:textId="7A7E7871"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Военният комитет е висшият военен орган на НАТО и играе решаваща роля в осигуряването на стратегическите насоки и оперативното ръководство на алианса</w:t>
      </w:r>
      <w:r w:rsidR="00840CFA" w:rsidRPr="00E73B36">
        <w:rPr>
          <w:rStyle w:val="FootnoteReference"/>
          <w:rFonts w:ascii="Times New Roman" w:eastAsia="Times New Roman" w:hAnsi="Times New Roman" w:cs="Times New Roman"/>
          <w:color w:val="313131"/>
          <w:kern w:val="0"/>
          <w14:ligatures w14:val="none"/>
        </w:rPr>
        <w:footnoteReference w:id="28"/>
      </w:r>
      <w:r w:rsidRPr="00E73B36">
        <w:rPr>
          <w:rFonts w:ascii="Times New Roman" w:eastAsia="Times New Roman" w:hAnsi="Times New Roman" w:cs="Times New Roman"/>
          <w:color w:val="313131"/>
          <w:kern w:val="0"/>
          <w14:ligatures w14:val="none"/>
        </w:rPr>
        <w:t xml:space="preserve">. </w:t>
      </w:r>
      <w:r w:rsidR="00812F0D" w:rsidRPr="00812F0D">
        <w:rPr>
          <w:rFonts w:ascii="Times New Roman" w:eastAsia="Times New Roman" w:hAnsi="Times New Roman" w:cs="Times New Roman"/>
          <w:color w:val="313131"/>
          <w:kern w:val="0"/>
          <w14:ligatures w14:val="none"/>
        </w:rPr>
        <w:t>Военният комитет е основната връзка между политическото и военното ръководство на НАТО, като превежда политическите решения на Северноатлантическия съвет в конкретни военни стратегии и планове, координирайки съвместната военна политика, оперативната готовност и стандартизацията на въоръжението между страните членки. В състава му влизат началниците на генералните щабове, а в ежедневната работа те се представляват от постоянни военни представители. Комитетът ръководи дейността на двете стратегически командвания на НАТО: Върховното главно командване на съюзническите сили в Европа (SHAPE), отговарящо за военното планиране и операциите, и Стратегическото командване на съюзническите сили за трансформация (ACT), фокусирано върху иновации, обучение и развитие на бъдещи военни способности. Военният комитет осигурява стратегически контрол над всички мисии на НАТО, адаптира военните стратегии към новите заплахи като киберсигурността и хибридната война, и гарантира интеграцията и съвместимостта на въоръжените сили на съюзниците. Чрез своята дейност той укрепва военната ефективност на алианса и способността му да реагира бързо и координирано на кризи и предизвикателства в глобалната среда на сигурност.</w:t>
      </w:r>
    </w:p>
    <w:p w14:paraId="78529161" w14:textId="77777777"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 контекста на нарастващите заплахи в киберпространството НАТО развива специализирани агенции и комитети за киберотбрана, които играят ключова роля в защитата на информационните и комуникационните системи на алианса. Бързото развитие на цифровите технологии, нарастващата зависимост от интернет и глобалната свързаност поставят пред алианса нови предизвикателства, които изискват иновативни решения и адаптиране на съществуващите механизми за сигурност. Кибератаките се превръщат в стратегически инструмент, използван както от държавни, така и от недържавни актьори, за да компрометират критична инфраструктура, да дестабилизират правителства и да </w:t>
      </w:r>
      <w:r w:rsidRPr="00E73B36">
        <w:rPr>
          <w:rFonts w:ascii="Times New Roman" w:eastAsia="Times New Roman" w:hAnsi="Times New Roman" w:cs="Times New Roman"/>
          <w:color w:val="313131"/>
          <w:kern w:val="0"/>
          <w14:ligatures w14:val="none"/>
        </w:rPr>
        <w:lastRenderedPageBreak/>
        <w:t>парализират комуникационните системи. В отговор на тези заплахи НАТО засилва своите способности за киберотбрана, като създава специализирани структури, които осигуряват постоянен мониторинг, защита и противодействие на киберзаплахите.</w:t>
      </w:r>
    </w:p>
    <w:p w14:paraId="12A02A3B" w14:textId="4297EB8F"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Един от основните органи, който отговаря за киберсигурността на НАТО, е Агенцията за комуникации и информация на НАТО (NCIA)</w:t>
      </w:r>
      <w:r w:rsidR="00840CFA" w:rsidRPr="00E73B36">
        <w:rPr>
          <w:rStyle w:val="FootnoteReference"/>
          <w:rFonts w:ascii="Times New Roman" w:eastAsia="Times New Roman" w:hAnsi="Times New Roman" w:cs="Times New Roman"/>
          <w:color w:val="313131"/>
          <w:kern w:val="0"/>
          <w14:ligatures w14:val="none"/>
        </w:rPr>
        <w:footnoteReference w:id="29"/>
      </w:r>
      <w:r w:rsidRPr="00E73B36">
        <w:rPr>
          <w:rFonts w:ascii="Times New Roman" w:eastAsia="Times New Roman" w:hAnsi="Times New Roman" w:cs="Times New Roman"/>
          <w:color w:val="313131"/>
          <w:kern w:val="0"/>
          <w14:ligatures w14:val="none"/>
        </w:rPr>
        <w:t>. Тя е създадена с цел осигуряване на технологична поддръжка за военните и политическите структури на алианса. Основната ѝ задача е да управлява и развива цифровите системи на НАТО, като гарантира тяхната сигурност, устойчивост и способност да издържат на кибератаки. NCIA отговаря за защитата на критичната инфраструктура на алианса, включително комуникационни мрежи, командни центрове и разузнавателни системи. Тя разработва усъвършенствани технологии за предотвратяване на злонамерени атаки, включително усъвършенствани методи за киберразузнаване и системи за ранно предупреждение при подозрителна активност. Освен това агенцията предоставя експертна подкрепа за страните членки на НАТО, като им помага да укрепят собствените си киберзащитни механизми и да подобрят капацитета си за реагиране при инциденти.</w:t>
      </w:r>
    </w:p>
    <w:p w14:paraId="2580D3CE" w14:textId="63D862EC"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За да подобри своята подготовка и да засили международното сътрудничество в областта на киберсигурността, НАТО създава Киберцентър за върхови постижения в Талин, Естония</w:t>
      </w:r>
      <w:r w:rsidR="00840CFA" w:rsidRPr="00E73B36">
        <w:rPr>
          <w:rStyle w:val="FootnoteReference"/>
          <w:rFonts w:ascii="Times New Roman" w:eastAsia="Times New Roman" w:hAnsi="Times New Roman" w:cs="Times New Roman"/>
          <w:color w:val="313131"/>
          <w:kern w:val="0"/>
          <w14:ligatures w14:val="none"/>
        </w:rPr>
        <w:footnoteReference w:id="30"/>
      </w:r>
      <w:r w:rsidRPr="00E73B36">
        <w:rPr>
          <w:rFonts w:ascii="Times New Roman" w:eastAsia="Times New Roman" w:hAnsi="Times New Roman" w:cs="Times New Roman"/>
          <w:color w:val="313131"/>
          <w:kern w:val="0"/>
          <w14:ligatures w14:val="none"/>
        </w:rPr>
        <w:t>. Центърът се фокусира върху изследвания, обучение и разработване на стратегии за киберотбрана. Разположен в страна, която вече има значителен опит в справянето с мащабни кибератаки, като например атаката срещу естонската инфраструктура през 2007 година, този център служи като международен хъб за разработване на нови технологии и методи за противодействие на киберзаплахите. Киберцентърът организира специализирани курсове за военни и граждански специалисти от страните членки на НАТО, провежда симулации на кибератаки и участва в създаването на стратегически документи, свързани с дигиталната сигурност.</w:t>
      </w:r>
    </w:p>
    <w:p w14:paraId="5A4A4C6B" w14:textId="1CEC08FE"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НАТО също така провежда редовни киберучения, за да тества своята способност за реакция при мащабни атаки срещу цифровите му мрежи и инфраструктура. Едно от най-известните такива учения е Cyber Coalition, което се провежда ежегодно и включва симулация на сложни кибератаки, за да се провери устойчивостта на съюзническите системи и способността на страните членки да работят заедно при неутрализиране на заплахите</w:t>
      </w:r>
      <w:r w:rsidR="00840CFA" w:rsidRPr="00E73B36">
        <w:rPr>
          <w:rStyle w:val="FootnoteReference"/>
          <w:rFonts w:ascii="Times New Roman" w:eastAsia="Times New Roman" w:hAnsi="Times New Roman" w:cs="Times New Roman"/>
          <w:color w:val="313131"/>
          <w:kern w:val="0"/>
          <w14:ligatures w14:val="none"/>
        </w:rPr>
        <w:footnoteReference w:id="31"/>
      </w:r>
      <w:r w:rsidRPr="00E73B36">
        <w:rPr>
          <w:rFonts w:ascii="Times New Roman" w:eastAsia="Times New Roman" w:hAnsi="Times New Roman" w:cs="Times New Roman"/>
          <w:color w:val="313131"/>
          <w:kern w:val="0"/>
          <w14:ligatures w14:val="none"/>
        </w:rPr>
        <w:t>. Тези учения помагат за усъвършенстване на механизмите за споделяне на информация и за координиране на действията между различните структури на НАТО и националните киберзвена на държавите членки.</w:t>
      </w:r>
    </w:p>
    <w:p w14:paraId="6F6282C1" w14:textId="77777777" w:rsidR="00394C82" w:rsidRPr="00E73B36" w:rsidRDefault="00394C8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последните години киберотбраната се превръща в един от основните приоритети на НАТО. Организацията официално обявява киберпространството за оперативен домейн, наред със сушата, въздуха и морето, което означава, че кибератаките могат да предизвикат колективен отговор от алианса, включително активиране на член 5 от Северноатлантическия договор. Това подчертава нарастващото значение на дигиталната сигурност за колективната отбрана на НАТО и засилва ангажимента на алианса към защита на своите членове от заплахи, които могат да компрометират тяхната икономика, управление и военни структури. С оглед на непрекъснатото развитие на нови технологии и нарастващата сложност на кибератаките, НАТО продължава да инвестира в киберотбраната, като засилва сътрудничеството със страните членки, разширява своите защитни способности и интегрира нови стратегии за противодействие на цифровите заплахи.</w:t>
      </w:r>
    </w:p>
    <w:p w14:paraId="28572521" w14:textId="77777777" w:rsidR="00394C82" w:rsidRPr="00E73B36" w:rsidRDefault="00406EFD"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rPr>
        <w:t>1.4. Структура и основни органи на ЕС</w:t>
      </w:r>
    </w:p>
    <w:p w14:paraId="705DD5D1" w14:textId="1802A19D" w:rsidR="00511797" w:rsidRPr="00E73B36" w:rsidRDefault="00511797" w:rsidP="00926278">
      <w:pPr>
        <w:spacing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Европейският съвет е най-висшият политически орган на Европейския съюз и изпълнява ключова роля в определянето на стратегическите приоритети и насоките за развитие на общността</w:t>
      </w:r>
      <w:r w:rsidR="00840CFA" w:rsidRPr="00E73B36">
        <w:rPr>
          <w:rStyle w:val="FootnoteReference"/>
          <w:rFonts w:ascii="Times New Roman" w:eastAsia="Times New Roman" w:hAnsi="Times New Roman" w:cs="Times New Roman"/>
          <w:color w:val="313131"/>
          <w:kern w:val="0"/>
          <w14:ligatures w14:val="none"/>
        </w:rPr>
        <w:footnoteReference w:id="32"/>
      </w:r>
      <w:r w:rsidRPr="00E73B36">
        <w:rPr>
          <w:rFonts w:ascii="Times New Roman" w:eastAsia="Times New Roman" w:hAnsi="Times New Roman" w:cs="Times New Roman"/>
          <w:color w:val="313131"/>
          <w:kern w:val="0"/>
          <w14:ligatures w14:val="none"/>
        </w:rPr>
        <w:t xml:space="preserve">. </w:t>
      </w:r>
      <w:r w:rsidR="00812F0D" w:rsidRPr="00812F0D">
        <w:rPr>
          <w:rFonts w:ascii="Times New Roman" w:eastAsia="Times New Roman" w:hAnsi="Times New Roman" w:cs="Times New Roman"/>
          <w:color w:val="313131"/>
          <w:kern w:val="0"/>
          <w14:ligatures w14:val="none"/>
        </w:rPr>
        <w:t xml:space="preserve">Европейският съвет е ключов орган на ЕС, в който държавните и правителствените ръководители, заедно с председателя на Европейския съвет и </w:t>
      </w:r>
      <w:r w:rsidR="00812F0D" w:rsidRPr="00812F0D">
        <w:rPr>
          <w:rFonts w:ascii="Times New Roman" w:eastAsia="Times New Roman" w:hAnsi="Times New Roman" w:cs="Times New Roman"/>
          <w:color w:val="313131"/>
          <w:kern w:val="0"/>
          <w14:ligatures w14:val="none"/>
        </w:rPr>
        <w:lastRenderedPageBreak/>
        <w:t>председателя на Европейската комисия, вземат стратегически решения за бъдещето на съюза, като определят политически насоки в области като икономика, сигурност, отбрана, международни отношения и разширяване. Макар да няма законодателна функция, решенията му оформят политиките на ЕС. Заседанията му, провеждани редовно в Брюксел, обсъждат актуални глобални предизвикателства, а председателят му координира работата и осигурява последователност и единство. Европейският съвет ръководи развитието на Общата външна политика и политика за сигурност, насърчава сътрудничеството в киберсигурността и борбата с тероризма, определя насоките за икономическо управление и играе решаваща роля в процесите на разширяване на съюза, оформяйки бъдещето на ЕС като глобален фактор.</w:t>
      </w:r>
    </w:p>
    <w:p w14:paraId="3E6D2E63" w14:textId="3046F8D4" w:rsidR="00511797" w:rsidRDefault="00511797" w:rsidP="00926278">
      <w:pPr>
        <w:spacing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Съветът на Европейския съюз, наричан още Съветът на министрите, представлява основния орган за вземане на решения в рамките на ЕС. В него участват министри от националните правителства на страните членки, като съставът му варира в зависимост от темата, която се обсъжда. Съветът на ЕС има законодателни и координиращи функции, като основната му задача е да приема закони съвместно с Европейския парламент и да гарантира прилагането на политиките на съюза. В сферата на сигурността той играе ключова роля в координирането на Общата външна политика и политика за сигурност (ОВППС), която определя как ЕС реагира на международни кризи, конфликти и заплахи. Чрез своите различни формати, като Съвета по външни работи и Съвета по правосъдие и вътрешни работи, институцията работи за подобряване на сътрудничеството в борбата с тероризма, организираната престъпност и киберзаплахите</w:t>
      </w:r>
      <w:r w:rsidR="00812F0D">
        <w:rPr>
          <w:rFonts w:ascii="Times New Roman" w:eastAsia="Times New Roman" w:hAnsi="Times New Roman" w:cs="Times New Roman"/>
          <w:color w:val="313131"/>
          <w:kern w:val="0"/>
          <w14:ligatures w14:val="none"/>
        </w:rPr>
        <w:t>.</w:t>
      </w:r>
    </w:p>
    <w:p w14:paraId="6E1807B2" w14:textId="2D91D396" w:rsidR="00812F0D" w:rsidRPr="00E73B36" w:rsidRDefault="00812F0D" w:rsidP="00926278">
      <w:pPr>
        <w:spacing w:line="360" w:lineRule="auto"/>
        <w:ind w:firstLine="360"/>
        <w:jc w:val="both"/>
        <w:rPr>
          <w:rFonts w:ascii="Times New Roman" w:eastAsia="Times New Roman" w:hAnsi="Times New Roman" w:cs="Times New Roman"/>
          <w:color w:val="313131"/>
          <w:kern w:val="0"/>
          <w14:ligatures w14:val="none"/>
        </w:rPr>
      </w:pPr>
      <w:r w:rsidRPr="00812F0D">
        <w:rPr>
          <w:rFonts w:ascii="Times New Roman" w:eastAsia="Times New Roman" w:hAnsi="Times New Roman" w:cs="Times New Roman"/>
          <w:color w:val="313131"/>
          <w:kern w:val="0"/>
          <w14:ligatures w14:val="none"/>
        </w:rPr>
        <w:t xml:space="preserve">Европейската комисия е изпълнителният орган на ЕС, който управлява прилагането на политиките, контролира тяхното спазване и играе централна роля в законодателния процес чрез предлагане на нови инициативи. Съставена от 27 комисари, всеки отговорен за различен сектор, комисията се ръководи от председател, който координира дейността ѝ и определя стратегическите приоритети. В сферата на сигурността комисията разработва политики за защита на външните граници, подкрепя развитието на отбранителни технологии чрез Европейския фонд за отбрана и насърчава стратегическата автономия на ЕС. Тя координира борбата срещу киберзаплахите чрез инициативи като Директивата за мрежова и информационна сигурност (NIS2), работи за подобряване на обмена на </w:t>
      </w:r>
      <w:r w:rsidRPr="00812F0D">
        <w:rPr>
          <w:rFonts w:ascii="Times New Roman" w:eastAsia="Times New Roman" w:hAnsi="Times New Roman" w:cs="Times New Roman"/>
          <w:color w:val="313131"/>
          <w:kern w:val="0"/>
          <w14:ligatures w14:val="none"/>
        </w:rPr>
        <w:lastRenderedPageBreak/>
        <w:t>информация между националните служби за сигурност и противодейства на дезинформацията и външното влияние. В областта на миграцията комисията съдейства за управлението на миграционните потоци чрез сътрудничество с агенции като Фронтекс и Европейската служба за подкрепа в областта на убежището. Чрез тези действия Европейската комисия допринася за укрепването на стабилността, сигурността и способността на ЕС да реагира на съвременните глобални предизвикателства.</w:t>
      </w:r>
    </w:p>
    <w:p w14:paraId="6006764A" w14:textId="77777777" w:rsidR="005342DA" w:rsidRPr="00E73B36" w:rsidRDefault="005342DA" w:rsidP="00926278">
      <w:pPr>
        <w:spacing w:line="360" w:lineRule="auto"/>
        <w:jc w:val="both"/>
        <w:rPr>
          <w:rFonts w:ascii="Times New Roman" w:eastAsia="Times New Roman" w:hAnsi="Times New Roman" w:cs="Times New Roman"/>
          <w:b/>
          <w:bCs/>
          <w:color w:val="313131"/>
          <w:kern w:val="0"/>
          <w:bdr w:val="none" w:sz="0" w:space="0" w:color="auto" w:frame="1"/>
          <w14:ligatures w14:val="none"/>
        </w:rPr>
      </w:pPr>
      <w:r w:rsidRPr="00E73B36">
        <w:rPr>
          <w:rFonts w:ascii="Times New Roman" w:eastAsia="Times New Roman" w:hAnsi="Times New Roman" w:cs="Times New Roman"/>
          <w:b/>
          <w:bCs/>
          <w:color w:val="313131"/>
          <w:kern w:val="0"/>
          <w:bdr w:val="none" w:sz="0" w:space="0" w:color="auto" w:frame="1"/>
          <w14:ligatures w14:val="none"/>
        </w:rPr>
        <w:br w:type="page"/>
      </w:r>
    </w:p>
    <w:p w14:paraId="6C6509CA" w14:textId="52923143" w:rsidR="00406EFD" w:rsidRPr="00E73B36" w:rsidRDefault="00406EFD"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bdr w:val="none" w:sz="0" w:space="0" w:color="auto" w:frame="1"/>
        </w:rPr>
        <w:lastRenderedPageBreak/>
        <w:t xml:space="preserve">Глава II. Правни </w:t>
      </w:r>
      <w:r w:rsidR="00812F0D">
        <w:rPr>
          <w:rFonts w:ascii="Times New Roman" w:eastAsia="Times New Roman" w:hAnsi="Times New Roman" w:cs="Times New Roman"/>
          <w:b/>
          <w:bCs/>
          <w:bdr w:val="none" w:sz="0" w:space="0" w:color="auto" w:frame="1"/>
        </w:rPr>
        <w:t xml:space="preserve">и институционални </w:t>
      </w:r>
      <w:r w:rsidRPr="00E73B36">
        <w:rPr>
          <w:rFonts w:ascii="Times New Roman" w:eastAsia="Times New Roman" w:hAnsi="Times New Roman" w:cs="Times New Roman"/>
          <w:b/>
          <w:bCs/>
          <w:bdr w:val="none" w:sz="0" w:space="0" w:color="auto" w:frame="1"/>
        </w:rPr>
        <w:t>механизми за сътрудничество между НАТО и ЕС</w:t>
      </w:r>
    </w:p>
    <w:p w14:paraId="4CB41509" w14:textId="392C091E" w:rsidR="00406EFD" w:rsidRPr="00E73B36" w:rsidRDefault="00406EFD"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E73B36">
        <w:rPr>
          <w:rFonts w:ascii="Times New Roman" w:eastAsia="Times New Roman" w:hAnsi="Times New Roman" w:cs="Times New Roman"/>
          <w:b/>
          <w:bCs/>
          <w:color w:val="313131"/>
          <w:kern w:val="0"/>
          <w14:ligatures w14:val="none"/>
        </w:rPr>
        <w:t>2.1.</w:t>
      </w:r>
      <w:r w:rsidR="00941439" w:rsidRPr="00E73B36">
        <w:rPr>
          <w:rFonts w:ascii="Times New Roman" w:eastAsia="Times New Roman" w:hAnsi="Times New Roman" w:cs="Times New Roman"/>
          <w:b/>
          <w:bCs/>
          <w:color w:val="313131"/>
          <w:kern w:val="0"/>
          <w14:ligatures w14:val="none"/>
        </w:rPr>
        <w:t xml:space="preserve"> </w:t>
      </w:r>
      <w:r w:rsidRPr="00E73B36">
        <w:rPr>
          <w:rFonts w:ascii="Times New Roman" w:eastAsia="Times New Roman" w:hAnsi="Times New Roman" w:cs="Times New Roman"/>
          <w:b/>
          <w:bCs/>
          <w:color w:val="313131"/>
          <w:kern w:val="0"/>
          <w14:ligatures w14:val="none"/>
        </w:rPr>
        <w:t>Основни споразумения между НАТО и ЕС</w:t>
      </w:r>
    </w:p>
    <w:p w14:paraId="337A0770" w14:textId="77777777" w:rsidR="00D944C9" w:rsidRPr="00E73B36" w:rsidRDefault="00D944C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Сътрудничеството между НАТО и Европейския съюз се основава на комплексна договорно-правна рамка, която определя механизмите за взаимодействие в сферата на сигурността, отбраната и стратегическата координация. През годините двете организации изграждат партньорство, насочено към повишаване на колективната сигурност, разширяване на оперативната съвместимост и ефективно управление на кризи. Това сътрудничество се регулира чрез поредица от споразумения и договори, които осигуряват правна основа за съвместни действия в рамките на международната сигурност.</w:t>
      </w:r>
    </w:p>
    <w:p w14:paraId="35E8D71F" w14:textId="7557EDA5" w:rsidR="0053087C" w:rsidRPr="00E73B36" w:rsidRDefault="00D944C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Основните споразумения между НАТО и Европейския съюз очертават рамката на партньорството и сътрудничеството в областта на сигурността и отбраната. </w:t>
      </w:r>
      <w:r w:rsidR="0053087C" w:rsidRPr="00E73B36">
        <w:rPr>
          <w:rFonts w:ascii="Times New Roman" w:eastAsia="Times New Roman" w:hAnsi="Times New Roman" w:cs="Times New Roman"/>
          <w:color w:val="313131"/>
          <w:kern w:val="0"/>
          <w14:ligatures w14:val="none"/>
        </w:rPr>
        <w:t>Берлин плюс споразумението, подписано през 2002 година, представлява едно от най-важните договорни споразумения между НАТО и Европейския съюз, което регламентира механизмите за сътрудничество в сферата на сигурността и отбраната</w:t>
      </w:r>
      <w:r w:rsidR="00926278">
        <w:rPr>
          <w:rStyle w:val="FootnoteReference"/>
          <w:rFonts w:ascii="Times New Roman" w:eastAsia="Times New Roman" w:hAnsi="Times New Roman" w:cs="Times New Roman"/>
          <w:color w:val="313131"/>
          <w:kern w:val="0"/>
          <w14:ligatures w14:val="none"/>
        </w:rPr>
        <w:footnoteReference w:id="33"/>
      </w:r>
      <w:r w:rsidR="0053087C" w:rsidRPr="00E73B36">
        <w:rPr>
          <w:rFonts w:ascii="Times New Roman" w:eastAsia="Times New Roman" w:hAnsi="Times New Roman" w:cs="Times New Roman"/>
          <w:color w:val="313131"/>
          <w:kern w:val="0"/>
          <w14:ligatures w14:val="none"/>
        </w:rPr>
        <w:t>. Основната му цел е да осигури възможност на Европейския съюз да използва военните ресурси и оперативните способности на НАТО за провеждане на мисии, свързани с управление на кризи, без да създава паралелни или дублиращи се структури. Това позволява на ЕС да поема водеща роля в определени операции, като същевременно разчита на стратегическата подкрепа и инфраструктура на НАТО.</w:t>
      </w:r>
    </w:p>
    <w:p w14:paraId="40919980"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Споразумението предвижда ЕС да има достъп до командните структури на НАТО, което означава, че при необходимост от военна операция европейските сили могат да използват вече съществуващите системи за командване, контрол и планиране, вместо да изграждат нови такива от нулата. Това значително намалява разходите за военни мисии и осигурява по-голяма ефективност при бързо разгръщане на сили в кризисни зони. Важен аспект на това сътрудничество е, че НАТО запазва суверенитета върху своите военни структури, като предоставя достъп до тях само при условия, които не компрометират общите отбранителни </w:t>
      </w:r>
      <w:r w:rsidRPr="00E73B36">
        <w:rPr>
          <w:rFonts w:ascii="Times New Roman" w:eastAsia="Times New Roman" w:hAnsi="Times New Roman" w:cs="Times New Roman"/>
          <w:color w:val="313131"/>
          <w:kern w:val="0"/>
          <w14:ligatures w14:val="none"/>
        </w:rPr>
        <w:lastRenderedPageBreak/>
        <w:t>ангажименти на алианса. Така Берлин плюс гарантира, че НАТО и ЕС могат да си сътрудничат без да възниква конфликт между ролите и отговорностите на двете организации.</w:t>
      </w:r>
    </w:p>
    <w:p w14:paraId="2CBAAA27" w14:textId="425365C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Приложението на Берлин плюс рамката в реални мисии започва с операция "Конкордия" в Македония през 2003 година. Тази мисия заменя предходната операция на НАТО и представлява първата военна операция, която ЕС провежда с подкрепата на НАТО. Основната цел на "Конкордия" е стабилизирането на обстановката в страната след етническите конфликти и подпомагането на местните власти в изграждането на устойчиви механизми за сигурност. ЕС използва командната структура на НАТО и нейния опит в региона, за да осигури успешното провеждане на мисията, като това сътрудничество демонстрира на практика ефективността на Берлин плюс споразумението</w:t>
      </w:r>
      <w:r w:rsidR="00C16B86">
        <w:rPr>
          <w:rStyle w:val="FootnoteReference"/>
          <w:rFonts w:ascii="Times New Roman" w:eastAsia="Times New Roman" w:hAnsi="Times New Roman" w:cs="Times New Roman"/>
          <w:color w:val="313131"/>
          <w:kern w:val="0"/>
          <w14:ligatures w14:val="none"/>
        </w:rPr>
        <w:footnoteReference w:id="34"/>
      </w:r>
      <w:r w:rsidRPr="00E73B36">
        <w:rPr>
          <w:rFonts w:ascii="Times New Roman" w:eastAsia="Times New Roman" w:hAnsi="Times New Roman" w:cs="Times New Roman"/>
          <w:color w:val="313131"/>
          <w:kern w:val="0"/>
          <w14:ligatures w14:val="none"/>
        </w:rPr>
        <w:t>.</w:t>
      </w:r>
    </w:p>
    <w:p w14:paraId="101E6E2A" w14:textId="2DF85E29"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Следващото значимо приложение на тази рамка е операция "Алтея" в Босна и Херцеговина, започнала през 2004 година. Тази мисия има за цел да осигури стабилността в страната след конфликта от 90-те години и да подпомогне реформите в сектора на сигурността. ЕС поема отговорността за операцията, но използва военните способности и логистичната подкрепа на НАТО. Това позволява на Европейския съюз да изпълнява мироопазващи и стабилизиращи функции, без да изгражда нови командни механизми и без да дублира наличните структури на НАТО</w:t>
      </w:r>
      <w:r w:rsidR="00C16B86">
        <w:rPr>
          <w:rStyle w:val="FootnoteReference"/>
          <w:rFonts w:ascii="Times New Roman" w:eastAsia="Times New Roman" w:hAnsi="Times New Roman" w:cs="Times New Roman"/>
          <w:color w:val="313131"/>
          <w:kern w:val="0"/>
          <w14:ligatures w14:val="none"/>
        </w:rPr>
        <w:footnoteReference w:id="35"/>
      </w:r>
      <w:r w:rsidRPr="00E73B36">
        <w:rPr>
          <w:rFonts w:ascii="Times New Roman" w:eastAsia="Times New Roman" w:hAnsi="Times New Roman" w:cs="Times New Roman"/>
          <w:color w:val="313131"/>
          <w:kern w:val="0"/>
          <w14:ligatures w14:val="none"/>
        </w:rPr>
        <w:t>.</w:t>
      </w:r>
    </w:p>
    <w:p w14:paraId="7A750C7C" w14:textId="5713502A"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Берлин плюс споразумението играе ключова роля в развитието на стратегическите отношения между НАТО и ЕС, тъй като осигурява механизъм за оперативно взаимодействие в ситуации, при които Европейският съюз има капацитет и политическа воля да действа, но не разполага със самостоятелни военни ресурси. Това партньорство позволява на двете организации да използват взаимно своите предимства, като НАТО предоставя военна инфраструктура, докато ЕС се ангажира с мироопазващи и стабилизационни мисии. Въпреки че споразумението е използвано в ограничен брой </w:t>
      </w:r>
      <w:r w:rsidRPr="00E73B36">
        <w:rPr>
          <w:rFonts w:ascii="Times New Roman" w:eastAsia="Times New Roman" w:hAnsi="Times New Roman" w:cs="Times New Roman"/>
          <w:color w:val="313131"/>
          <w:kern w:val="0"/>
          <w14:ligatures w14:val="none"/>
        </w:rPr>
        <w:lastRenderedPageBreak/>
        <w:t>случаи, то остава един от най-важните инструменти за сътрудничество между НАТО и ЕС в областта на сигурността и отбраната.</w:t>
      </w:r>
    </w:p>
    <w:p w14:paraId="7F116400"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Сътрудничеството между НАТО и Европейския съюз се засилва през последните години чрез редица съвместни декларации, които имат за цел да подобрят политическия диалог и стратегическата координация между двете организации. Тези документи очертават основните насоки на партньорството в ключови области като киберсигурността, борбата с хибридните заплахи, обмена на разузнавателна информация и военната мобилност. Те играят важна роля в адаптацията на съюза към съвременните предизвикателства в сферата на сигурността, като улесняват по-тясното взаимодействие и координация между държавите членки на ЕС и НАТО.</w:t>
      </w:r>
    </w:p>
    <w:p w14:paraId="59364FEE" w14:textId="759181B8"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2016 година, в рамките на Срещата на върха във Варшава, НАТО и ЕС подписват първата съвместна декларация, която поставя основата за задълбочаване на сътрудничеството между двете организации. Основният фокус на тази декларация е върху подобряването на отбранителните способности на Европейския съюз, като същевременно се гарантира, че те ще допълват, а не ще дублират структурите и ангажиментите на НАТО. В документа се подчертава значението на киберсигурността и се поставя акцент върху необходимостта от по-добра координация за противодействие на хибридните заплахи, които включват кибератаки, дезинформационни кампании, икономически натиск и намеса във вътрешните работи на държавите. Разузнавателният обмен също се посочва като ключов елемент от партньорството, като се предвижда по-интензивно сътрудничество за идентифициране и предотвратяване на потенциални заплахи в ранна фаза</w:t>
      </w:r>
      <w:r w:rsidR="00C16B86">
        <w:rPr>
          <w:rStyle w:val="FootnoteReference"/>
          <w:rFonts w:ascii="Times New Roman" w:eastAsia="Times New Roman" w:hAnsi="Times New Roman" w:cs="Times New Roman"/>
          <w:color w:val="313131"/>
          <w:kern w:val="0"/>
          <w14:ligatures w14:val="none"/>
        </w:rPr>
        <w:footnoteReference w:id="36"/>
      </w:r>
      <w:r w:rsidRPr="00E73B36">
        <w:rPr>
          <w:rFonts w:ascii="Times New Roman" w:eastAsia="Times New Roman" w:hAnsi="Times New Roman" w:cs="Times New Roman"/>
          <w:color w:val="313131"/>
          <w:kern w:val="0"/>
          <w14:ligatures w14:val="none"/>
        </w:rPr>
        <w:t>.</w:t>
      </w:r>
    </w:p>
    <w:p w14:paraId="13A54816"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Един от важните аспекти на декларацията от 2016 година е ангажиментът за подобряване на военната мобилност в рамките на Европа. Това включва премахване на административните, логистичните и инфраструктурните пречки пред бързото придвижване на войски и военна техника между държавите членки на НАТО и ЕС. Този аспект на сътрудничеството става все по-актуален с нарастващото напрежение по източните граници </w:t>
      </w:r>
      <w:r w:rsidRPr="00E73B36">
        <w:rPr>
          <w:rFonts w:ascii="Times New Roman" w:eastAsia="Times New Roman" w:hAnsi="Times New Roman" w:cs="Times New Roman"/>
          <w:color w:val="313131"/>
          <w:kern w:val="0"/>
          <w14:ligatures w14:val="none"/>
        </w:rPr>
        <w:lastRenderedPageBreak/>
        <w:t>на Европа, тъй като бързото разполагане на сили е ключов фактор за гарантиране на ефективна отбрана и възпиране на потенциални заплахи.</w:t>
      </w:r>
    </w:p>
    <w:p w14:paraId="46CB39AD" w14:textId="1ED19344"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2018 година в Брюксел е подписана допълнителна съвместна декларация, която надгражда споразумението от 2016 година и задълбочава сътрудничеството между НАТО и ЕС в няколко нови области. Един от основните акценти в този документ е борбата с дезинформацията, която се превръща в сериозно предизвикателство за сигурността на демократичните държави. В декларацията се подчертава необходимостта от по-тясна координация между двете организации в борбата с разпространението на фалшиви новини, пропагандни кампании и други форми на информационна война, насочени към дестабилизиране на обществата и подкопаване на доверието в институциите</w:t>
      </w:r>
      <w:r w:rsidR="00C16B86">
        <w:rPr>
          <w:rStyle w:val="FootnoteReference"/>
          <w:rFonts w:ascii="Times New Roman" w:eastAsia="Times New Roman" w:hAnsi="Times New Roman" w:cs="Times New Roman"/>
          <w:color w:val="313131"/>
          <w:kern w:val="0"/>
          <w14:ligatures w14:val="none"/>
        </w:rPr>
        <w:footnoteReference w:id="37"/>
      </w:r>
      <w:r w:rsidRPr="00E73B36">
        <w:rPr>
          <w:rFonts w:ascii="Times New Roman" w:eastAsia="Times New Roman" w:hAnsi="Times New Roman" w:cs="Times New Roman"/>
          <w:color w:val="313131"/>
          <w:kern w:val="0"/>
          <w14:ligatures w14:val="none"/>
        </w:rPr>
        <w:t>.</w:t>
      </w:r>
    </w:p>
    <w:p w14:paraId="7D7078D6"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Защитата на критичната инфраструктура е друг ключов елемент в декларацията от 2018 година. В документа се отбелязва значението на устойчивостта на основните сектори като енергетика, транспорт, комуникации и финансови услуги, които могат да бъдат обект на атаки или саботаж от враждебни държавни и недържавни актьори. НАТО и ЕС се ангажират да обменят информация и добри практики, за да подобрят защитата на тези жизненоважни системи и да повишат капацитета на страните членки за справяне с възможни заплахи.</w:t>
      </w:r>
    </w:p>
    <w:p w14:paraId="5ED8A586"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Декларацията от 2018 година също така призовава за по-голямо сътрудничество в областта на новите технологии и иновациите в отбраната. В нея се подчертава значението на инвестициите в изкуствен интелект, автономни системи и други авангардни технологии, които могат да повишат способността на съюзниците да реагират на бъдещи заплахи. Разширяването на сътрудничеството в тези области има за цел да гарантира, че НАТО и ЕС остават конкурентоспособни в условията на бързо променящата се глобална среда на сигурност.</w:t>
      </w:r>
    </w:p>
    <w:p w14:paraId="3852E238"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Тези съвместни декларации очертават стратегическата посока за развитие на отношенията между НАТО и ЕС и осигуряват правна и политическа рамка за тяхното </w:t>
      </w:r>
      <w:r w:rsidRPr="00E73B36">
        <w:rPr>
          <w:rFonts w:ascii="Times New Roman" w:eastAsia="Times New Roman" w:hAnsi="Times New Roman" w:cs="Times New Roman"/>
          <w:color w:val="313131"/>
          <w:kern w:val="0"/>
          <w14:ligatures w14:val="none"/>
        </w:rPr>
        <w:lastRenderedPageBreak/>
        <w:t>сътрудничество. Те не само улесняват по-ефективното взаимодействие в отговор на съвременните предизвикателства в областта на сигурността, но и подчертават ангажимента на двете организации да работят заедно в защита на общите ценности и интереси. Чрез подобрената координация, обмена на информация и съвместните усилия за укрепване на устойчивостта на своите членове, НАТО и ЕС демонстрират, че тяхното партньорство остава от ключово значение за стабилността и сигурността на Европа.</w:t>
      </w:r>
    </w:p>
    <w:p w14:paraId="3397E365" w14:textId="425C9229" w:rsidR="00406EFD" w:rsidRPr="00E73B36" w:rsidRDefault="00406EFD"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bookmarkStart w:id="0" w:name="_Hlk201558326"/>
      <w:r w:rsidRPr="00E73B36">
        <w:rPr>
          <w:rFonts w:ascii="Times New Roman" w:eastAsia="Times New Roman" w:hAnsi="Times New Roman" w:cs="Times New Roman"/>
          <w:b/>
          <w:bCs/>
          <w:color w:val="313131"/>
          <w:kern w:val="0"/>
          <w14:ligatures w14:val="none"/>
        </w:rPr>
        <w:t>2.2. Договорите от Маастрихт и Лисабон и значението им за сътрудничеството</w:t>
      </w:r>
    </w:p>
    <w:bookmarkEnd w:id="0"/>
    <w:p w14:paraId="27120805" w14:textId="77777777" w:rsidR="0053087C" w:rsidRPr="00E73B36" w:rsidRDefault="00D944C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Договорите от Маастрихт и Лисабон играят решаваща роля за развитието на сътрудничеството между НАТО и Европейския съюз, като осигуряват правната основа за европейската политика за сигурност и отбрана. </w:t>
      </w:r>
      <w:r w:rsidR="0053087C" w:rsidRPr="00E73B36">
        <w:rPr>
          <w:rFonts w:ascii="Times New Roman" w:eastAsia="Times New Roman" w:hAnsi="Times New Roman" w:cs="Times New Roman"/>
          <w:color w:val="313131"/>
          <w:kern w:val="0"/>
          <w14:ligatures w14:val="none"/>
        </w:rPr>
        <w:t>Договорът от Маастрихт, подписан през 1992 година и влязъл в сила през 1993 година, представлява ключов момент в развитието на Европейския съюз и в основата на бъдещото сътрудничество с НАТО в областта на сигурността и отбраната. С този договор Европейският съюз официално се създава като политически и икономически съюз, който надхвърля предишната Европейска икономическа общност. Една от най-важните нововъведени политики е Общата външна политика и политика за сигурност, която осигурява основата за развитието на общата европейска роля в международните отношения, включително в сферата на отбраната.</w:t>
      </w:r>
    </w:p>
    <w:p w14:paraId="79CA7A62"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Маастрихтският договор за първи път институционализира амбицията на Европейския съюз да има самостоятелна външнополитическа роля, но в същото време запазва зависимостта на европейските държави от НАТО като основен гарант за колективната сигурност на континента. В този период НАТО остава главната отбранителна структура, а европейските усилия в областта на сигурността са ограничени главно до политически и дипломатически инициативи, без самостоятелни военни способности. Именно поради тази причина Общата външна политика и политика за сигурност, въведена с договора, не предвижда създаването на независими военни сили, а вместо това насочва ЕС към изграждане на механизми за координация на външнополитическите действия между страните членки.</w:t>
      </w:r>
    </w:p>
    <w:p w14:paraId="67C6083F"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Въвеждането на тази политика създава условия за постепенното развитие на европейските отбранителни способности, но без да заменя съществуващата структура на НАТО. На този етап Европейският съюз и неговите членки все още възприемат алианса като крайъгълен камък на сигурността в Европа, особено в контекста на трансатлантическите отношения със Съединените щати. НАТО остава водещата организация, отговорна за колективната отбрана, като това се потвърждава и в стратегическите документи на ЕС през 90-те години. Основната роля на ЕС в областта на сигурността през този период е насочена главно към дипломацията, икономическите санкции и мироопазващите мисии под егидата на международни организации като ООН и ОССЕ.</w:t>
      </w:r>
    </w:p>
    <w:p w14:paraId="33374276"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Въпреки че Договорът от Маастрихт не създава самостоятелни военни сили на ЕС, той поставя основите на бъдещото развитие на европейската отбранителна политика. В резултат на този договор започват дискусии за засилване на способностите на съюза в сферата на сигурността и необходимостта от съвместни механизми, които да позволят на Европа да действа по-автономно в определени кризи. Това впоследствие води до решения като създаването на Европейската агенция по отбрана и развитието на военни мисии под егидата на Европейския съюз.</w:t>
      </w:r>
    </w:p>
    <w:p w14:paraId="69FD8015" w14:textId="063F595D"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Значението на Маастрихтския договор за сътрудничеството между НАТО и ЕС се състои в това, че той институционализира европейските усилия в областта на сигурността и създава рамка, в която двете организации могат да взаимодействат</w:t>
      </w:r>
      <w:r w:rsidR="00C16B86">
        <w:rPr>
          <w:rStyle w:val="FootnoteReference"/>
          <w:rFonts w:ascii="Times New Roman" w:eastAsia="Times New Roman" w:hAnsi="Times New Roman" w:cs="Times New Roman"/>
          <w:color w:val="313131"/>
          <w:kern w:val="0"/>
          <w14:ligatures w14:val="none"/>
        </w:rPr>
        <w:footnoteReference w:id="38"/>
      </w:r>
      <w:r w:rsidRPr="00E73B36">
        <w:rPr>
          <w:rFonts w:ascii="Times New Roman" w:eastAsia="Times New Roman" w:hAnsi="Times New Roman" w:cs="Times New Roman"/>
          <w:color w:val="313131"/>
          <w:kern w:val="0"/>
          <w14:ligatures w14:val="none"/>
        </w:rPr>
        <w:t>. От една страна, НАТО продължава да бъде основният отбранителен алианс, на който разчитат повечето държави членки на ЕС. От друга страна, ЕС започва да развива собствени механизми за външна политика, които с времето ще доведат до по-тясно сътрудничество между двете организации. В резултат на този договор НАТО и ЕС започват да изграждат нов тип отношения, при които Европейският съюз постепенно разширява своята роля в сферата на международната сигурност, но без да подкопава водещата роля на НАТО.</w:t>
      </w:r>
    </w:p>
    <w:p w14:paraId="3D278FF4"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Маастрихтският договор поставя основата за бъдещи инициативи за сътрудничество между двете организации, като създава първите институционални механизми за координация на външнополитическите и отбранителните приоритети. Той също така подготвя почвата за по-късни ключови споразумения, като Берлин плюс, които позволяват на ЕС да използва военните ресурси на НАТО за провеждане на мироопазващи операции. Този договор е първата стъпка към развитието на европейската отбранителна идентичност, но тя все още е силно зависима от структурите и възможностите на НАТО.</w:t>
      </w:r>
    </w:p>
    <w:p w14:paraId="211146CC" w14:textId="383D78C6"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Договорът от Лисабон, който влиза в сила през 2009 година, представлява важен момент в развитието на Европейския съюз, тъй като задълбочава интеграцията в областта на сигурността и отбраната и създава правна рамка за по-тясно сътрудничество между държавите членки. Въведените с този договор механизми позволяват на ЕС да изгради по-ефективни инструменти за справяне със заплахите пред международната и европейската сигурност, като същевременно осигуряват по-тясна координация с НАТО</w:t>
      </w:r>
      <w:r w:rsidR="00C16B86">
        <w:rPr>
          <w:rStyle w:val="FootnoteReference"/>
          <w:rFonts w:ascii="Times New Roman" w:eastAsia="Times New Roman" w:hAnsi="Times New Roman" w:cs="Times New Roman"/>
          <w:color w:val="313131"/>
          <w:kern w:val="0"/>
          <w14:ligatures w14:val="none"/>
        </w:rPr>
        <w:footnoteReference w:id="39"/>
      </w:r>
      <w:r w:rsidRPr="00E73B36">
        <w:rPr>
          <w:rFonts w:ascii="Times New Roman" w:eastAsia="Times New Roman" w:hAnsi="Times New Roman" w:cs="Times New Roman"/>
          <w:color w:val="313131"/>
          <w:kern w:val="0"/>
          <w14:ligatures w14:val="none"/>
        </w:rPr>
        <w:t>.</w:t>
      </w:r>
    </w:p>
    <w:p w14:paraId="2ED5C3FF"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Една от ключовите промени, въведени с Договора от Лисабон, е създаването на механизма за Постоянно структурирано сътрудничество (PESCO), който позволява на държавите членки да разработват съвместни отбранителни проекти и да повишават своите военни способности чрез координирани инвестиции. Тази инициатива цели да подобри ефективността на европейската отбрана, като предоставя възможност за доброволно, но по-задълбочено сътрудничество между държавите, които желаят да засилят капацитета си в тази сфера. Макар че PESCO функционира в рамките на Европейския съюз, той е тясно свързан с НАТО, тъй като повечето държави от ЕС са и членки на алианса. Тази връзка гарантира, че проектите, реализирани чрез PESCO, не дублират, а допълват военните способности на НАТО, което води до по-координиран и ефективен подход към отбранителната политика в Европа.</w:t>
      </w:r>
    </w:p>
    <w:p w14:paraId="59CCE258"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Договорът от Лисабон също така укрепва правната основа на Европейския съюз в сферата на сигурността, като въвежда две важни разпоредби: клаузата за солидарност и </w:t>
      </w:r>
      <w:r w:rsidRPr="00E73B36">
        <w:rPr>
          <w:rFonts w:ascii="Times New Roman" w:eastAsia="Times New Roman" w:hAnsi="Times New Roman" w:cs="Times New Roman"/>
          <w:color w:val="313131"/>
          <w:kern w:val="0"/>
          <w14:ligatures w14:val="none"/>
        </w:rPr>
        <w:lastRenderedPageBreak/>
        <w:t>клаузата за взаимна отбрана. Клаузата за солидарност задължава държавите членки да си сътрудничат и да оказват помощ в случай на природни бедствия, терористични атаки или други сериозни заплахи за сигурността. Тази разпоредба подчертава ангажимента на ЕС към колективна защита и координирани действия при извънредни ситуации. В допълнение, клаузата за взаимна отбрана, предвидена в член 42(7) от Договора за Европейския съюз, ангажира държавите членки да си оказват помощ в случай на въоръжено нападение срещу някоя от тях. Това е значителна промяна в европейската политика за сигурност, тъй като поставя основите за по-тясно военно сътрудничество в рамките на ЕС.</w:t>
      </w:r>
    </w:p>
    <w:p w14:paraId="24141DDA"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Значението на тези клаузи за сътрудничеството между НАТО и ЕС е съществено, тъй като те насърчават съвместната работа между двете организации по въпроси, свързани с отбраната и управлението на кризи. Въпреки че клаузата за взаимна отбрана в Договора от Лисабон наподобява член 5 от Северноатлантическия договор, който е в основата на НАТО, ЕС изрично заявява, че този механизъм не трябва да подкопава водещата роля на алианса в областта на колективната отбрана. Това означава, че НАТО остава основният гарант за сигурността на европейските държави, докато ЕС допринася чрез политически и военни инициативи, които подобряват стабилността и способностите за реагиране на кризи.</w:t>
      </w:r>
    </w:p>
    <w:p w14:paraId="32CA081E"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 Договора от Лисабон се засилва и институционалната координация между НАТО и ЕС. Върховният представител на Европейския съюз за външната политика и политиката на сигурност получава по-широки правомощия, включително ръководството на Европейската служба за външна дейност, която играе роля в координацията на сътрудничеството с НАТО. Това подобрява механизмите за стратегическо взаимодействие и улеснява съгласуваността между външнополитическите и отбранителните действия на ЕС и НАТО.</w:t>
      </w:r>
    </w:p>
    <w:p w14:paraId="0BA62B29"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резултат на Договора от Лисабон сътрудничеството между НАТО и ЕС се разширява в нови области, като борбата с хибридните заплахи, подобряването на военната мобилност в Европа и засилването на сътрудничеството в киберсигурността. Европейският съюз започва да развива и собствена военна индустрия чрез Европейския фонд за отбрана, който финансира научноизследователски и развойни проекти в сферата на сигурността. Това също е тясно свързано с НАТО, тъй като подобрените способности на европейските държави допринасят за общата отбранителна готовност на алианса.</w:t>
      </w:r>
    </w:p>
    <w:p w14:paraId="00D28995" w14:textId="77777777" w:rsidR="0053087C" w:rsidRPr="00E73B36" w:rsidRDefault="0053087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Договорът от Лисабон предоставя на Европейския съюз нови инструменти за действие в сферата на сигурността и отбраната, като същевременно осигурява по-тясна координация с НАТО. Чрез механизми като PESCO, клаузата за взаимна отбрана и засилената роля на върховния представител ЕС укрепва своята отбранителна политика, без да подкопава трансатлантическите отношения. В дългосрочен план този договор допринася за развитието на стратегическо партньорство между НАТО и ЕС, като съчетава военните способности на алианса с политическите и икономическите инструменти на Европейския съюз за гарантиране на сигурността и стабилността в Европа и извън нея.</w:t>
      </w:r>
    </w:p>
    <w:p w14:paraId="64FB6D76" w14:textId="1D940240" w:rsidR="00406EFD" w:rsidRPr="00E73B36" w:rsidRDefault="00406EFD"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E73B36">
        <w:rPr>
          <w:rFonts w:ascii="Times New Roman" w:eastAsia="Times New Roman" w:hAnsi="Times New Roman" w:cs="Times New Roman"/>
          <w:b/>
          <w:bCs/>
          <w:color w:val="313131"/>
          <w:kern w:val="0"/>
          <w14:ligatures w14:val="none"/>
        </w:rPr>
        <w:t>2.3. Споразумения за обмен на информация и координация</w:t>
      </w:r>
    </w:p>
    <w:p w14:paraId="1D737771" w14:textId="047FD461" w:rsidR="00D944C9" w:rsidRPr="00E73B36" w:rsidRDefault="00D944C9"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Споразуменията за обмен на информация и координация играят ключова роля в партньорството между НАТО и Европейския съюз. Една от най-важните области на сътрудничество е споделянето на разузнавателни данни и анализи, свързани със сигурността. В рамките на споразуменията за обмен на информация НАТО и ЕС работят заедно по предотвратяване на терористични заплахи, кибератаки и хибридни операции. Разузнавателната информация се споделя чрез специални механизми за координация, които гарантират, че съюзниците получават навременни и точни данни за потенциални рискове и заплахи.</w:t>
      </w:r>
    </w:p>
    <w:p w14:paraId="7ED3248D" w14:textId="259AD714"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Едно от основните споразумения, които регулират обмена на разузнавателна информация между НАТО и ЕС, е Споразумението за сигурност на информацията, подписано през 2003 година. То създава правната основа за защитеното споделяне на класифицирани данни между двете организации, като определя механизмите за достъп и обработка на чувствителна информация. Това споразумение е ключово за укрепването на доверието между двете страни и позволява по-ефективна координация в области като борбата с международния тероризъм и киберзаплахите</w:t>
      </w:r>
      <w:r w:rsidR="003E0324">
        <w:rPr>
          <w:rStyle w:val="FootnoteReference"/>
          <w:rFonts w:ascii="Times New Roman" w:eastAsia="Times New Roman" w:hAnsi="Times New Roman" w:cs="Times New Roman"/>
          <w:color w:val="313131"/>
          <w:kern w:val="0"/>
          <w14:ligatures w14:val="none"/>
        </w:rPr>
        <w:footnoteReference w:id="40"/>
      </w:r>
      <w:r w:rsidRPr="00E73B36">
        <w:rPr>
          <w:rFonts w:ascii="Times New Roman" w:eastAsia="Times New Roman" w:hAnsi="Times New Roman" w:cs="Times New Roman"/>
          <w:color w:val="313131"/>
          <w:kern w:val="0"/>
          <w14:ligatures w14:val="none"/>
        </w:rPr>
        <w:t>.</w:t>
      </w:r>
    </w:p>
    <w:p w14:paraId="052E319C" w14:textId="721962B0"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През 2010 година е подписано допълнително споразумение за обмен на информация, което разширява съществуващите механизми и осигурява по-голяма оперативна </w:t>
      </w:r>
      <w:r w:rsidRPr="00E73B36">
        <w:rPr>
          <w:rFonts w:ascii="Times New Roman" w:eastAsia="Times New Roman" w:hAnsi="Times New Roman" w:cs="Times New Roman"/>
          <w:color w:val="313131"/>
          <w:kern w:val="0"/>
          <w14:ligatures w14:val="none"/>
        </w:rPr>
        <w:lastRenderedPageBreak/>
        <w:t>съвместимост между структурите за сигурност на ЕС и НАТО. Това споразумение позволява редовни консултации между службите за разузнаване и сигурност на двете организации, като се фокусира върху обмена на анализи за стратегически заплахи и ранно предупреждение за потенциални кризи. Чрез този механизъм НАТО и ЕС могат да координират своите действия в области като граничната сигурност, киберотбраната и борбата с организираната престъпност</w:t>
      </w:r>
      <w:r w:rsidR="003E0324">
        <w:rPr>
          <w:rStyle w:val="FootnoteReference"/>
          <w:rFonts w:ascii="Times New Roman" w:eastAsia="Times New Roman" w:hAnsi="Times New Roman" w:cs="Times New Roman"/>
          <w:color w:val="313131"/>
          <w:kern w:val="0"/>
          <w14:ligatures w14:val="none"/>
        </w:rPr>
        <w:footnoteReference w:id="41"/>
      </w:r>
      <w:r w:rsidRPr="00E73B36">
        <w:rPr>
          <w:rFonts w:ascii="Times New Roman" w:eastAsia="Times New Roman" w:hAnsi="Times New Roman" w:cs="Times New Roman"/>
          <w:color w:val="313131"/>
          <w:kern w:val="0"/>
          <w14:ligatures w14:val="none"/>
        </w:rPr>
        <w:t>.</w:t>
      </w:r>
    </w:p>
    <w:p w14:paraId="5831CEDD" w14:textId="12F85EBB"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2016 година в рамките на Срещата на върха във Варшава НАТО и ЕС подписват съвместна декларация, в която потвърждават ангажимента си за задълбочаване на сътрудничеството в разузнавателната дейност. В този документ се подчертава необходимостта от по-добро координиране на усилията за идентифициране и противодействие на хибридните заплахи, включително информационната война, кампаниите за дезинформация и използването на нерегулярни методи за дестабилизация. Впоследствие тази декларация води до разработването на допълнителни механизми за споделяне на информация, като се насърчава по-тясната интеграция на системите за разузнаване и предупреждение</w:t>
      </w:r>
      <w:r w:rsidR="003E0324">
        <w:rPr>
          <w:rStyle w:val="FootnoteReference"/>
          <w:rFonts w:ascii="Times New Roman" w:eastAsia="Times New Roman" w:hAnsi="Times New Roman" w:cs="Times New Roman"/>
          <w:color w:val="313131"/>
          <w:kern w:val="0"/>
          <w14:ligatures w14:val="none"/>
        </w:rPr>
        <w:footnoteReference w:id="42"/>
      </w:r>
      <w:r w:rsidRPr="00E73B36">
        <w:rPr>
          <w:rFonts w:ascii="Times New Roman" w:eastAsia="Times New Roman" w:hAnsi="Times New Roman" w:cs="Times New Roman"/>
          <w:color w:val="313131"/>
          <w:kern w:val="0"/>
          <w14:ligatures w14:val="none"/>
        </w:rPr>
        <w:t>.</w:t>
      </w:r>
    </w:p>
    <w:p w14:paraId="09D9E009" w14:textId="6CAE0EDF"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2018 година в Брюксел е подписана нова съвместна декларация, която още повече разширява разузнавателното сътрудничество между НАТО и ЕС. В този документ се обръща специално внимание на заплахите в киберпространството и необходимостта от координирани действия за защита на критичната инфраструктура на държавите членки. В резултат на тази декларация са създадени специални работни групи и оперативни звена, които се занимават с мониторинг на кибератаки и разработване на стратегии за бързо реагиране</w:t>
      </w:r>
      <w:r w:rsidR="003E0324">
        <w:rPr>
          <w:rStyle w:val="FootnoteReference"/>
          <w:rFonts w:ascii="Times New Roman" w:eastAsia="Times New Roman" w:hAnsi="Times New Roman" w:cs="Times New Roman"/>
          <w:color w:val="313131"/>
          <w:kern w:val="0"/>
          <w14:ligatures w14:val="none"/>
        </w:rPr>
        <w:footnoteReference w:id="43"/>
      </w:r>
      <w:r w:rsidRPr="00E73B36">
        <w:rPr>
          <w:rFonts w:ascii="Times New Roman" w:eastAsia="Times New Roman" w:hAnsi="Times New Roman" w:cs="Times New Roman"/>
          <w:color w:val="313131"/>
          <w:kern w:val="0"/>
          <w14:ligatures w14:val="none"/>
        </w:rPr>
        <w:t>.</w:t>
      </w:r>
    </w:p>
    <w:p w14:paraId="06747464"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Един от най-значимите практически механизми за разузнавателно сътрудничество между НАТО и ЕС е Центърът за анализ и обмен на разузнавателни данни, който функционира в рамките на Европейската служба за външна дейност. Този център работи в тясно сътрудничество със съответните звена на НАТО и осигурява координирано </w:t>
      </w:r>
      <w:r w:rsidRPr="00E73B36">
        <w:rPr>
          <w:rFonts w:ascii="Times New Roman" w:eastAsia="Times New Roman" w:hAnsi="Times New Roman" w:cs="Times New Roman"/>
          <w:color w:val="313131"/>
          <w:kern w:val="0"/>
          <w14:ligatures w14:val="none"/>
        </w:rPr>
        <w:lastRenderedPageBreak/>
        <w:t>анализиране на информация, свързана с тероризма, международните конфликти и хибридните заплахи. Чрез този механизъм се създава платформа за споделяне на данни между държавите членки и се повишава ефективността на общите усилия за сигурност.</w:t>
      </w:r>
    </w:p>
    <w:p w14:paraId="3CA1DFDE"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елемент в обмена на информация е сътрудничеството между НАТО и Агенцията на Европейския съюз за сътрудничество в правоприлагането (Европол). Това партньорство позволява на двете организации да обменят информация за трансгранични престъпни мрежи, финансиране на тероризма и заплахи от радикализация. Чрез тази координация се подобрява способността на ЕС и НАТО да реагират на съвременните предизвикателства в сигурността и да предотвратяват мащабни терористични актове.</w:t>
      </w:r>
    </w:p>
    <w:p w14:paraId="291622B0"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Важна роля в разузнавателното сътрудничество играят и националните разузнавателни служби на държавите членки, които осъществяват директен обмен на информация чрез двустранни и многостранни споразумения. Чрез тези механизми НАТО и ЕС могат да използват данни, събрани от различни източници, и да изградят по-добра картина на заплахите, пред които са изправени. Този процес се подпомага от редовни срещи на високо равнище между представители на разузнавателните агенции и службите за сигурност на двете организации.</w:t>
      </w:r>
    </w:p>
    <w:p w14:paraId="513D8803" w14:textId="1E2FC8A0"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Сътрудничеството между НАТО и Европейския съюз в областта на обмена на разузнавателна информация е от стратегическо значение за поддържането на международната сигурност. Чрез различни споразумения и механизми двете организации изграждат ефективна система за координация, която осигурява навременен достъп до критична информация. Това партньорство позволява по-бърза и по-ефективна реакция срещу терористични заплахи, кибероперации и хибридни атаки, като укрепва сигурността както в Европа, така и в трансатлантическото пространство.</w:t>
      </w:r>
    </w:p>
    <w:p w14:paraId="4461A45B"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Сътрудничеството между НАТО и Европейския съюз в сферата на отбраната се осъществява не само чрез разузнавателен обмен, но и чрез провеждането на съвместни военни учения, които играят решаваща роля за подобряване на оперативната съвместимост между въоръжените сили на страните членки. Тези учения са насочени към развиване на способности за съвместно действие при различни сценарии, включително управление на </w:t>
      </w:r>
      <w:r w:rsidRPr="00E73B36">
        <w:rPr>
          <w:rFonts w:ascii="Times New Roman" w:eastAsia="Times New Roman" w:hAnsi="Times New Roman" w:cs="Times New Roman"/>
          <w:color w:val="313131"/>
          <w:kern w:val="0"/>
          <w14:ligatures w14:val="none"/>
        </w:rPr>
        <w:lastRenderedPageBreak/>
        <w:t>кризи, отблъскване на кибератаки, противодействие на хибридни заплахи и колективна отбрана. Провеждането на такива мащабни учения е ключов елемент в подготовката на НАТО и ЕС за справяне с предизвикателствата в сферата на сигурността и за повишаване на тяхната координация в реални ситуации.</w:t>
      </w:r>
    </w:p>
    <w:p w14:paraId="70EB0907"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рамките на тези учения се симулират различни кризисни сценарии, които включват военни конфликти, терористични атаки, кибероперации срещу критична инфраструктура и дезинформационни кампании, насочени към дестабилизиране на съюзническите държави. По този начин се тества способността на НАТО и ЕС да реагират бързо и ефективно на заплахи, като се усъвършенстват комуникационните канали, командните структури и процедурите за вземане на решения. Тези учения дават възможност за адаптиране на военните доктрини, за проверка на взаимодействието между съюзническите въоръжени сили и за подобряване на защитата срещу нови видове заплахи, включително хибридни операции, които комбинират традиционни военни действия с кибератаки и информационна война.</w:t>
      </w:r>
    </w:p>
    <w:p w14:paraId="03C646CF" w14:textId="267D176D"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Едно от най-значимите съвместни учения между НАТО и ЕС е „Cyber Coalition“, което се провежда ежегодно и е насочено към киберотбраната. В рамките на това учение двете организации тренират своите способности за откриване, неутрализиране и възстановяване след мащабни кибератаки срещу военни и граждански мрежи. Целта е да се подобри устойчивостта на съюзническите държави срещу киберзаплахи, като се разработят ефективни механизми за ранно предупреждение, обмен на информация и координирани ответни действия</w:t>
      </w:r>
      <w:r w:rsidR="003E0324">
        <w:rPr>
          <w:rStyle w:val="FootnoteReference"/>
          <w:rFonts w:ascii="Times New Roman" w:eastAsia="Times New Roman" w:hAnsi="Times New Roman" w:cs="Times New Roman"/>
          <w:color w:val="313131"/>
          <w:kern w:val="0"/>
          <w14:ligatures w14:val="none"/>
        </w:rPr>
        <w:footnoteReference w:id="44"/>
      </w:r>
      <w:r w:rsidRPr="00E73B36">
        <w:rPr>
          <w:rFonts w:ascii="Times New Roman" w:eastAsia="Times New Roman" w:hAnsi="Times New Roman" w:cs="Times New Roman"/>
          <w:color w:val="313131"/>
          <w:kern w:val="0"/>
          <w14:ligatures w14:val="none"/>
        </w:rPr>
        <w:t>.</w:t>
      </w:r>
    </w:p>
    <w:p w14:paraId="68973103" w14:textId="71F468D0"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Друго значимо съвместно учение е „EU-NATO Parallel and Coordinated Exercises“ (PACE), което има за цел да подобри координацията между двете организации при хибридни и конвенционални заплахи. В рамките на това учение се изпълняват сценарии, свързани с дезинформационни кампании, саботаж на критична инфраструктура и използване на нерегулярни военни формирования</w:t>
      </w:r>
      <w:r w:rsidR="003E0324">
        <w:rPr>
          <w:rStyle w:val="FootnoteReference"/>
          <w:rFonts w:ascii="Times New Roman" w:eastAsia="Times New Roman" w:hAnsi="Times New Roman" w:cs="Times New Roman"/>
          <w:color w:val="313131"/>
          <w:kern w:val="0"/>
          <w14:ligatures w14:val="none"/>
        </w:rPr>
        <w:footnoteReference w:id="45"/>
      </w:r>
      <w:r w:rsidRPr="00E73B36">
        <w:rPr>
          <w:rFonts w:ascii="Times New Roman" w:eastAsia="Times New Roman" w:hAnsi="Times New Roman" w:cs="Times New Roman"/>
          <w:color w:val="313131"/>
          <w:kern w:val="0"/>
          <w14:ligatures w14:val="none"/>
        </w:rPr>
        <w:t xml:space="preserve">. Това е първото учение, което се </w:t>
      </w:r>
      <w:r w:rsidRPr="00E73B36">
        <w:rPr>
          <w:rFonts w:ascii="Times New Roman" w:eastAsia="Times New Roman" w:hAnsi="Times New Roman" w:cs="Times New Roman"/>
          <w:color w:val="313131"/>
          <w:kern w:val="0"/>
          <w14:ligatures w14:val="none"/>
        </w:rPr>
        <w:lastRenderedPageBreak/>
        <w:t>провежда едновременно в структурите на НАТО и ЕС, като се използват реални комуникационни канали и механизми за командване и управление. Чрез тези учения се тества ефективността на процедурите за обмен на информация, съгласуваността на решенията и координацията на военните операции.</w:t>
      </w:r>
    </w:p>
    <w:p w14:paraId="0B403AAD"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Освен съвместните учения, съществуват и формализирани комуникационни канали между НАТО и Европейския съюз, които позволяват ефективно взаимодействие на различни нива. Редовно се провеждат срещи на високо равнище, в които участват генералният секретар на НАТО и върховният представител на ЕС по външните работи и политиката на сигурност. Тези срещи имат за цел да обсъдят актуалните предизвикателства пред сигурността, да координират стратегиите за отбрана и да определят приоритетите за съвместни действия. Освен това съществуват постоянни работни групи, които осигуряват непрекъснат диалог между военните и политическите структури на двете организации.</w:t>
      </w:r>
    </w:p>
    <w:p w14:paraId="3A17B89E" w14:textId="06B6D30C"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Един от ключовите механизми за координация е сътрудничеството между Военния комитет на НАТО и Военния щаб на ЕС</w:t>
      </w:r>
      <w:r w:rsidR="003E0324">
        <w:rPr>
          <w:rStyle w:val="FootnoteReference"/>
          <w:rFonts w:ascii="Times New Roman" w:eastAsia="Times New Roman" w:hAnsi="Times New Roman" w:cs="Times New Roman"/>
          <w:color w:val="313131"/>
          <w:kern w:val="0"/>
          <w14:ligatures w14:val="none"/>
        </w:rPr>
        <w:footnoteReference w:id="46"/>
      </w:r>
      <w:r w:rsidRPr="00E73B36">
        <w:rPr>
          <w:rFonts w:ascii="Times New Roman" w:eastAsia="Times New Roman" w:hAnsi="Times New Roman" w:cs="Times New Roman"/>
          <w:color w:val="313131"/>
          <w:kern w:val="0"/>
          <w14:ligatures w14:val="none"/>
        </w:rPr>
        <w:t>. Тези структури обменят информация, анализират рискове и разработват съвместни планове за действие при кризисни ситуации. В допълнение към тях, Европейската агенция по отбрана поддържа постоянен контакт с командването на НАТО, за да се гарантира, че отбранителните инициативи на ЕС са съгласувани с военната стратегия на алианса. Тази координация е от решаващо значение за избягването на дублиране на усилията и за максимално ефективно използване на ресурсите.</w:t>
      </w:r>
    </w:p>
    <w:p w14:paraId="3B1260F6" w14:textId="77777777" w:rsidR="003118EC"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Сътрудничеството между НАТО и ЕС чрез съвместни учения и институционализирани комуникационни канали значително подобрява способността на двете организации да реагират на съвременните заплахи. Чрез реалистични сценарии и симулации се усъвършенстват механизмите за бързо реагиране, подобрява се синхронизацията между военните сили на страните членки и се създават ефективни стратегии за управление на кризи. Това партньорство не само укрепва сигурността в Европа, но и допринася за </w:t>
      </w:r>
      <w:r w:rsidRPr="00E73B36">
        <w:rPr>
          <w:rFonts w:ascii="Times New Roman" w:eastAsia="Times New Roman" w:hAnsi="Times New Roman" w:cs="Times New Roman"/>
          <w:color w:val="313131"/>
          <w:kern w:val="0"/>
          <w14:ligatures w14:val="none"/>
        </w:rPr>
        <w:lastRenderedPageBreak/>
        <w:t>стабилността на трансатлантическите отношения, като гарантира, че НАТО и ЕС работят заедно в защита на общите си интереси.</w:t>
      </w:r>
    </w:p>
    <w:p w14:paraId="408D478D" w14:textId="77777777" w:rsidR="00812F0D" w:rsidRPr="00E73B36" w:rsidRDefault="00812F0D" w:rsidP="00926278">
      <w:pPr>
        <w:spacing w:line="360" w:lineRule="auto"/>
        <w:ind w:firstLine="360"/>
        <w:jc w:val="both"/>
        <w:rPr>
          <w:rFonts w:ascii="Times New Roman" w:eastAsia="Times New Roman" w:hAnsi="Times New Roman" w:cs="Times New Roman"/>
          <w:b/>
          <w:bCs/>
        </w:rPr>
      </w:pPr>
      <w:r>
        <w:rPr>
          <w:rFonts w:ascii="Times New Roman" w:eastAsia="Times New Roman" w:hAnsi="Times New Roman" w:cs="Times New Roman"/>
          <w:b/>
          <w:bCs/>
        </w:rPr>
        <w:t>2</w:t>
      </w:r>
      <w:r w:rsidRPr="00E73B36">
        <w:rPr>
          <w:rFonts w:ascii="Times New Roman" w:eastAsia="Times New Roman" w:hAnsi="Times New Roman" w:cs="Times New Roman"/>
          <w:b/>
          <w:bCs/>
        </w:rPr>
        <w:t>.</w:t>
      </w:r>
      <w:r>
        <w:rPr>
          <w:rFonts w:ascii="Times New Roman" w:eastAsia="Times New Roman" w:hAnsi="Times New Roman" w:cs="Times New Roman"/>
          <w:b/>
          <w:bCs/>
        </w:rPr>
        <w:t>4</w:t>
      </w:r>
      <w:r w:rsidRPr="00E73B36">
        <w:rPr>
          <w:rFonts w:ascii="Times New Roman" w:eastAsia="Times New Roman" w:hAnsi="Times New Roman" w:cs="Times New Roman"/>
          <w:b/>
          <w:bCs/>
        </w:rPr>
        <w:t>. Институционални механизми за координация</w:t>
      </w:r>
      <w:r>
        <w:rPr>
          <w:rFonts w:ascii="Times New Roman" w:eastAsia="Times New Roman" w:hAnsi="Times New Roman" w:cs="Times New Roman"/>
          <w:b/>
          <w:bCs/>
        </w:rPr>
        <w:t xml:space="preserve"> на действията на НАТО и ЕС в областта на киберсигурността </w:t>
      </w:r>
    </w:p>
    <w:p w14:paraId="06FED3ED"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Институционалните механизми за координация между Европейския съюз и НАТО са ключови за осигуряването на ефективно сътрудничество в областта на сигурността и отбраната. Тези механизми включват редица формални и неформални процеси, които позволяват стратегическо планиране, обмен на информация и координирани действия при възникване на заплахи.</w:t>
      </w:r>
    </w:p>
    <w:p w14:paraId="7914ED8E"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Ежегодните срещи и форуми за сътрудничество между Европейския съюз и НАТО са от решаващо значение за институционалната координация между двете организации. Те предоставят възможност на високопоставени представители и експерти да обсъдят актуалните предизвикателства в областта на сигурността, както и да идентифицират нови сфери на взаимодействие. Сред най-важните формати на тези срещи са консултациите на високо равнище, които включват редовни срещи между генералния секретар на НАТО и върховния представител на ЕС по външните работи и политиката на сигурност. Тези дискусии играят ключова роля в определянето на стратегическите приоритети и адаптирането на съвместните политики спрямо динамично променящата се глобална среда.</w:t>
      </w:r>
    </w:p>
    <w:p w14:paraId="32EA6536" w14:textId="5A7A66BE"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На експертно ниво се провеждат работни заседания, които обединяват специалисти в областта на отбраната, разузнаването, киберсигурността и кризисното управление. Тези срещи предоставят възможност за детайлно обсъждане на конкретни оперативни въпроси и координация на съвместни мисии и проекти. Те се фокусират върху подобряване на обмена на информация, разработване на механизми за бърза реакция при кризи и засилване на координацията при противодействие на хибридни заплахи. Работните групи също така анализират ефективността на съществуващите механизми и предлагат нови подходи за справяне с възникващи рискове</w:t>
      </w:r>
      <w:r w:rsidR="003E0324">
        <w:rPr>
          <w:rStyle w:val="FootnoteReference"/>
          <w:rFonts w:ascii="Times New Roman" w:eastAsia="Times New Roman" w:hAnsi="Times New Roman" w:cs="Times New Roman"/>
          <w:color w:val="313131"/>
          <w:kern w:val="0"/>
          <w14:ligatures w14:val="none"/>
        </w:rPr>
        <w:footnoteReference w:id="47"/>
      </w:r>
      <w:r w:rsidRPr="00E73B36">
        <w:rPr>
          <w:rFonts w:ascii="Times New Roman" w:eastAsia="Times New Roman" w:hAnsi="Times New Roman" w:cs="Times New Roman"/>
          <w:color w:val="313131"/>
          <w:kern w:val="0"/>
          <w14:ligatures w14:val="none"/>
        </w:rPr>
        <w:t>.</w:t>
      </w:r>
    </w:p>
    <w:p w14:paraId="65398F93"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Освен официалните срещи, Европейският съюз и НАТО организират съвместни семинари и конференции, които събират представители на различни институции, военни структури и академични среди. Тези форуми предоставят платформа за обмен на добри практики, анализ на глобалните тенденции в сигурността и разработване на иновативни решения за справяне със заплахите. В този контекст се провеждат ежегодни конференции по теми като киберотбрана, стратегическа комуникация, управление на кризи и военно сътрудничество. Те осигуряват възможност за задълбочен анализ на съвременните заплахи и подпомагат изграждането на интегрирани стратегии за противодействие.</w:t>
      </w:r>
    </w:p>
    <w:p w14:paraId="6C45D4C3"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аспект на институционалната координация са тренировъчните и симулационни програми, които имат за цел подобряване на оперативната съвместимост между силите на ЕС и НАТО. В рамките на тези инициативи се провеждат съвместни военни и граждански учения, които симулират сценарии на кризи, включително мащабни кибератаки, терористични заплахи и операции за управление на последствията от конфликти. Подобни учения предоставят възможност на експертите и военните структури да усъвършенстват механизмите си за координация и да подобрят способността си за бърза и ефективна реакция. Едно от най-значимите ежегодни учения е Cyber Coalition, което се фокусира върху повишаване на устойчивостта срещу кибератаки и усъвършенстване на методите за киберотбрана.</w:t>
      </w:r>
    </w:p>
    <w:p w14:paraId="4E003F4A" w14:textId="008A4386"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Цялостният механизъм за институционална координация чрез срещи, форуми и тренировъчни програми укрепва сътрудничеството между ЕС и НАТО и гарантира по-добра координация на политиките за сигурност и отбрана. Чрез тези инициативи двете организации създават ефективна рамка за справяне със заплахите, пред които са изправени държавите членки, и подобряват способността си за колективна реакция при различни сценарии на кризи</w:t>
      </w:r>
      <w:r w:rsidR="003E0324">
        <w:rPr>
          <w:rStyle w:val="FootnoteReference"/>
          <w:rFonts w:ascii="Times New Roman" w:eastAsia="Times New Roman" w:hAnsi="Times New Roman" w:cs="Times New Roman"/>
          <w:color w:val="313131"/>
          <w:kern w:val="0"/>
          <w14:ligatures w14:val="none"/>
        </w:rPr>
        <w:footnoteReference w:id="48"/>
      </w:r>
      <w:r w:rsidRPr="00E73B36">
        <w:rPr>
          <w:rFonts w:ascii="Times New Roman" w:eastAsia="Times New Roman" w:hAnsi="Times New Roman" w:cs="Times New Roman"/>
          <w:color w:val="313131"/>
          <w:kern w:val="0"/>
          <w14:ligatures w14:val="none"/>
        </w:rPr>
        <w:t>.</w:t>
      </w:r>
    </w:p>
    <w:p w14:paraId="7A88DCDC"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Европейската служба за външна дейност играе централна роля в осъществяването на външната политика и политиката за сигурност на Европейския съюз, като действа като </w:t>
      </w:r>
      <w:r w:rsidRPr="00E73B36">
        <w:rPr>
          <w:rFonts w:ascii="Times New Roman" w:eastAsia="Times New Roman" w:hAnsi="Times New Roman" w:cs="Times New Roman"/>
          <w:color w:val="313131"/>
          <w:kern w:val="0"/>
          <w14:ligatures w14:val="none"/>
        </w:rPr>
        <w:lastRenderedPageBreak/>
        <w:t>основен механизъм за институционална координация между ЕС и НАТО. Тя е създадена с Договора от Лисабон и функционира като дипломатическата служба на ЕС, отговаряща за координиране на външнополитическите действия на Съюза, както и за взаимодействието му със стратегически партньори като НАТО. Основната ѝ задача е да осигури ефективно сътрудничество и да интегрира различните аспекти на външната политика, сигурността и отбраната в единна стратегия, която да отразява интересите на държавите членки.</w:t>
      </w:r>
    </w:p>
    <w:p w14:paraId="6F8DE219"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рамките на тази институция функционира специализиран Отдел за сътрудничество с НАТО, който има за задача да поддържа постоянен диалог с представителите на Алианса и да осигурява обмен на стратегическа информация в сферата на отбраната, кризисното управление и противодействието на хибридни заплахи. Този отдел работи в тясно сътрудничество със съответните структури в НАТО, като гарантира, че съвместните инициативи в областта на отбранителната политика, киберсигурността и стратегическата комуникация са съгласувани и интегрирани. Чрез този механизъм Европейската служба за външна дейност участва в планирането и подготовката на стратегически документи, които определят насоките за сътрудничеството между двете организации.</w:t>
      </w:r>
    </w:p>
    <w:p w14:paraId="3127D4CA" w14:textId="6FB906B6"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Друга важна роля на Европейската служба за външна дейност е управлението на военните и гражданските мисии на ЕС в рамките на Общата политика за сигурност и отбрана. В този контекст службата координира съвместни действия с НАТО в региони, където има нужда от засилено международно присъствие за стабилизиране на ситуацията. Това включва мисиите на ЕС за управление на кризи, операции за мироопазване и граждански мисии, които работят за укрепване на институционалния капацитет в партньорски държави. Тези мисии често разчитат на ресурси, предоставени чрез споразуменията между ЕС и НАТО, като например Берлин плюс механизма, който позволява на ЕС да използва командните структури на НАТО при провеждането на военни операции. В резултат на това Европейската служба за външна дейност играе ключова роля в интеграцията на гражданските и военните аспекти на сигурността, като осигурява </w:t>
      </w:r>
      <w:r w:rsidRPr="00E73B36">
        <w:rPr>
          <w:rFonts w:ascii="Times New Roman" w:eastAsia="Times New Roman" w:hAnsi="Times New Roman" w:cs="Times New Roman"/>
          <w:color w:val="313131"/>
          <w:kern w:val="0"/>
          <w14:ligatures w14:val="none"/>
        </w:rPr>
        <w:lastRenderedPageBreak/>
        <w:t>ефективно взаимодействие между различните компоненти на международната политика за сигурност</w:t>
      </w:r>
      <w:r w:rsidR="003E0324">
        <w:rPr>
          <w:rStyle w:val="FootnoteReference"/>
          <w:rFonts w:ascii="Times New Roman" w:eastAsia="Times New Roman" w:hAnsi="Times New Roman" w:cs="Times New Roman"/>
          <w:color w:val="313131"/>
          <w:kern w:val="0"/>
          <w14:ligatures w14:val="none"/>
        </w:rPr>
        <w:footnoteReference w:id="49"/>
      </w:r>
      <w:r w:rsidRPr="00E73B36">
        <w:rPr>
          <w:rFonts w:ascii="Times New Roman" w:eastAsia="Times New Roman" w:hAnsi="Times New Roman" w:cs="Times New Roman"/>
          <w:color w:val="313131"/>
          <w:kern w:val="0"/>
          <w14:ligatures w14:val="none"/>
        </w:rPr>
        <w:t>.</w:t>
      </w:r>
    </w:p>
    <w:p w14:paraId="601B1F06"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допълнение към управлението на мисии и операциите на ЕС, Европейската служба за външна дейност работи в тясно сътрудничество с Европейската комисия и Съвета на ЕС за гарантиране на единен и интегриран подход към външната политика и отбраната. Това включва координация на политиките за разширяване на стратегическите партньорства, определяне на общи приоритети в областта на сигурността и разработване на съвместни инициативи за противодействие на транснационални заплахи като тероризма, киберпрестъпността и дезинформационните кампании. Европейската служба за външна дейност също така координира дипломатическите усилия на ЕС в рамките на международни организации като ООН и ОССЕ, като търси възможности за синхронизиране на усилията на Европейския съюз и НАТО с тези на други глобални и регионални партньори.</w:t>
      </w:r>
    </w:p>
    <w:p w14:paraId="0B821AA0" w14:textId="20B9B86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Чрез интеграцията на различни инструменти за външна политика, координацията на международните мисии и стратегическото взаимодействие с НАТО, Европейската служба за външна дейност осигурява стабилност и последователност в действията на ЕС в сферата на сигурността. Нейната роля в укрепването на диалога с НАТО и в осъществяването на съвместни инициативи в сферата на отбраната я прави незаменим елемент в механизмите за сигурност на ЕС. В резултат на тази координация Европейският съюз и НАТО могат да реагират по-ефективно на глобалните предизвикателства и да гарантират защитата на общите си интереси в международния контекст</w:t>
      </w:r>
      <w:r w:rsidR="003E0324">
        <w:rPr>
          <w:rStyle w:val="FootnoteReference"/>
          <w:rFonts w:ascii="Times New Roman" w:eastAsia="Times New Roman" w:hAnsi="Times New Roman" w:cs="Times New Roman"/>
          <w:color w:val="313131"/>
          <w:kern w:val="0"/>
          <w14:ligatures w14:val="none"/>
        </w:rPr>
        <w:footnoteReference w:id="50"/>
      </w:r>
      <w:r w:rsidRPr="00E73B36">
        <w:rPr>
          <w:rFonts w:ascii="Times New Roman" w:eastAsia="Times New Roman" w:hAnsi="Times New Roman" w:cs="Times New Roman"/>
          <w:color w:val="313131"/>
          <w:kern w:val="0"/>
          <w14:ligatures w14:val="none"/>
        </w:rPr>
        <w:t>.</w:t>
      </w:r>
    </w:p>
    <w:p w14:paraId="19441FC1"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Взаимодействието между военните и цивилните структури на ЕС и НАТО е ключов аспект от институционалната координация между двете организации и играе съществена роля в противодействието на съвременните заплахи. Тази интеграция е необходима за справяне с хибридни атаки, укрепване на киберсигурността и ефективно управление на кризи. Двете организации разполагат с различни, но взаимно допълващи се способности в </w:t>
      </w:r>
      <w:r w:rsidRPr="00E73B36">
        <w:rPr>
          <w:rFonts w:ascii="Times New Roman" w:eastAsia="Times New Roman" w:hAnsi="Times New Roman" w:cs="Times New Roman"/>
          <w:color w:val="313131"/>
          <w:kern w:val="0"/>
          <w14:ligatures w14:val="none"/>
        </w:rPr>
        <w:lastRenderedPageBreak/>
        <w:t>тези области, което прави тяхното сътрудничество от решаващо значение за гарантиране на стабилността и сигурността в Европа и отвъд нея.</w:t>
      </w:r>
    </w:p>
    <w:p w14:paraId="6582E85B"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На оперативно ниво военните командни структури на НАТО си сътрудничат тясно с Европейската военна служба, която функционира в рамките на Европейската служба за външна дейност. Това взаимодействие включва съвместно стратегическо планиране на военни учения, логистична подкрепа и споделяне на оперативни ресурси при осъществяване на мисии. Една от най-важните платформи за това сътрудничество е механизмът „Берлин плюс“, който позволява на ЕС да разчита на командната инфраструктура и военните способности на НАТО за провеждане на операции по управление на кризи. Това дава възможност на Европейския съюз да използва ресурсите на Алианса, когато изпълнява военни мисии, без да създава паралелни структури, което повишава ефективността на операциите и оптимизира разходите за отбрана.</w:t>
      </w:r>
    </w:p>
    <w:p w14:paraId="6A18E291"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допълнение към военната координация ЕС и НАТО развиват съвместни гражданско-военни проекти, които са насочени към стабилизиране на постконфликтни региони и изграждане на устойчивост срещу хибридни заплахи. Тези проекти включват инициативи за възстановяване на държавните институции в засегнатите страни, предоставяне на хуманитарна помощ и изграждане на капацитет за справяне с икономическите и социалните последици от конфликтите. ЕС често допълва военното присъствие на НАТО със свои граждански мисии, които се фокусират върху укрепването на правовата държава, обучението на местните сили за сигурност и подпомагането на демократичните реформи. В този контекст европейските цивилни мисии в рамките на Общата политика за сигурност и отбрана работят в тясно сътрудничество с военните структури на НАТО, за да гарантират координирани и последователни действия в регионите на криза.</w:t>
      </w:r>
    </w:p>
    <w:p w14:paraId="57B8CA03"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Пример за такова взаимодействие е операция „Алтея“ в Босна и Херцеговина, при която Европейският съюз използва ресурси на НАТО за мироопазваща мисия, докато в същото време ЕС изпълнява граждански програми за изграждане на държавен капацитет и реформиране на сектора за сигурност. Подобен модел на сътрудничество се наблюдава и в Косово, където мисията на НАТО KFOR осигурява военно присъствие, докато ЕС допълва </w:t>
      </w:r>
      <w:r w:rsidRPr="00E73B36">
        <w:rPr>
          <w:rFonts w:ascii="Times New Roman" w:eastAsia="Times New Roman" w:hAnsi="Times New Roman" w:cs="Times New Roman"/>
          <w:color w:val="313131"/>
          <w:kern w:val="0"/>
          <w14:ligatures w14:val="none"/>
        </w:rPr>
        <w:lastRenderedPageBreak/>
        <w:t>усилията със своята гражданска мисия EULEX, която подпомага развитието на правосъдието и върховенството на закона в страната.</w:t>
      </w:r>
    </w:p>
    <w:p w14:paraId="672AC029"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аспект на взаимодействието между военните и цивилните структури е подготовката за противодействие на хибридни заплахи, включително дезинформационни кампании, кибератаки и икономически натиск. ЕС и НАТО разработват координирани стратегии за подобряване на устойчивостта на своите държави членки срещу подобни заплахи. Част от тези усилия включват провеждането на съвместни симулации и учения, които целят да подобрят способността на националните правителства да реагират на различни сценарии на кризи. Пример за такава инициатива е съвместното киберучение Cyber Coalition, което тества готовността на европейските и натовските структури да реагират на мащабни кибератаки.</w:t>
      </w:r>
    </w:p>
    <w:p w14:paraId="6E1AD463"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Взаимодействието между военните и цивилните структури се осъществява и в рамките на стратегическия диалог между Европейската служба за външна дейност и военните командвания на НАТО. Тези консултации са от решаващо значение за координацията на съвместни мисии, разпределението на ресурси и синхронизирането на политиките за сигурност. Те осигуряват механизъм за навременен обмен на информация между военните и гражданските органи на двете организации, което позволява по-бърза и ефективна реакция при кризи.</w:t>
      </w:r>
    </w:p>
    <w:p w14:paraId="1652BE99"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Всички тези аспекти на взаимодействието между военните и цивилните структури на ЕС и НАТО формират интегриран механизъм за сигурност, който комбинира отбранителните способности на Алианса с институционалния и икономическия капацитет на Европейския съюз. Този модел на сътрудничество позволява по-гъвкав и всеобхватен подход към предизвикателствата в сигурността, като осигурява по-добра координация при управлението на международни кризи и противодействието на хибридни заплахи.</w:t>
      </w:r>
    </w:p>
    <w:p w14:paraId="1F63D752" w14:textId="77777777" w:rsidR="00812F0D" w:rsidRPr="00E73B36" w:rsidRDefault="00812F0D"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p>
    <w:p w14:paraId="7CC3CB53" w14:textId="77777777" w:rsidR="00E73B36" w:rsidRPr="00E73B36" w:rsidRDefault="00E73B36" w:rsidP="00926278">
      <w:pPr>
        <w:spacing w:line="360" w:lineRule="auto"/>
        <w:jc w:val="both"/>
        <w:rPr>
          <w:rFonts w:ascii="Times New Roman" w:eastAsia="Times New Roman" w:hAnsi="Times New Roman" w:cs="Times New Roman"/>
          <w:b/>
          <w:bCs/>
        </w:rPr>
      </w:pPr>
      <w:r w:rsidRPr="00E73B36">
        <w:rPr>
          <w:rFonts w:ascii="Times New Roman" w:eastAsia="Times New Roman" w:hAnsi="Times New Roman" w:cs="Times New Roman"/>
          <w:b/>
          <w:bCs/>
        </w:rPr>
        <w:br w:type="page"/>
      </w:r>
    </w:p>
    <w:p w14:paraId="1CA3248E" w14:textId="030C8922" w:rsidR="00406EFD" w:rsidRPr="00E73B36" w:rsidRDefault="00E73B36" w:rsidP="00926278">
      <w:pPr>
        <w:spacing w:line="360" w:lineRule="auto"/>
        <w:ind w:firstLine="360"/>
        <w:jc w:val="both"/>
        <w:rPr>
          <w:rFonts w:ascii="Times New Roman" w:eastAsia="Times New Roman" w:hAnsi="Times New Roman" w:cs="Times New Roman"/>
          <w:b/>
          <w:bCs/>
        </w:rPr>
      </w:pPr>
      <w:r w:rsidRPr="00E73B36">
        <w:rPr>
          <w:rFonts w:ascii="Times New Roman" w:eastAsia="Times New Roman" w:hAnsi="Times New Roman" w:cs="Times New Roman"/>
          <w:b/>
          <w:bCs/>
        </w:rPr>
        <w:lastRenderedPageBreak/>
        <w:t xml:space="preserve">Глава III. </w:t>
      </w:r>
      <w:r w:rsidR="00406EFD" w:rsidRPr="00E73B36">
        <w:rPr>
          <w:rFonts w:ascii="Times New Roman" w:eastAsia="Times New Roman" w:hAnsi="Times New Roman" w:cs="Times New Roman"/>
          <w:b/>
          <w:bCs/>
        </w:rPr>
        <w:t>Политики и стратегии за съвместни действия</w:t>
      </w:r>
      <w:r w:rsidRPr="00E73B36">
        <w:t xml:space="preserve"> </w:t>
      </w:r>
      <w:r w:rsidRPr="00E73B36">
        <w:rPr>
          <w:rFonts w:ascii="Times New Roman" w:eastAsia="Times New Roman" w:hAnsi="Times New Roman" w:cs="Times New Roman"/>
          <w:b/>
          <w:bCs/>
        </w:rPr>
        <w:t>между НАТО и ЕС в контекста на киберсигурността и хибридните войни</w:t>
      </w:r>
    </w:p>
    <w:p w14:paraId="39BE2983" w14:textId="52FE91F1" w:rsidR="00406EFD" w:rsidRPr="00E73B36" w:rsidRDefault="00E73B36"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E73B36">
        <w:rPr>
          <w:rFonts w:ascii="Times New Roman" w:eastAsia="Times New Roman" w:hAnsi="Times New Roman" w:cs="Times New Roman"/>
          <w:b/>
          <w:bCs/>
          <w:color w:val="313131"/>
          <w:kern w:val="0"/>
          <w14:ligatures w14:val="none"/>
        </w:rPr>
        <w:t xml:space="preserve">3. </w:t>
      </w:r>
      <w:r w:rsidR="00406EFD" w:rsidRPr="00E73B36">
        <w:rPr>
          <w:rFonts w:ascii="Times New Roman" w:eastAsia="Times New Roman" w:hAnsi="Times New Roman" w:cs="Times New Roman"/>
          <w:b/>
          <w:bCs/>
          <w:color w:val="313131"/>
          <w:kern w:val="0"/>
          <w14:ligatures w14:val="none"/>
        </w:rPr>
        <w:t>1. Европейска стратегия за киберсигурност</w:t>
      </w:r>
    </w:p>
    <w:p w14:paraId="58135953" w14:textId="2B34104E"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Европейската стратегия за киберсигурност представлява комплексен и многопластов подход на Европейския съюз за защита на цифровата инфраструктура, личните данни и критичните услуги от кибератаки. Тази стратегия е създадена с цел да осигури устойчивост срещу нарастващите заплахи в киберпространството и да укрепи способността на ЕС и неговите държави членки да се справят с рисковете, свързани с цифровите технологии. Разработването и прилагането на тази стратегия е ключова част от усилията на ЕС да се утвърди като глобален лидер в областта на киберсигурността, като гарантира безопасността на своите граждани, бизнеси и институции.</w:t>
      </w:r>
    </w:p>
    <w:p w14:paraId="6AA78477" w14:textId="0012E0EF"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Първата Европейска стратегия за киберсигурност е приета през 2013 година от Европейската комисия и Върховния представител на ЕС по външните работи и политиката на сигурност. Тя поставя основите на общоевропейския подход към киберсигурността, като дефинира основните принципи и приоритети за защита на цифровото пространство на ЕС</w:t>
      </w:r>
      <w:r w:rsidR="003E0324">
        <w:rPr>
          <w:rStyle w:val="FootnoteReference"/>
          <w:rFonts w:ascii="Times New Roman" w:eastAsia="Times New Roman" w:hAnsi="Times New Roman" w:cs="Times New Roman"/>
          <w:color w:val="313131"/>
          <w:kern w:val="0"/>
          <w14:ligatures w14:val="none"/>
        </w:rPr>
        <w:footnoteReference w:id="51"/>
      </w:r>
      <w:r w:rsidRPr="00E73B36">
        <w:rPr>
          <w:rFonts w:ascii="Times New Roman" w:eastAsia="Times New Roman" w:hAnsi="Times New Roman" w:cs="Times New Roman"/>
          <w:color w:val="313131"/>
          <w:kern w:val="0"/>
          <w14:ligatures w14:val="none"/>
        </w:rPr>
        <w:t>.</w:t>
      </w:r>
    </w:p>
    <w:p w14:paraId="3791AE03" w14:textId="152F3CB0"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2020 година Европейската комисия представя актуализирана Европейска стратегия за киберсигурност, която е част от по-широката програма за изграждане на „цифрово бъдеще“ на ЕС. Тази обновена стратегия разширява съществуващите мерки, като поставя по-силен акцент върху защитата на критичната инфраструктура, киберустойчивостта, борбата с дезинформацията и международното сътрудничество в областта на киберотбраната</w:t>
      </w:r>
      <w:r w:rsidR="003E0324">
        <w:rPr>
          <w:rStyle w:val="FootnoteReference"/>
          <w:rFonts w:ascii="Times New Roman" w:eastAsia="Times New Roman" w:hAnsi="Times New Roman" w:cs="Times New Roman"/>
          <w:color w:val="313131"/>
          <w:kern w:val="0"/>
          <w14:ligatures w14:val="none"/>
        </w:rPr>
        <w:footnoteReference w:id="52"/>
      </w:r>
      <w:r w:rsidRPr="00E73B36">
        <w:rPr>
          <w:rFonts w:ascii="Times New Roman" w:eastAsia="Times New Roman" w:hAnsi="Times New Roman" w:cs="Times New Roman"/>
          <w:color w:val="313131"/>
          <w:kern w:val="0"/>
          <w14:ligatures w14:val="none"/>
        </w:rPr>
        <w:t>.</w:t>
      </w:r>
    </w:p>
    <w:p w14:paraId="6ACD6854"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2022 година е приета новата Директива NIS2, която допълнително укрепва правната рамка на ЕС за киберсигурност, като въвежда по-строги изисквания за защита на критичната цифрова инфраструктура и разширява обхвата на предишното законодателство.</w:t>
      </w:r>
    </w:p>
    <w:p w14:paraId="7956BBB0" w14:textId="3F5235F4"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Основните принципи на стратегията включват повишаване на защитата на критичната цифрова инфраструктура, засилване на капацитета за противодействие на киберзаплахи и изграждане на общоевропейски механизми за сътрудничество между държавите членки. За постигането на тези цели Европейският съюз въвежда редица законодателни и организационни мерки, които регулират начина, по който публичният и частният сектор трябва да работят заедно, за да се предотвратят, откриват и неутрализират кибератаки</w:t>
      </w:r>
      <w:r w:rsidR="003E0324">
        <w:rPr>
          <w:rStyle w:val="FootnoteReference"/>
          <w:rFonts w:ascii="Times New Roman" w:eastAsia="Times New Roman" w:hAnsi="Times New Roman" w:cs="Times New Roman"/>
          <w:color w:val="313131"/>
          <w:kern w:val="0"/>
          <w14:ligatures w14:val="none"/>
        </w:rPr>
        <w:footnoteReference w:id="53"/>
      </w:r>
      <w:r w:rsidRPr="00E73B36">
        <w:rPr>
          <w:rFonts w:ascii="Times New Roman" w:eastAsia="Times New Roman" w:hAnsi="Times New Roman" w:cs="Times New Roman"/>
          <w:color w:val="313131"/>
          <w:kern w:val="0"/>
          <w14:ligatures w14:val="none"/>
        </w:rPr>
        <w:t>.</w:t>
      </w:r>
    </w:p>
    <w:p w14:paraId="0F6B366B"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Един от основните елементи на стратегията за киберсигурност е Директивата за сигурността на мрежите и информационните системи, известна като NIS Директива. Това е първата всеобхватна законодателна рамка в ЕС, която цели да подобри киберсигурността на държавите членки, като въведе задължителни изисквания за основните доставчици на услуги и оператори на критична инфраструктура, като енергийни компании, финансови институции, транспортни оператори и здравни услуги. Директивата изисква от тези организации да приемат мерки за управление на рисковете в киберпространството и да докладват за инциденти, които могат да засегнат сигурността на тяхната дейност.</w:t>
      </w:r>
    </w:p>
    <w:p w14:paraId="1F135481" w14:textId="6FAA3176"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2022 година е приета актуализирана версия на тази директива, известна като NIS2, която значително разширява обхвата на законодателството и включва нови категории оператори на основни услуги, като доставчици на облачни услуги, доставчици на центрове за данни и социални медийни платформи. NIS2 също така засилва механизмите за санкциониране на организации, които не спазват задълженията си за киберсигурност, и въвежда по-строги изисквания за обмен на информация между държавите членки и Европейската агенция за киберсигурност.</w:t>
      </w:r>
    </w:p>
    <w:p w14:paraId="439DA417"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Европейската агенция за киберсигурност (ENISA) играе централна роля в изпълнението на стратегията за киберсигурност, като предоставя техническа експертиза, насоки и подкрепа на националните правителства и частния сектор. ENISA работи за подобряване на общата устойчивост на ЕС срещу кибератаки чрез организиране на киберучения, разработване на стандарти за сигурност и подпомагане на държавите членки в изграждането на национални стратегии за киберсигурност. Агенцията също така играе важна роля в </w:t>
      </w:r>
      <w:r w:rsidRPr="00E73B36">
        <w:rPr>
          <w:rFonts w:ascii="Times New Roman" w:eastAsia="Times New Roman" w:hAnsi="Times New Roman" w:cs="Times New Roman"/>
          <w:color w:val="313131"/>
          <w:kern w:val="0"/>
          <w14:ligatures w14:val="none"/>
        </w:rPr>
        <w:lastRenderedPageBreak/>
        <w:t>координирането на реакцията при трансгранични киберинциденти и подпомага обмена на разузнавателна информация между държавите членки.</w:t>
      </w:r>
    </w:p>
    <w:p w14:paraId="11ACEE49"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аспект на стратегията за киберсигурност е засилването на сътрудничеството между Европейския съюз и неговите международни партньори, включително НАТО, Съединените щати и други стратегически съюзници. ЕС работи активно за подобряване на глобалната киберустойчивост чрез подписване на двустранни споразумения за обмен на разузнавателна информация, разработване на съвместни инициативи за киберзащита и участие в международни форуми, които имат за цел да установят стандарти и норми за поведение в киберпространството.</w:t>
      </w:r>
    </w:p>
    <w:p w14:paraId="323E1786"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Стратегията също така включва инициативи за борба с дезинформацията и цифровите заплахи, които могат да бъдат използвани за дестабилизиране на демократичните процеси в ЕС. Европейският съюз създаде специални механизми за мониторинг и противодействие на дезинформационни кампании, които са насочени към манипулиране на общественото мнение, включително специализирани звена за анализ и проследяване на дезинформацията в рамките на Европейската служба за външна дейност. В допълнение към това, ЕС засилва регулацията върху социалните медийни платформи, като изисква от тях да прилагат по-строги мерки за идентифициране и премахване на злонамерено съдържание, включително фалшиви новини и координирани дезинформационни операции.</w:t>
      </w:r>
    </w:p>
    <w:p w14:paraId="13194194"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основен компонент на стратегията за киберсигурност е изграждането на европейски капацитет за реагиране на киберзаплахи. За тази цел ЕС инвестира значителни средства в развитието на национални и европейски киберситуационни центрове, които следят за потенциални атаки и предоставят навременна информация за рискове в реално време. В допълнение към това, ЕС създаде Европейския център за компетентност по киберсигурност, който има за задача да координира научните изследвания и иновациите в областта на киберзащитата.</w:t>
      </w:r>
    </w:p>
    <w:p w14:paraId="4AF592B2"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Част от стратегията за киберсигурност е и насърчаването на киберхигиената сред гражданите и бизнеса. ЕС работи активно за подобряване на осведомеността за рисковете, свързани с кибератаките, като насърчава инициативи за обучение и сертифициране на </w:t>
      </w:r>
      <w:r w:rsidRPr="00E73B36">
        <w:rPr>
          <w:rFonts w:ascii="Times New Roman" w:eastAsia="Times New Roman" w:hAnsi="Times New Roman" w:cs="Times New Roman"/>
          <w:color w:val="313131"/>
          <w:kern w:val="0"/>
          <w14:ligatures w14:val="none"/>
        </w:rPr>
        <w:lastRenderedPageBreak/>
        <w:t>експерти в областта на киберсигурността. В тази връзка се разработват и програми за образование и повишаване на киберкомпетентността сред широката общественост, като се стимулират добри практики за защита на личните данни и предотвратяване на дигитални заплахи.</w:t>
      </w:r>
    </w:p>
    <w:p w14:paraId="4A099EE4" w14:textId="77777777" w:rsidR="003118EC" w:rsidRPr="00E73B36" w:rsidRDefault="003118EC"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Европейската стратегия за киберсигурност е динамичен и постоянно развиващ се механизъм, който се адаптира към новите предизвикателства и заплахи в киберпространството. Чрез законодателни инициативи, международно сътрудничество, иновации и инвестиции в технологии ЕС цели да гарантира високо ниво на защита за своите граждани и икономика. Тази стратегия играе решаваща роля в укрепването на устойчивостта на цифровото общество и поддържането на стабилна и сигурна цифрова среда в рамките на Европейския съюз.</w:t>
      </w:r>
    </w:p>
    <w:p w14:paraId="4F4B5CD5" w14:textId="728786A4" w:rsidR="00406EFD" w:rsidRPr="00E73B36" w:rsidRDefault="00E73B36"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E73B36">
        <w:rPr>
          <w:rFonts w:ascii="Times New Roman" w:eastAsia="Times New Roman" w:hAnsi="Times New Roman" w:cs="Times New Roman"/>
          <w:b/>
          <w:bCs/>
          <w:color w:val="313131"/>
          <w:kern w:val="0"/>
          <w14:ligatures w14:val="none"/>
        </w:rPr>
        <w:t>3.</w:t>
      </w:r>
      <w:r w:rsidR="00406EFD" w:rsidRPr="00E73B36">
        <w:rPr>
          <w:rFonts w:ascii="Times New Roman" w:eastAsia="Times New Roman" w:hAnsi="Times New Roman" w:cs="Times New Roman"/>
          <w:b/>
          <w:bCs/>
          <w:color w:val="313131"/>
          <w:kern w:val="0"/>
          <w14:ligatures w14:val="none"/>
        </w:rPr>
        <w:t>2. Политика на НАТО за киберотбрана</w:t>
      </w:r>
    </w:p>
    <w:p w14:paraId="758F4CD7"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Политиката на НАТО за киберотбрана преминава през значителна еволюция, адаптирайки се към динамично променящата се среда на цифровите заплахи и нарастващото значение на киберпространството за сигурността на Алианса. Първоначално киберсигурността не е била сред основните приоритети на НАТО, но с развитието на технологиите и увеличаващите се кибератаки срещу критична инфраструктура, военни и правителствени мрежи, Алиансът постепенно изгражда всеобхватна политика за киберотбрана.</w:t>
      </w:r>
    </w:p>
    <w:p w14:paraId="1583BE6F" w14:textId="69DFEA99"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Първите стъпки в тази посока започват в края на 90-те години, когато НАТО осъзнава, че цифровата сигурност се превръща във важен компонент от колективната отбрана. През 2002 година Алиансът създава първоначална политика за киберсигурност, но тя остава ограничена по обхват и главно се фокусира върху защитата на собствените информационни системи. Промяната в подхода започва през 2007 година, когато масираната кибератака срещу Естония, приписвана на руски хакери, показва, че киберзаплахите могат да парализират цяла държава. Този случай кара НАТО да предприеме конкретни мерки за засилване на киберотбраната, което води до създаването на Центъра за върхови постижения по киберотбрана в Талин, Естония. Центърът започва да работи по разработването на </w:t>
      </w:r>
      <w:r w:rsidRPr="00E73B36">
        <w:rPr>
          <w:rFonts w:ascii="Times New Roman" w:eastAsia="Times New Roman" w:hAnsi="Times New Roman" w:cs="Times New Roman"/>
          <w:color w:val="313131"/>
          <w:kern w:val="0"/>
          <w14:ligatures w14:val="none"/>
        </w:rPr>
        <w:lastRenderedPageBreak/>
        <w:t>стратегии, тренировки и учения за киберзащита, като поставя основите за бъдещото разширяване на киберполитиките на НАТО</w:t>
      </w:r>
      <w:r w:rsidR="003E0324">
        <w:rPr>
          <w:rStyle w:val="FootnoteReference"/>
          <w:rFonts w:ascii="Times New Roman" w:eastAsia="Times New Roman" w:hAnsi="Times New Roman" w:cs="Times New Roman"/>
          <w:color w:val="313131"/>
          <w:kern w:val="0"/>
          <w14:ligatures w14:val="none"/>
        </w:rPr>
        <w:footnoteReference w:id="54"/>
      </w:r>
      <w:r w:rsidRPr="00E73B36">
        <w:rPr>
          <w:rFonts w:ascii="Times New Roman" w:eastAsia="Times New Roman" w:hAnsi="Times New Roman" w:cs="Times New Roman"/>
          <w:color w:val="313131"/>
          <w:kern w:val="0"/>
          <w14:ligatures w14:val="none"/>
        </w:rPr>
        <w:t>.</w:t>
      </w:r>
    </w:p>
    <w:p w14:paraId="7A2D5FFE"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 разширяването на заплахите и възможностите на киберпространството, НАТО актуализира своята политика през 2010 година, включвайки киберотбраната като ключов елемент в своята стратегическа концепция. В този период Алиансът започва да възприема кибератаките като потенциална заплаха, която може да подкопае сигурността на държавите членки, но все още не разглежда киберпространството като отделен оперативен домейн. Въпреки това, политиката за киберотбрана започва да се разширява, като включва засилено сътрудничество между страните членки и разработването на механизми за ранно предупреждение и обмен на информация.</w:t>
      </w:r>
    </w:p>
    <w:p w14:paraId="39C891E7" w14:textId="48DE64CF"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2014 година, след анексирането на Крим от Русия и зачестилите кибератаки срещу Украйна, НАТО осъзнава, че трябва да предприеме още по-категорични действия. В отговор на тези събития на срещата на върха в Уелс е взето решението, че значителните кибератаки могат да бъдат основание за задействане на член 5 от Северноатлантическия договор, който третира нападението срещу една държава членка като нападение срещу целия Алианс. Това представлява важен повратен момент, тъй като за първи път НАТО признава, че кибератаките могат да имат същото въздействие като конвенционалните нападения и че колективната отбрана трябва да включва мерки срещу заплахи в киберпространството</w:t>
      </w:r>
      <w:r w:rsidR="003E0324">
        <w:rPr>
          <w:rStyle w:val="FootnoteReference"/>
          <w:rFonts w:ascii="Times New Roman" w:eastAsia="Times New Roman" w:hAnsi="Times New Roman" w:cs="Times New Roman"/>
          <w:color w:val="313131"/>
          <w:kern w:val="0"/>
          <w14:ligatures w14:val="none"/>
        </w:rPr>
        <w:footnoteReference w:id="55"/>
      </w:r>
      <w:r w:rsidRPr="00E73B36">
        <w:rPr>
          <w:rFonts w:ascii="Times New Roman" w:eastAsia="Times New Roman" w:hAnsi="Times New Roman" w:cs="Times New Roman"/>
          <w:color w:val="313131"/>
          <w:kern w:val="0"/>
          <w14:ligatures w14:val="none"/>
        </w:rPr>
        <w:t>.</w:t>
      </w:r>
    </w:p>
    <w:p w14:paraId="5E9223DB" w14:textId="698071AA"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През 2016 година на срещата на върха във Варшава НАТО обявява киберпространството за отделен оперативен домейн, наред със сушата, въздуха и морето. Това означава, че кибероперациите вече не се разглеждат само като подкрепящи елементи на традиционните военни действия, а като самостоятелно поле, в което съюзниците трябва да поддържат стратегическо предимство. В този контекст НАТО започва да развива по-активен подход за </w:t>
      </w:r>
      <w:r w:rsidRPr="00E73B36">
        <w:rPr>
          <w:rFonts w:ascii="Times New Roman" w:eastAsia="Times New Roman" w:hAnsi="Times New Roman" w:cs="Times New Roman"/>
          <w:color w:val="313131"/>
          <w:kern w:val="0"/>
          <w14:ligatures w14:val="none"/>
        </w:rPr>
        <w:lastRenderedPageBreak/>
        <w:t>киберотбрана, включително чрез създаването на специализирани сили за кибероперации и интегрирането на киберспособности в съвместните военни мисии</w:t>
      </w:r>
      <w:r w:rsidR="003E0324">
        <w:rPr>
          <w:rStyle w:val="FootnoteReference"/>
          <w:rFonts w:ascii="Times New Roman" w:eastAsia="Times New Roman" w:hAnsi="Times New Roman" w:cs="Times New Roman"/>
          <w:color w:val="313131"/>
          <w:kern w:val="0"/>
          <w14:ligatures w14:val="none"/>
        </w:rPr>
        <w:footnoteReference w:id="56"/>
      </w:r>
      <w:r w:rsidRPr="00E73B36">
        <w:rPr>
          <w:rFonts w:ascii="Times New Roman" w:eastAsia="Times New Roman" w:hAnsi="Times New Roman" w:cs="Times New Roman"/>
          <w:color w:val="313131"/>
          <w:kern w:val="0"/>
          <w14:ligatures w14:val="none"/>
        </w:rPr>
        <w:t>.</w:t>
      </w:r>
    </w:p>
    <w:p w14:paraId="277679B4"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2018 година НАТО учредява Оперативния център за киберотбрана в рамките на своята нова структура за командване, което допълнително укрепва способността на Алианса да реагира бързо и ефективно на киберзаплахи. Същата година Алиансът също така започва да работи с концепцията за „суверенни киберсили“, което означава, че държавите членки могат да използват своите собствени кибероперативни единици в подкрепа на НАТО, когато това е необходимо. Това позволява на Алианса да координира кибероперациите на своите членове, без да дублира техните способности, като същевременно гарантира колективен отговор на кибератаки.</w:t>
      </w:r>
    </w:p>
    <w:p w14:paraId="0727AC83"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2021 година, в контекста на нарастващото напрежение с Русия и Китай и зачестилите кибератаки срещу ключови инфраструктурни обекти в страните членки, НАТО разширява своята политика за киберотбрана с нови мерки. Въвежда се концепцията за „усъвършенствано възпиране в киберпространството“, което включва по-интензивен обмен на разузнавателна информация, симулиране на киберконфликти в съвместни учения и по-тясно сътрудничество с Европейския съюз и други стратегически партньори. Освен това НАТО започва да интегрира нови технологии като изкуствен интелект и квантова криптография, за да укрепи своята отбранителна способност в дигиталната среда.</w:t>
      </w:r>
    </w:p>
    <w:p w14:paraId="1811C0F5"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 оглед на динамичните промени в глобалната среда, НАТО продължава да разширява и модернизира своята политика за киберотбрана, като поставя киберсигурността в центъра на своите стратегически приоритети. Въвеждането на ускорителя за иновации в отбраната DIANA и създаването на специален фонд за иновации в областта на киберсигурността са част от усилията на Алианса да поддържа технологичното си предимство. В допълнение, НАТО продължава да провежда редовни киберучения като Cyber Coalition, които тестват способността на съюзниците да реагират на сложни и координирани кибератаки.</w:t>
      </w:r>
    </w:p>
    <w:p w14:paraId="7C2446A6" w14:textId="77777777" w:rsidR="008F63C1" w:rsidRPr="00E73B36" w:rsidRDefault="008F63C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Еволюцията на политиката на НАТО за киберотбрана показва, че Алиансът преминава от пасивен и реактивен подход към киберзаплахите към проактивна и интегрирана </w:t>
      </w:r>
      <w:r w:rsidRPr="00E73B36">
        <w:rPr>
          <w:rFonts w:ascii="Times New Roman" w:eastAsia="Times New Roman" w:hAnsi="Times New Roman" w:cs="Times New Roman"/>
          <w:color w:val="313131"/>
          <w:kern w:val="0"/>
          <w14:ligatures w14:val="none"/>
        </w:rPr>
        <w:lastRenderedPageBreak/>
        <w:t>стратегия. Докато първоначално киберсигурността е разглеждана като второстепенен въпрос, днес тя е в основата на политиката за колективна отбрана. НАТО адаптира своите механизми за сигурност, интегрира кибероперациите в своите военни стратегии и изгражда капацитет за бързо реагиране, за да се справи с нарастващите предизвикателства в цифровото пространство.</w:t>
      </w:r>
    </w:p>
    <w:p w14:paraId="193533D8" w14:textId="41073390" w:rsidR="00406EFD" w:rsidRPr="00E73B36" w:rsidRDefault="00E73B36"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bookmarkStart w:id="1" w:name="_Hlk201558523"/>
      <w:r w:rsidRPr="00E73B36">
        <w:rPr>
          <w:rFonts w:ascii="Times New Roman" w:eastAsia="Times New Roman" w:hAnsi="Times New Roman" w:cs="Times New Roman"/>
          <w:b/>
          <w:bCs/>
          <w:color w:val="313131"/>
          <w:kern w:val="0"/>
          <w14:ligatures w14:val="none"/>
        </w:rPr>
        <w:t>3</w:t>
      </w:r>
      <w:r w:rsidR="00406EFD" w:rsidRPr="00E73B36">
        <w:rPr>
          <w:rFonts w:ascii="Times New Roman" w:eastAsia="Times New Roman" w:hAnsi="Times New Roman" w:cs="Times New Roman"/>
          <w:b/>
          <w:bCs/>
          <w:color w:val="313131"/>
          <w:kern w:val="0"/>
          <w14:ligatures w14:val="none"/>
        </w:rPr>
        <w:t>.3. Съвместни планове</w:t>
      </w:r>
      <w:r w:rsidRPr="00E73B36">
        <w:rPr>
          <w:rFonts w:ascii="Times New Roman" w:eastAsia="Times New Roman" w:hAnsi="Times New Roman" w:cs="Times New Roman"/>
          <w:b/>
          <w:bCs/>
          <w:color w:val="313131"/>
          <w:kern w:val="0"/>
          <w14:ligatures w14:val="none"/>
        </w:rPr>
        <w:t xml:space="preserve"> и механизми на НАТО и ЕС</w:t>
      </w:r>
      <w:r w:rsidR="00406EFD" w:rsidRPr="00E73B36">
        <w:rPr>
          <w:rFonts w:ascii="Times New Roman" w:eastAsia="Times New Roman" w:hAnsi="Times New Roman" w:cs="Times New Roman"/>
          <w:b/>
          <w:bCs/>
          <w:color w:val="313131"/>
          <w:kern w:val="0"/>
          <w14:ligatures w14:val="none"/>
        </w:rPr>
        <w:t xml:space="preserve"> за противодействие на хибридни заплахи</w:t>
      </w:r>
    </w:p>
    <w:bookmarkEnd w:id="1"/>
    <w:p w14:paraId="4121D756" w14:textId="56B4EB23"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Съвместните планове </w:t>
      </w:r>
      <w:r w:rsidR="00E73B36" w:rsidRPr="00E73B36">
        <w:rPr>
          <w:rFonts w:ascii="Times New Roman" w:eastAsia="Times New Roman" w:hAnsi="Times New Roman" w:cs="Times New Roman"/>
          <w:color w:val="313131"/>
          <w:kern w:val="0"/>
          <w14:ligatures w14:val="none"/>
        </w:rPr>
        <w:t xml:space="preserve">и механизми </w:t>
      </w:r>
      <w:r w:rsidRPr="00E73B36">
        <w:rPr>
          <w:rFonts w:ascii="Times New Roman" w:eastAsia="Times New Roman" w:hAnsi="Times New Roman" w:cs="Times New Roman"/>
          <w:color w:val="313131"/>
          <w:kern w:val="0"/>
          <w14:ligatures w14:val="none"/>
        </w:rPr>
        <w:t>на Европейския съюз и НАТО за противодействие на хибридни заплахи са резултат от нарастващото осъзнаване, че сигурността в съвременния свят изисква координиран и интегриран подход. Хибридните заплахи, които включват съчетаване на конвенционални и неконвенционални тактики като кибератаки, дезинформационни кампании, икономически натиск, енергийна зависимост и използване на нерегулярни военни формирования, представляват сериозно предизвикателство както за държавите членки на НАТО, така и за страните от Европейския съюз. В този контекст двете организации засилват сътрудничеството си, за да гарантират бърза реакция, ефективна превенция и устойчивост на обществата си срещу тези нови форми на заплахи.</w:t>
      </w:r>
    </w:p>
    <w:p w14:paraId="65E793F3" w14:textId="491B0592"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стратегическата концепция на НАТО от 2010 година тези заплахи се споменават индиректно като „нови заплахи“</w:t>
      </w:r>
      <w:r w:rsidR="004D0F59">
        <w:rPr>
          <w:rStyle w:val="FootnoteReference"/>
          <w:rFonts w:ascii="Times New Roman" w:eastAsia="Times New Roman" w:hAnsi="Times New Roman" w:cs="Times New Roman"/>
          <w:color w:val="313131"/>
          <w:kern w:val="0"/>
          <w14:ligatures w14:val="none"/>
        </w:rPr>
        <w:footnoteReference w:id="57"/>
      </w:r>
      <w:r w:rsidRPr="00E73B36">
        <w:rPr>
          <w:rFonts w:ascii="Times New Roman" w:eastAsia="Times New Roman" w:hAnsi="Times New Roman" w:cs="Times New Roman"/>
          <w:color w:val="313131"/>
          <w:kern w:val="0"/>
          <w14:ligatures w14:val="none"/>
        </w:rPr>
        <w:t xml:space="preserve">. По-късно те се включват в Capstone Concept като заплахи, създавани от противници, които използват едновременно конвенционални и неконвенционални средства, за да постигнат своите цели. От друга страна, Европейската служба за външна дейност (EEAS) едва през май 2015 година разпространява документ, озаглавен „Противодействие на хибридните заплахи“, в който се посочва, че трябва да се адресират последиците от тези заплахи и да се намерят начини за тяхното неутрализиране. </w:t>
      </w:r>
      <w:r w:rsidRPr="00E73B36">
        <w:rPr>
          <w:rFonts w:ascii="Times New Roman" w:eastAsia="Times New Roman" w:hAnsi="Times New Roman" w:cs="Times New Roman"/>
          <w:color w:val="313131"/>
          <w:kern w:val="0"/>
          <w14:ligatures w14:val="none"/>
        </w:rPr>
        <w:lastRenderedPageBreak/>
        <w:t>Хибридните заплахи се определят като съвкупност от прикрити и открити тактики, използващи военни и невоенни средства</w:t>
      </w:r>
      <w:r w:rsidR="004D0F59">
        <w:rPr>
          <w:rStyle w:val="FootnoteReference"/>
          <w:rFonts w:ascii="Times New Roman" w:eastAsia="Times New Roman" w:hAnsi="Times New Roman" w:cs="Times New Roman"/>
          <w:color w:val="313131"/>
          <w:kern w:val="0"/>
          <w14:ligatures w14:val="none"/>
        </w:rPr>
        <w:footnoteReference w:id="58"/>
      </w:r>
      <w:r w:rsidRPr="00E73B36">
        <w:rPr>
          <w:rFonts w:ascii="Times New Roman" w:eastAsia="Times New Roman" w:hAnsi="Times New Roman" w:cs="Times New Roman"/>
          <w:color w:val="313131"/>
          <w:kern w:val="0"/>
          <w14:ligatures w14:val="none"/>
        </w:rPr>
        <w:t>.</w:t>
      </w:r>
    </w:p>
    <w:p w14:paraId="0023B8C2"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Причината, поради която ЕС започва да се фокусира върху хибридните заплахи през 2015 година, може да се свърже с анексията на Крим през 2014 година, която разкрива слабостите на държавите членки на ЕС и НАТО, неподготвени за подобен тип заплахи. Именно тази ситуация създава необходимост двете организации да обединят усилията си. Според Кьониг, и НАТО, и ЕС проявяват споделен интерес към сътрудничество в тази област и то изглежда е най-успешната сфера на взаимодействие между тях. През 2016 година Европейската глобална стратегия включва ангажимент за по-тясно сътрудничество с НАТО в борбата срещу хибридните заплахи. През юли същата година НАТО потвърждава своя ангажимент към координацията с други актьори в тази сфера, като подчертава значението на самия ЕС. Именно през 2016 година, чрез своята всеобхватна стратегия за ролята си в противодействието на хибридните заплахи, НАТО осъзнава необходимостта от засилено сътрудничество с ЕС, особено в сферата на невоенните действия за предотвратяване на хибридни атаки.</w:t>
      </w:r>
    </w:p>
    <w:p w14:paraId="75739808" w14:textId="3E4CDE49"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Във Варшавската съвместна декларация от 2016 година ЕС и НАТО подчертават необходимостта от подобряване на способностите си за справяне с хибридните заплахи чрез засилване на устойчивостта, сътрудничество в анализа, превенцията и ранното откриване, своевременен обмен на информация и разузнавателни данни, както и чрез стратегическа комуникация. През 2017 година двадесет от общо седемдесет и четири съвместни предложения между ЕС и НАТО са насочени към сътрудничество в областта на хибридните заплахи, което показва колко приоритетно е това направление за двете организации. Именно 2016 година се оказва повратна точка, в която те започват да организират съвместни действия в тази сфера. Първите конкретни стъпки включват обмен на разузнавателна </w:t>
      </w:r>
      <w:r w:rsidRPr="00E73B36">
        <w:rPr>
          <w:rFonts w:ascii="Times New Roman" w:eastAsia="Times New Roman" w:hAnsi="Times New Roman" w:cs="Times New Roman"/>
          <w:color w:val="313131"/>
          <w:kern w:val="0"/>
          <w14:ligatures w14:val="none"/>
        </w:rPr>
        <w:lastRenderedPageBreak/>
        <w:t>информация, стратегическа комуникация и по-тясно сътрудничество между съответните структури на ЕС и НАТО</w:t>
      </w:r>
      <w:r w:rsidR="004D0F59">
        <w:rPr>
          <w:rStyle w:val="FootnoteReference"/>
          <w:rFonts w:ascii="Times New Roman" w:eastAsia="Times New Roman" w:hAnsi="Times New Roman" w:cs="Times New Roman"/>
          <w:color w:val="313131"/>
          <w:kern w:val="0"/>
          <w14:ligatures w14:val="none"/>
        </w:rPr>
        <w:footnoteReference w:id="59"/>
      </w:r>
      <w:r w:rsidRPr="00E73B36">
        <w:rPr>
          <w:rFonts w:ascii="Times New Roman" w:eastAsia="Times New Roman" w:hAnsi="Times New Roman" w:cs="Times New Roman"/>
          <w:color w:val="313131"/>
          <w:kern w:val="0"/>
          <w14:ligatures w14:val="none"/>
        </w:rPr>
        <w:t>.</w:t>
      </w:r>
    </w:p>
    <w:p w14:paraId="2D59AA03" w14:textId="123463BD"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съвместната Брюкселска декларация от 2018 година двете организации потвърждават необходимостта от обмен на информация и справяне с хибридните заплахи, идващи както от Изток, така и от Юг. Освен това те признават нуждата от напредък в борбата с тероризма, като и през 2018, и през 2023 година поставят особен акцент върху противодействието на дезинформацията.</w:t>
      </w:r>
    </w:p>
    <w:p w14:paraId="4AAB12FF" w14:textId="3F1E7DEA"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Един от основните аспекти на съвместните планове на ЕС и НАТО за противодействие на хибридните заплахи е изграждането на механизми за ранно предупреждение и обмен на разузнавателна информация. Европейският съюз и НАТО създават специализирани звена за мониторинг и анализ на заплахите, като Центъра за анализ и обмен на разузнавателни данни на ЕС и НАТО, който работи за идентифициране на потенциални заплахи и разработване на стратегии за тяхното неутрализиране. Тези механизми позволяват на страните членки да получават актуална информация за хибридни операции, включително разпространението на фалшиви новини, кибератаки срещу държавни институции и опити за политическа дестабилизация чрез икономически и социален натиск.</w:t>
      </w:r>
    </w:p>
    <w:p w14:paraId="639326BD"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Механизмите за ранно предупреждение и обмен на разузнавателна информация между Европейския съюз и НАТО включват няколко ключови структури и инициативи, които работят за идентифициране, анализ и противодействие на хибридните заплахи. Основна роля в тази координация играят специализираните центрове за наблюдение и анализ на заплахите, както и механизмите за стратегическо сътрудничество в областта на сигурността.</w:t>
      </w:r>
    </w:p>
    <w:p w14:paraId="1F420CC9"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Един от водещите механизми е Центърът за хибридни заплахи на НАТО, който наблюдава потенциалните рискове, свързани с информационната война, кибератаките, манипулацията на обществени нагласи и икономическия натиск. Центърът извършва анализ на хибридни операции и предлага стратегии за справяне с тях. В него се координират </w:t>
      </w:r>
      <w:r w:rsidRPr="00E73B36">
        <w:rPr>
          <w:rFonts w:ascii="Times New Roman" w:eastAsia="Times New Roman" w:hAnsi="Times New Roman" w:cs="Times New Roman"/>
          <w:color w:val="313131"/>
          <w:kern w:val="0"/>
          <w14:ligatures w14:val="none"/>
        </w:rPr>
        <w:lastRenderedPageBreak/>
        <w:t>усилията на страните членки за мониторинг на подозрителни дейности и се разработват препоръки за повишаване на устойчивостта срещу хибридни атаки.</w:t>
      </w:r>
    </w:p>
    <w:p w14:paraId="43F1329E"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От страна на Европейския съюз съществува Европейската служба за външна дейност, която включва Отдела за стратегически комуникации и разузнавателен анализ. Този отдел е отговорен за събирането и анализирането на информация, свързана с хибридни заплахи, и за координацията между различните институции на ЕС. Неговата роля е да следи и разкрива случаи на дезинформационни кампании, особено тези, насочени към подкопаване на демократичните процеси в страните членки.</w:t>
      </w:r>
    </w:p>
    <w:p w14:paraId="172FA8B3"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механизъм е Европейският център за борба с хибридните заплахи, базиран във Финландия. Този център, макар и независим от институциите на ЕС и НАТО, работи в тясно сътрудничество с двете организации и предоставя анализи, сценарии за ранно предупреждение и обучителни програми за повишаване на устойчивостта на държавите членки срещу хибридни заплахи. Той организира съвместни учения и проучвания, които позволяват на държавите да идентифицират слабостите си и да развият механизми за защита срещу хибридни атаки.</w:t>
      </w:r>
    </w:p>
    <w:p w14:paraId="1A679194" w14:textId="7BDF52E4"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Сред ключовите механизми за координация между НАТО и ЕС е специалната Група за хибридни заплахи, която осигурява постоянен диалог между двете организации и позволява своевременен обмен на разузнавателни данни. Тази група гарантира, че информацията за нововъзникващи заплахи се споделя бързо между военните и разузнавателните звена на ЕС и НАТО, което позволява на страните членки да предприемат навременни мерки за противодействие</w:t>
      </w:r>
      <w:r w:rsidR="004D0F59">
        <w:rPr>
          <w:rStyle w:val="FootnoteReference"/>
          <w:rFonts w:ascii="Times New Roman" w:eastAsia="Times New Roman" w:hAnsi="Times New Roman" w:cs="Times New Roman"/>
          <w:color w:val="313131"/>
          <w:kern w:val="0"/>
          <w14:ligatures w14:val="none"/>
        </w:rPr>
        <w:footnoteReference w:id="60"/>
      </w:r>
      <w:r w:rsidRPr="00E73B36">
        <w:rPr>
          <w:rFonts w:ascii="Times New Roman" w:eastAsia="Times New Roman" w:hAnsi="Times New Roman" w:cs="Times New Roman"/>
          <w:color w:val="313131"/>
          <w:kern w:val="0"/>
          <w14:ligatures w14:val="none"/>
        </w:rPr>
        <w:t>.</w:t>
      </w:r>
    </w:p>
    <w:p w14:paraId="1248973C" w14:textId="59BCEFD0"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механизъм за ранно предупреждение е разширеният обмен на информация в рамките на Разузнавателната структура на НАТО, която включва разузнавателните служби на страните членки</w:t>
      </w:r>
      <w:r w:rsidR="004D0F59">
        <w:rPr>
          <w:rStyle w:val="FootnoteReference"/>
          <w:rFonts w:ascii="Times New Roman" w:eastAsia="Times New Roman" w:hAnsi="Times New Roman" w:cs="Times New Roman"/>
          <w:color w:val="313131"/>
          <w:kern w:val="0"/>
          <w14:ligatures w14:val="none"/>
        </w:rPr>
        <w:footnoteReference w:id="61"/>
      </w:r>
      <w:r w:rsidRPr="00E73B36">
        <w:rPr>
          <w:rFonts w:ascii="Times New Roman" w:eastAsia="Times New Roman" w:hAnsi="Times New Roman" w:cs="Times New Roman"/>
          <w:color w:val="313131"/>
          <w:kern w:val="0"/>
          <w14:ligatures w14:val="none"/>
        </w:rPr>
        <w:t xml:space="preserve">. Тази структура събира и анализира разузнавателни данни, като предоставя на НАТО и ЕС актуални оценки за заплахите, свързани с кибератаки, </w:t>
      </w:r>
      <w:r w:rsidRPr="00E73B36">
        <w:rPr>
          <w:rFonts w:ascii="Times New Roman" w:eastAsia="Times New Roman" w:hAnsi="Times New Roman" w:cs="Times New Roman"/>
          <w:color w:val="313131"/>
          <w:kern w:val="0"/>
          <w14:ligatures w14:val="none"/>
        </w:rPr>
        <w:lastRenderedPageBreak/>
        <w:t>терористични заплахи, икономическа дестабилизация и други форми на хибридни операции.</w:t>
      </w:r>
    </w:p>
    <w:p w14:paraId="05DEA2AE" w14:textId="3A4BB875"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допълнение към тези механизми съществуват и редовни съвместни учения за киберотбрана, като Cyber Coalition и Locked Shields, които са насочени към подобряване на способността на ЕС и НАТО да реагират на хибридни атаки в реално време. Тези учения предоставят възможност на участниците да тестват сценарии на сложни и координирани заплахи, включително симулирани атаки срещу комуникационни и енергийни мрежи, опити за дестабилизиране на банкови системи и манипулиране на общественото мнение чрез цифрови платформи</w:t>
      </w:r>
      <w:r w:rsidR="004D0F59">
        <w:rPr>
          <w:rStyle w:val="FootnoteReference"/>
          <w:rFonts w:ascii="Times New Roman" w:eastAsia="Times New Roman" w:hAnsi="Times New Roman" w:cs="Times New Roman"/>
          <w:color w:val="313131"/>
          <w:kern w:val="0"/>
          <w14:ligatures w14:val="none"/>
        </w:rPr>
        <w:footnoteReference w:id="62"/>
      </w:r>
      <w:r w:rsidRPr="00E73B36">
        <w:rPr>
          <w:rFonts w:ascii="Times New Roman" w:eastAsia="Times New Roman" w:hAnsi="Times New Roman" w:cs="Times New Roman"/>
          <w:color w:val="313131"/>
          <w:kern w:val="0"/>
          <w14:ligatures w14:val="none"/>
        </w:rPr>
        <w:t>.</w:t>
      </w:r>
    </w:p>
    <w:p w14:paraId="4913A46F"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Киберотбраната и стратегическата комуникация също играят важна роля в механизмите за противодействие. Европейският съюз, чрез своята Агенция за киберсигурност (ENISA), и НАТО, чрез своя Център за киберотбрана в Естония, работят заедно за подобряване на киберустойчивостта на държавите членки и за разработване на общи стратегии за защита срещу дигитални заплахи.</w:t>
      </w:r>
    </w:p>
    <w:p w14:paraId="00DA0B98" w14:textId="254E686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Като част от стратегическата координация между ЕС и НАТО, се прилагат и съвместни оперативни мерки за защита на критичната инфраструктура. Това включва повишен мониторинг на стратегически сектори като енергетиката, транспорта, комуникациите и финансовите услуги, които са потенциални цели на хибридни атаки. ЕС и НАТО разработват планове за бърза реакция при мащабни атаки срещу ключови инфраструктурни обекти, за да минимизират щетите и да осигурят непрекъснатост на функционирането на държавните институции.</w:t>
      </w:r>
      <w:r w:rsidRPr="00E73B36">
        <w:t xml:space="preserve"> </w:t>
      </w:r>
      <w:r w:rsidRPr="00E73B36">
        <w:rPr>
          <w:rFonts w:ascii="Times New Roman" w:eastAsia="Times New Roman" w:hAnsi="Times New Roman" w:cs="Times New Roman"/>
          <w:color w:val="313131"/>
          <w:kern w:val="0"/>
          <w14:ligatures w14:val="none"/>
        </w:rPr>
        <w:t>Тези планове включват няколко ключови инициативи и механизми.</w:t>
      </w:r>
    </w:p>
    <w:p w14:paraId="179A9AC5" w14:textId="4FE0531C"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октомври 2022 г. Европейската комисия представя препоръка за повишаване на устойчивостта на критичната инфраструктура</w:t>
      </w:r>
      <w:r w:rsidR="004D0F59">
        <w:rPr>
          <w:rStyle w:val="FootnoteReference"/>
          <w:rFonts w:ascii="Times New Roman" w:eastAsia="Times New Roman" w:hAnsi="Times New Roman" w:cs="Times New Roman"/>
          <w:color w:val="313131"/>
          <w:kern w:val="0"/>
          <w14:ligatures w14:val="none"/>
        </w:rPr>
        <w:footnoteReference w:id="63"/>
      </w:r>
      <w:r w:rsidRPr="00E73B36">
        <w:rPr>
          <w:rFonts w:ascii="Times New Roman" w:eastAsia="Times New Roman" w:hAnsi="Times New Roman" w:cs="Times New Roman"/>
          <w:color w:val="313131"/>
          <w:kern w:val="0"/>
          <w14:ligatures w14:val="none"/>
        </w:rPr>
        <w:t xml:space="preserve">. Тази препоръка цели засилване на </w:t>
      </w:r>
      <w:r w:rsidRPr="00E73B36">
        <w:rPr>
          <w:rFonts w:ascii="Times New Roman" w:eastAsia="Times New Roman" w:hAnsi="Times New Roman" w:cs="Times New Roman"/>
          <w:color w:val="313131"/>
          <w:kern w:val="0"/>
          <w14:ligatures w14:val="none"/>
        </w:rPr>
        <w:lastRenderedPageBreak/>
        <w:t>подкрепата на ЕС за подобряване на устойчивостта на критичните субекти и осигуряване на координация на равнище ЕС по отношение на готовността и реакцията. Тя подчертава необходимостта от идентифициране на критичната инфраструктура и субектите, които я експлоатират, както и оценка на рисковете, на които са изложени. Препоръката също така насърчава държавите членки да ускорят подготовката за транспониране и прилагане на Директивата за устойчивостта на критичните субекти и Директивата за мрежите и информационните системи, които имат за цел укрепване на устойчивостта на критичната инфраструктура срещу различни заплахи, включително кибератаки.</w:t>
      </w:r>
    </w:p>
    <w:p w14:paraId="11980B25" w14:textId="4F3AFED1"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допълнение, ЕС и НАТО работят съвместно по разработването на план за действие за по-добра сигурност на подводните кабели, който има за цел укрепване на способността за предотвратяване, откриване и реагиране на възникващи хибридни заплахи. Този план включва стратегически действия, които допълват съществуващите дейности на НАТО и подкрепят националните и регионалните усилия за защита на критичната подводна инфраструктура, от съществено значение за глобалните комуникации и енергийната сигурност.</w:t>
      </w:r>
    </w:p>
    <w:p w14:paraId="10F05599" w14:textId="77777777" w:rsidR="00C80544" w:rsidRPr="00E73B36" w:rsidRDefault="00C80544"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Всички тези механизми представляват основата на съвместните усилия на ЕС и НАТО за борба с хибридните заплахи. Те съчетават аналитични инструменти, обмен на разузнавателна информация, киберотбрана, стратегическа комуникация и защита на критичната инфраструктура, за да осигурят ефективна и навременна реакция срещу заплахите, които застрашават сигурността на държавите членки.</w:t>
      </w:r>
    </w:p>
    <w:p w14:paraId="20048C8B"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Друг ключов елемент в сътрудничеството между НАТО и ЕС е борбата с дезинформацията и информационната война. В отговор на нарастващите дезинформационни кампании, особено тези, насочени към подкопаване на демократичните институции в Европа, двете организации създават редица инициативи за идентифициране и противодействие на фалшиви новини. Европейският съюз стартира Специалната работна група East StratCom, която се занимава с мониторинг на дезинформационни операции, произтичащи от трети страни, като Русия и Китай, и разработва стратегии за противодействие чрез разяснителни кампании и разпространение на проверена информация. НАТО от своя страна интегрира инструменти за стратегическа комуникация, </w:t>
      </w:r>
      <w:r w:rsidRPr="00E73B36">
        <w:rPr>
          <w:rFonts w:ascii="Times New Roman" w:eastAsia="Times New Roman" w:hAnsi="Times New Roman" w:cs="Times New Roman"/>
          <w:color w:val="313131"/>
          <w:kern w:val="0"/>
          <w14:ligatures w14:val="none"/>
        </w:rPr>
        <w:lastRenderedPageBreak/>
        <w:t>които позволяват на държавите членки да координират своите публични реакции срещу опити за манипулация на общественото мнение.</w:t>
      </w:r>
    </w:p>
    <w:p w14:paraId="6990640B"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областта на киберсигурността НАТО и ЕС засилват сътрудничеството си чрез съвместни учения и симулации на хибридни атаки. Учения като Cyber Coalition и EU PACE предоставят възможност на двете организации да тестват способността си за реакция при мащабни кибератаки, които могат да засегнат електронните системи на управление, банковия сектор или енергийната инфраструктура. Освен това Европейската агенция за киберсигурност (ENISA) и НАТО работят заедно в създаването на оперативни стандарти за защита на цифровите мрежи, както и в разработването на нови технологии за засичане и предотвратяване на киберзаплахи.</w:t>
      </w:r>
    </w:p>
    <w:p w14:paraId="635AF8FF"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Съвместните планове на ЕС и НАТО за противодействие на хибридните заплахи включват и защита на критичната инфраструктура, като транспортни мрежи, енергийни доставки и комуникационни системи. Двете организации работят за укрепване на сигурността на стратегическите обекти, които могат да бъдат обект на саботаж или кибератаки. В този контекст Европейската комисия въвежда задължителни изисквания за сигурност в сектора на критичната инфраструктура, а НАТО предоставя експертна помощ и техническа подкрепа на държавите членки за подобряване на тяхната устойчивост срещу възможни атаки.</w:t>
      </w:r>
    </w:p>
    <w:p w14:paraId="340F4A45"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Друг важен аспект от съвместните планове е подобряването на военната мобилност в Европа. Тъй като хибридните заплахи често включват елементи на военен натиск, ЕС и НАТО координират усилията си за осигуряване на по-бързо придвижване на военни сили в случай на криза. Европейският съюз разработва инициативи за подобряване на транспортната инфраструктура и премахване на административните пречки пред придвижването на военни части, а НАТО адаптира своите стратегически планове, за да позволи бързо разгръщане на сили в отговор на заплахи.</w:t>
      </w:r>
    </w:p>
    <w:p w14:paraId="49A107AA"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 дългосрочен план ЕС и НАТО работят за засилване на устойчивостта на обществата срещу хибридни атаки чрез обучение, засилена координация между институциите и въвеждане на нови регулации в областта на сигурността. Създаването на европейски </w:t>
      </w:r>
      <w:r w:rsidRPr="00E73B36">
        <w:rPr>
          <w:rFonts w:ascii="Times New Roman" w:eastAsia="Times New Roman" w:hAnsi="Times New Roman" w:cs="Times New Roman"/>
          <w:color w:val="313131"/>
          <w:kern w:val="0"/>
          <w14:ligatures w14:val="none"/>
        </w:rPr>
        <w:lastRenderedPageBreak/>
        <w:t>механизъм за противодействие на хибридни заплахи позволява на страните членки да обменят опит и да прилагат най-добрите практики за предотвратяване на кибератаки, манипулация на общественото мнение и саботаж на стратегически инфраструктурни обекти.</w:t>
      </w:r>
    </w:p>
    <w:p w14:paraId="41AFF35A" w14:textId="77777777" w:rsidR="00B77705" w:rsidRPr="00E73B36" w:rsidRDefault="00B77705"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Сътрудничеството между НАТО и Европейския съюз в борбата с хибридните заплахи представлява стратегически приоритет и ключов механизъм за гарантиране на сигурността в Европа. Чрез координирано действие, обмен на информация, усъвършенствани технологии и укрепване на киберустойчивостта, двете организации изграждат интегриран отговор срещу съвременните предизвикателства, които засягат както националната, така и международната сигурност. Тези съвместни планове осигуряват гъвкавост и адаптивност на държавите членки, като им позволяват да се справят с бързо развиващите се заплахи в глобалната среда на сигурност.</w:t>
      </w:r>
    </w:p>
    <w:p w14:paraId="55CACB93" w14:textId="010D251E" w:rsidR="00406EFD" w:rsidRPr="00E73B36" w:rsidRDefault="00E73B36" w:rsidP="00926278">
      <w:pPr>
        <w:spacing w:line="360" w:lineRule="auto"/>
        <w:jc w:val="both"/>
        <w:rPr>
          <w:rFonts w:ascii="Times New Roman" w:eastAsia="Times New Roman" w:hAnsi="Times New Roman" w:cs="Times New Roman"/>
          <w:b/>
          <w:bCs/>
        </w:rPr>
      </w:pPr>
      <w:bookmarkStart w:id="2" w:name="_Hlk201558583"/>
      <w:r>
        <w:rPr>
          <w:rFonts w:ascii="Times New Roman" w:eastAsia="Times New Roman" w:hAnsi="Times New Roman" w:cs="Times New Roman"/>
          <w:b/>
          <w:bCs/>
        </w:rPr>
        <w:t>3</w:t>
      </w:r>
      <w:r w:rsidR="00406EFD" w:rsidRPr="00E73B36">
        <w:rPr>
          <w:rFonts w:ascii="Times New Roman" w:eastAsia="Times New Roman" w:hAnsi="Times New Roman" w:cs="Times New Roman"/>
          <w:b/>
          <w:bCs/>
        </w:rPr>
        <w:t>.</w:t>
      </w:r>
      <w:r w:rsidR="00812F0D">
        <w:rPr>
          <w:rFonts w:ascii="Times New Roman" w:eastAsia="Times New Roman" w:hAnsi="Times New Roman" w:cs="Times New Roman"/>
          <w:b/>
          <w:bCs/>
        </w:rPr>
        <w:t>4</w:t>
      </w:r>
      <w:r w:rsidR="00406EFD" w:rsidRPr="00E73B36">
        <w:rPr>
          <w:rFonts w:ascii="Times New Roman" w:eastAsia="Times New Roman" w:hAnsi="Times New Roman" w:cs="Times New Roman"/>
          <w:b/>
          <w:bCs/>
        </w:rPr>
        <w:t>. Съвместни операции и инициативи</w:t>
      </w:r>
    </w:p>
    <w:bookmarkEnd w:id="2"/>
    <w:p w14:paraId="324DAD4A" w14:textId="5F0E30E0"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Европейският център за върхови постижения за противодействие на хибридните заплахи, създаден в Хелзинки през 2017 година, заема ключово място в общия набор от предложения на ЕС и НАТО от същата година. Във всички доклади за практическите усилия на двете организации този Център се разглежда като важен елемент от тяхното сътрудничество, съответстващ на целите, заложени в съвместните предложения. Той се утвърждава като механизъм, който улеснява комуникацията между персонала на ЕС и НАТО, като осигурява платформа за съвместни инициативи, свързани с хибридните заплахи</w:t>
      </w:r>
      <w:r w:rsidR="00C33C4C">
        <w:rPr>
          <w:rStyle w:val="FootnoteReference"/>
          <w:rFonts w:ascii="Times New Roman" w:eastAsia="Times New Roman" w:hAnsi="Times New Roman" w:cs="Times New Roman"/>
          <w:color w:val="313131"/>
          <w:kern w:val="0"/>
          <w14:ligatures w14:val="none"/>
        </w:rPr>
        <w:footnoteReference w:id="64"/>
      </w:r>
      <w:r w:rsidRPr="00E73B36">
        <w:rPr>
          <w:rFonts w:ascii="Times New Roman" w:eastAsia="Times New Roman" w:hAnsi="Times New Roman" w:cs="Times New Roman"/>
          <w:color w:val="313131"/>
          <w:kern w:val="0"/>
          <w14:ligatures w14:val="none"/>
        </w:rPr>
        <w:t>.</w:t>
      </w:r>
    </w:p>
    <w:p w14:paraId="68FDC932"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 практически план Центърът допринася за развитието на сътрудничеството между ЕС и НАТО чрез различни програми, които включват събития и учения. Основната му дейност се съсредоточава върху образованието, обучението, симулационните упражнения и изграждането на устойчивост спрямо хибридните заплахи. През годините Центърът разширява членската си база, нараствайки от дванадесет държави членки и съюзници през </w:t>
      </w:r>
      <w:r w:rsidRPr="00E73B36">
        <w:rPr>
          <w:rFonts w:ascii="Times New Roman" w:eastAsia="Times New Roman" w:hAnsi="Times New Roman" w:cs="Times New Roman"/>
          <w:color w:val="313131"/>
          <w:kern w:val="0"/>
          <w14:ligatures w14:val="none"/>
        </w:rPr>
        <w:lastRenderedPageBreak/>
        <w:t>2017 година до тридесет и три през 2023 година. Това показва нарастващото му значение и възможностите, които предоставя за укрепване на връзките между ЕС и НАТО на ниво персонал. Центърът не само трансформира официалните документи в конкретни действия, но също така позволява на двете организации да поддържат неформални връзки помежду си, което улеснява сътрудничеството им извън формалните институционални рамки.</w:t>
      </w:r>
    </w:p>
    <w:p w14:paraId="6B1C70C8"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Освен това както ЕС чрез своята Hybrid Fusion Cell, така и НАТО чрез своя Hybrid Analytical Branch насочват усилията си към Центъра, което още повече затвърждава ролята му в тяхното партньорство. След 2019 година двете организации започват да изграждат по-здрави връзки между персонала си с цел подобряване на ситуационната осведоменост, взаимното разбиране на техните дейности и проучване на нови възможности за сътрудничество. Това развитие е от особено значение, тъй като създава основа за координирани действия, които не водят до дублиране на усилията.</w:t>
      </w:r>
    </w:p>
    <w:p w14:paraId="3D1F9EE5"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Една от най-съществените характеристики на Центъра е, че той не е агенция нито на НАТО, нито на ЕС, което му позволява да функционира извън политическите блокади, които често възпрепятстват по-формалното сътрудничество между двете организации. Това означава, че бариерите, наложени от държави като Турция и Кипър, не оказват влияние върху дейността на Центъра, което му дава възможност да бъде ефективен посредник между ЕС и НАТО. Въпреки това неформалният характер на отношенията, улеснени от Центъра, поражда въпроса дали това е достатъчно и дали вече установената история на сътрудничество между ЕС и НАТО не предполага възможност за по-официална и структурирана координация. Независимо от това Центърът продължава да играе съществена роля в изграждането на доверие и оперативна съвместимост между персонала на двете организации, като остава един от малкото механизми, които преодоляват политическите разногласия и насърчават реалното сътрудничество в сферата на хибридните заплахи.</w:t>
      </w:r>
    </w:p>
    <w:p w14:paraId="140568AA"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 областта на хибридните заплахи ученията, семинарите и работните срещи са сред основните средства, чрез които НАТО и ЕС изграждат сътрудничество. Провеждането на съвместни инициативи позволява на персонала на двете организации да координира действията си, да обменя информация и да усъвършенства механизмите за реакция при </w:t>
      </w:r>
      <w:r w:rsidRPr="00E73B36">
        <w:rPr>
          <w:rFonts w:ascii="Times New Roman" w:eastAsia="Times New Roman" w:hAnsi="Times New Roman" w:cs="Times New Roman"/>
          <w:color w:val="313131"/>
          <w:kern w:val="0"/>
          <w14:ligatures w14:val="none"/>
        </w:rPr>
        <w:lastRenderedPageBreak/>
        <w:t>кризи. Първото паралелно и координирано учение EU PACE17/CMX17 се провежда през октомври 2017 година, като включва взаимодействие между служители от двете организации в четири основни области: ранно предупреждение и ситуационна осведоменост, стратегически комуникации, киберзащита и превенция и реакция при кризи. Година по-късно, през 2018 година, НАТО провежда учението Parallel and Coordinated Exercise 18, в рамките на което оказва подкрепа на ЕС по време на негово собствено учение за управление на кризи. И двете организации отбелязват, че това събитие води до безпрецедентно ниво на сътрудничество между тях, като дава възможност да бъдат тествани процедурите за вземане на решения, комуникация и обмен на информация в контекста на хипотетична хибридна криза.</w:t>
      </w:r>
    </w:p>
    <w:p w14:paraId="2E8D027F" w14:textId="020F1D89"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рамките на концепцията PACE, през 2018 година се провежда и учението EU Hybrid Exercise Multilayer 18, което има за цел да засили обмена на информация относно терористични, криминални и контрабандни инциденти, да се фокусира върху дезинформацията и гражданската защита и да осигури синхронизация на действията на ЕС и НАТО в отговор на кризи. Това учение съответства на принципите, заложени в съвместната декларация от 2018 година, където се подчертава необходимостта от борба с дезинформацията. В този смисъл то представлява ясен пример за превръщането на официалната реторика в реални действия</w:t>
      </w:r>
      <w:r w:rsidR="00C33C4C">
        <w:rPr>
          <w:rStyle w:val="FootnoteReference"/>
          <w:rFonts w:ascii="Times New Roman" w:eastAsia="Times New Roman" w:hAnsi="Times New Roman" w:cs="Times New Roman"/>
          <w:color w:val="313131"/>
          <w:kern w:val="0"/>
          <w14:ligatures w14:val="none"/>
        </w:rPr>
        <w:footnoteReference w:id="65"/>
      </w:r>
      <w:r w:rsidRPr="00E73B36">
        <w:rPr>
          <w:rFonts w:ascii="Times New Roman" w:eastAsia="Times New Roman" w:hAnsi="Times New Roman" w:cs="Times New Roman"/>
          <w:color w:val="313131"/>
          <w:kern w:val="0"/>
          <w14:ligatures w14:val="none"/>
        </w:rPr>
        <w:t>.</w:t>
      </w:r>
    </w:p>
    <w:p w14:paraId="72A59993" w14:textId="258706F9"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През 2019 година се провежда семинар, посветен на устойчивостта срещу химически, биологични, радиологични и ядрени заплахи, с основна цел да се идентифицират съответните политики, планове и процедури за подобряване на готовността и устойчивостта срещу такива заплахи, както и за усъвършенстване на механизмите за реакция при кризи. Това събитие позволява на двете организации по-добре да разберат съответните си процедури и да засилят партньорството си. Освен този семинар, персоналът на НАТО и ЕС участва в други специализирани срещи, като семинара „Устойчивост и междуотраслово сътрудничество в отговор на химически, биологични, радиологични и ядрени заплахи с хибридни елементи“ през юли 2019 година, както и събитието „Изграждане на капацитети, </w:t>
      </w:r>
      <w:r w:rsidRPr="00E73B36">
        <w:rPr>
          <w:rFonts w:ascii="Times New Roman" w:eastAsia="Times New Roman" w:hAnsi="Times New Roman" w:cs="Times New Roman"/>
          <w:color w:val="313131"/>
          <w:kern w:val="0"/>
          <w14:ligatures w14:val="none"/>
        </w:rPr>
        <w:lastRenderedPageBreak/>
        <w:t>укрепване на устойчивостта: партньорства на ЕС и НАТО за справяне с химически, биологични, радиологични и ядрени рискове и заплахи“ през януари 2020 година. Друг важен семинар разглежда въпросите, свързани с укрепването на устойчивостта и реакцията при кризи, като изискванията и методите на НАТО и ЕС се тестват в рамките на хипотетично хибридно заплахово упражнение</w:t>
      </w:r>
      <w:r w:rsidR="00C33C4C">
        <w:rPr>
          <w:rStyle w:val="FootnoteReference"/>
          <w:rFonts w:ascii="Times New Roman" w:eastAsia="Times New Roman" w:hAnsi="Times New Roman" w:cs="Times New Roman"/>
          <w:color w:val="313131"/>
          <w:kern w:val="0"/>
          <w14:ligatures w14:val="none"/>
        </w:rPr>
        <w:footnoteReference w:id="66"/>
      </w:r>
      <w:r w:rsidRPr="00E73B36">
        <w:rPr>
          <w:rFonts w:ascii="Times New Roman" w:eastAsia="Times New Roman" w:hAnsi="Times New Roman" w:cs="Times New Roman"/>
          <w:color w:val="313131"/>
          <w:kern w:val="0"/>
          <w14:ligatures w14:val="none"/>
        </w:rPr>
        <w:t>.</w:t>
      </w:r>
    </w:p>
    <w:p w14:paraId="56019BA1"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последните години ЕС и НАТО полагат значителни усилия да гарантират, че тези инициативи се провеждат редовно. Тези учения и семинари допринасят за координацията и подготовката на персонала на двете организации, като същевременно подобряват тяхната способност за бърза и ефективна реакция при кризи. Те представляват една от малкото области, в които сътрудничеството между НАТО и ЕС реално отговаря на официалната реторика, доказвайки, че когато става въпрос за практически мерки, двете организации успяват да изпълнят поставените очаквания.</w:t>
      </w:r>
    </w:p>
    <w:p w14:paraId="16BC59D0" w14:textId="7BE659E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областта на борбата с тероризма отношенията между ЕС и НАТО също се основават на семинари и работни срещи. Това обаче не е нова сфера на сътрудничество, произтичаща от съвместните декларации, тъй като още през 2003 година двете организации организират семинар, посветен на тероризма. Въпреки това през последните години се забелязва разширяване на съвместните действия в тази сфера. През 2018 година НАТО и ЕС започват да прилагат на практика мерките, заложени в официалните документи относно борбата с тероризма. През 2017 и 2018 година те потвърждават ангажимента си за засилено сътрудничество в тази област, като поставят акцент върху обмена на информация и анализи за терористичните заплахи чрез взаимодействие между служителите на двете организации. През 2018 година в централата на Европол се провеждат дискусии, посветени на терористичната заплаха, а през 2019 година това сътрудничество се разширява чрез неформални контакти между НАТО, ЕС и Европейския център за борба с тероризма. Тези взаимодействия включват участие в работни групи и ангажираност на персонала в събития от взаимен интерес</w:t>
      </w:r>
      <w:r w:rsidR="00C33C4C">
        <w:rPr>
          <w:rStyle w:val="FootnoteReference"/>
          <w:rFonts w:ascii="Times New Roman" w:eastAsia="Times New Roman" w:hAnsi="Times New Roman" w:cs="Times New Roman"/>
          <w:color w:val="313131"/>
          <w:kern w:val="0"/>
          <w14:ligatures w14:val="none"/>
        </w:rPr>
        <w:footnoteReference w:id="67"/>
      </w:r>
      <w:r w:rsidRPr="00E73B36">
        <w:rPr>
          <w:rFonts w:ascii="Times New Roman" w:eastAsia="Times New Roman" w:hAnsi="Times New Roman" w:cs="Times New Roman"/>
          <w:color w:val="313131"/>
          <w:kern w:val="0"/>
          <w14:ligatures w14:val="none"/>
        </w:rPr>
        <w:t>.</w:t>
      </w:r>
    </w:p>
    <w:p w14:paraId="52CE50BC" w14:textId="7FA12F82"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След 2019 година семинарите, срещите и работните групи в областта на борбата с тероризма се превръщат в стандартна практика в отношенията между ЕС и НАТО. През периода до 2023 година сътрудничеството между двете организации в тази област се запазва предимно чрез тези формати. Въпреки че официалните документи са успешно преведени в практическа реализация, това сътрудничество остава на неформално ниво. Този подход позволява на служителите на ЕС и НАТО да разберат стандартите и процедурите на всяка организация и да изградят взаимно доверие. Въпреки това изглежда, че вместо да се създадат нови официални структури за сътрудничество, които да улеснят обмена на информация и комуникацията, министрите само насърчават персонала на двете организации да работят заедно, като изграждат споделени анализи, концепции и стандарти. Това поставя въпроса дали не е необходимо по-силно институционализирано сътрудничество в борбата срещу хибридните и терористичните заплахи.</w:t>
      </w:r>
    </w:p>
    <w:p w14:paraId="7141C5BF"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Преди подписването на Варшавската декларация през 2015 година представители на НАТО и ЕС започват да изискват допълнителни действия за укрепване на сътрудничеството между двете организации в областта на хибридните заплахи. В резултат на това се провеждат консултации, посветени на подготовката, възпирането и защитата срещу тези заплахи. Част от обсъжданията включват възможности за практическо сътрудничество, като подобряване на ситуационната осведоменост и стратегическите комуникации.</w:t>
      </w:r>
    </w:p>
    <w:p w14:paraId="034C1C23"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контекста на стратегическите комуникации двете организации започват да обменят информация за текущите си дейности. В резултат на общия набор от предложения от 2017 година започва дискусия за координацията на съобщенията, свързани със заплахите за сигурността. Това представлява конкретен пример за превръщането на официалната реторика от 2017 година в реални действия. През 2019 и 2020 година НАТО и ЕС не само продължават тези инициативи, но също така търсят начини стратегическите комуникации да допринасят за противодействие на дезинформацията. Основните мерки в тази насока включват обмен на информация, анализ и изграждане на капацитет за противодействие. Въпреки че напредъкът се случва постепенно, особено в областта на дезинформацията, се наблюдава усилие за развитие на отношенията между НАТО и ЕС в тази сфера.</w:t>
      </w:r>
    </w:p>
    <w:p w14:paraId="19E025FC"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lastRenderedPageBreak/>
        <w:t>През 2021 година стратегическите комуникации придобиват нова значимост поради пандемията от COVID-19. Вниманието се насочва към манипулираната информация от различни актьори, които се стремят да дезинформират обществото по отношение на пандемията. В отговор на тази заплаха персоналът на НАТО и ЕС започва да анализира и разкрива манипулираната информация, което представлява значителен напредък в изпълнението на общия набор от предложения между двете организации.</w:t>
      </w:r>
    </w:p>
    <w:p w14:paraId="471E0206" w14:textId="1F613E19"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Между 2019 и 2023 година служителите на НАТО и ЕС продължават да работят в тясно сътрудничество. През 2019 година сътрудничеството включва работата на ЕС чрез своята Стратегическа комуникационна работна група „Изток“ и Центъра за върхови постижения на НАТО в Рига, като акцентът е върху проучванията на про-Кремълски наративи. Това съответства на изразеното през 2016 година намерение на НАТО и ЕС да укрепят сътрудничеството между тези две инициативи</w:t>
      </w:r>
      <w:r w:rsidR="00C33C4C">
        <w:rPr>
          <w:rStyle w:val="FootnoteReference"/>
          <w:rFonts w:ascii="Times New Roman" w:eastAsia="Times New Roman" w:hAnsi="Times New Roman" w:cs="Times New Roman"/>
          <w:color w:val="313131"/>
          <w:kern w:val="0"/>
          <w14:ligatures w14:val="none"/>
        </w:rPr>
        <w:footnoteReference w:id="68"/>
      </w:r>
      <w:r w:rsidRPr="00E73B36">
        <w:rPr>
          <w:rFonts w:ascii="Times New Roman" w:eastAsia="Times New Roman" w:hAnsi="Times New Roman" w:cs="Times New Roman"/>
          <w:color w:val="313131"/>
          <w:kern w:val="0"/>
          <w14:ligatures w14:val="none"/>
        </w:rPr>
        <w:t>.</w:t>
      </w:r>
    </w:p>
    <w:p w14:paraId="654089FA" w14:textId="77777777"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съответствие със Съвместната декларация от 2023 година двете организации вече предприемат действия във връзка с войната в Украйна. Сред тези действия са сценарийните дискусии за хибридните заплахи от Русия и Китай в рамките на Центъра за противодействие на хибридните заплахи, както и усилията за поддържане на споделена ситуационна осведоменост за враждебни дейности в информационната среда. В този контекст служителите на НАТО и ЕС работят не само върху текущи предизвикателства, но и за задълбочаване на отношенията между двете организации въз основа на приетите съвместни декларации.</w:t>
      </w:r>
    </w:p>
    <w:p w14:paraId="03462CA9" w14:textId="11EF6EF1" w:rsidR="00624851"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В областта на устойчивостта НАТО и ЕС работят заедно по този аспект на хибридните заплахи още от 2016 година. Основната цел тогава е да се подготвят за разгръщане на експерти до средата на 2017 година, които да подкрепят държавите членки на ЕС и съюзниците от НАТО в укрепването на тяхната устойчивост както в предкризисен етап, така и в отговор на вече възникнала криза</w:t>
      </w:r>
      <w:r w:rsidR="00C33C4C">
        <w:rPr>
          <w:rStyle w:val="FootnoteReference"/>
          <w:rFonts w:ascii="Times New Roman" w:eastAsia="Times New Roman" w:hAnsi="Times New Roman" w:cs="Times New Roman"/>
          <w:color w:val="313131"/>
          <w:kern w:val="0"/>
          <w14:ligatures w14:val="none"/>
        </w:rPr>
        <w:footnoteReference w:id="69"/>
      </w:r>
      <w:r w:rsidRPr="00E73B36">
        <w:rPr>
          <w:rFonts w:ascii="Times New Roman" w:eastAsia="Times New Roman" w:hAnsi="Times New Roman" w:cs="Times New Roman"/>
          <w:color w:val="313131"/>
          <w:kern w:val="0"/>
          <w14:ligatures w14:val="none"/>
        </w:rPr>
        <w:t xml:space="preserve">. В общия набор от предложения за 2017 година </w:t>
      </w:r>
      <w:r w:rsidRPr="00E73B36">
        <w:rPr>
          <w:rFonts w:ascii="Times New Roman" w:eastAsia="Times New Roman" w:hAnsi="Times New Roman" w:cs="Times New Roman"/>
          <w:color w:val="313131"/>
          <w:kern w:val="0"/>
          <w14:ligatures w14:val="none"/>
        </w:rPr>
        <w:lastRenderedPageBreak/>
        <w:t>се добавя, че двете организации трябва да се фокусират върху гражданската готовност, организирането на семинари, дискусии и учения, както и върху възможността за присъствие на персонал от ЕС в консултативните екипи на НАТО по въпросите на устойчивостта, както и на персонал от НАТО в превантивни и подготвителни мисии на ЕС в рамките на Механизма за гражданска защита на Съюза.</w:t>
      </w:r>
    </w:p>
    <w:p w14:paraId="362BEEF1" w14:textId="788F8FC2" w:rsidR="00624851" w:rsidRPr="00E73B36"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През 2019 година акцентът е поставен върху оценките на риска, медицинската евакуация, инцидентите с голям брой жертви и движенията на населението. Персоналът на двете организации обръща внимание на своите подходи към устойчивостта и повишава информираността относно използваните инструменти. Тези инструменти включват технологични методи, киберсигурност, правни средства, координирани отговори и стратегическа комуникация. Това съответства на официалната реторика на двете организации и допринася за засилването на сътрудничеството на ниво персонал, като дава възможност на служителите от двете институции да се запознаят с инструментите и подходите, които използва техният партньор</w:t>
      </w:r>
      <w:r w:rsidR="00C33C4C">
        <w:rPr>
          <w:rStyle w:val="FootnoteReference"/>
          <w:rFonts w:ascii="Times New Roman" w:eastAsia="Times New Roman" w:hAnsi="Times New Roman" w:cs="Times New Roman"/>
          <w:color w:val="313131"/>
          <w:kern w:val="0"/>
          <w14:ligatures w14:val="none"/>
        </w:rPr>
        <w:footnoteReference w:id="70"/>
      </w:r>
      <w:r w:rsidRPr="00E73B36">
        <w:rPr>
          <w:rFonts w:ascii="Times New Roman" w:eastAsia="Times New Roman" w:hAnsi="Times New Roman" w:cs="Times New Roman"/>
          <w:color w:val="313131"/>
          <w:kern w:val="0"/>
          <w14:ligatures w14:val="none"/>
        </w:rPr>
        <w:t>.</w:t>
      </w:r>
    </w:p>
    <w:p w14:paraId="78C591A8" w14:textId="1ED272BC" w:rsidR="00406EFD" w:rsidRDefault="00624851"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73B36">
        <w:rPr>
          <w:rFonts w:ascii="Times New Roman" w:eastAsia="Times New Roman" w:hAnsi="Times New Roman" w:cs="Times New Roman"/>
          <w:color w:val="313131"/>
          <w:kern w:val="0"/>
          <w14:ligatures w14:val="none"/>
        </w:rPr>
        <w:t xml:space="preserve">Въпреки тези усилия, резултатите не отговарят напълно на първоначалните очаквания, тъй като основният фокус остава върху семинари и работни срещи, а двете организации все още не са готови да разположат експерти в координиран и паралелен режим за подпомагане на държавите членки в укрепването на тяхната устойчивост. През 2020 и 2021 година служителите на НАТО и ЕС продължават да обменят информация относно усилията за гражданска готовност, включително по въпроси, свързани с пандемията от COVID-19. Въпреки това едва през 2022 година двете организации решават да стартират Структуриран диалог за устойчивост, което е отражение на нарастващата значимост на тази тема за държавите членки на ЕС и НАТО. Първата среща в рамките на този диалог е посветена на синергиите и допълняемостта между двете организации, което поражда надежди за по-стратегическо сътрудничество в бъдеще. Тази инициатива позволява на служителите от всяка организация да идентифицират сферите, в които могат да допълват работата си и да координират своите усилия. Освен това, като се акцентира върху синергиите и </w:t>
      </w:r>
      <w:r w:rsidRPr="00E73B36">
        <w:rPr>
          <w:rFonts w:ascii="Times New Roman" w:eastAsia="Times New Roman" w:hAnsi="Times New Roman" w:cs="Times New Roman"/>
          <w:color w:val="313131"/>
          <w:kern w:val="0"/>
          <w14:ligatures w14:val="none"/>
        </w:rPr>
        <w:lastRenderedPageBreak/>
        <w:t>допълняемостта, двете организации могат да избегнат дублирането на ресурси, което би било от полза за всички държави членки, които участват в партньорството.</w:t>
      </w:r>
    </w:p>
    <w:p w14:paraId="3ABBA372" w14:textId="60EA6A24"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E803B3">
        <w:rPr>
          <w:rFonts w:ascii="Times New Roman" w:eastAsia="Times New Roman" w:hAnsi="Times New Roman" w:cs="Times New Roman"/>
          <w:b/>
          <w:bCs/>
          <w:color w:val="313131"/>
          <w:kern w:val="0"/>
          <w14:ligatures w14:val="none"/>
        </w:rPr>
        <w:t>3.5. Водещи тенденции и перспективи в сътрудничеството на ЕС и НАТО в областта на киберсигурността в контекста на хибридните войни</w:t>
      </w:r>
    </w:p>
    <w:p w14:paraId="5372660B"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Еволюцията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контекста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войни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реагират</w:t>
      </w:r>
      <w:proofErr w:type="spellEnd"/>
      <w:r w:rsidRPr="00E803B3">
        <w:rPr>
          <w:rFonts w:ascii="Times New Roman" w:eastAsia="Times New Roman" w:hAnsi="Times New Roman" w:cs="Times New Roman"/>
          <w:color w:val="313131"/>
          <w:kern w:val="0"/>
          <w:lang w:val="en-GB"/>
          <w14:ligatures w14:val="none"/>
        </w:rPr>
        <w:t xml:space="preserve"> НАТО и </w:t>
      </w:r>
      <w:proofErr w:type="spellStart"/>
      <w:r w:rsidRPr="00E803B3">
        <w:rPr>
          <w:rFonts w:ascii="Times New Roman" w:eastAsia="Times New Roman" w:hAnsi="Times New Roman" w:cs="Times New Roman"/>
          <w:color w:val="313131"/>
          <w:kern w:val="0"/>
          <w:lang w:val="en-GB"/>
          <w14:ligatures w14:val="none"/>
        </w:rPr>
        <w:t>Европейският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следва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динамична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непрекъснато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усложняваща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траектория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началото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XXI </w:t>
      </w:r>
      <w:proofErr w:type="spellStart"/>
      <w:r w:rsidRPr="00E803B3">
        <w:rPr>
          <w:rFonts w:ascii="Times New Roman" w:eastAsia="Times New Roman" w:hAnsi="Times New Roman" w:cs="Times New Roman"/>
          <w:color w:val="313131"/>
          <w:kern w:val="0"/>
          <w:lang w:val="en-GB"/>
          <w14:ligatures w14:val="none"/>
        </w:rPr>
        <w:t>век</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възприемат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предимно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инциденти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насочени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основно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отделни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бази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Основната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кражба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нарушаване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комуникационни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канали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сравнително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ограничени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обхват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последици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Постепенно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обаче</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нарастването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зависимостта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цифрови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особено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сферата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придобиват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значимост</w:t>
      </w:r>
      <w:proofErr w:type="spellEnd"/>
      <w:r w:rsidRPr="00E803B3">
        <w:rPr>
          <w:rFonts w:ascii="Times New Roman" w:eastAsia="Times New Roman" w:hAnsi="Times New Roman" w:cs="Times New Roman"/>
          <w:color w:val="313131"/>
          <w:kern w:val="0"/>
          <w:lang w:val="en-GB"/>
          <w14:ligatures w14:val="none"/>
        </w:rPr>
        <w:t>.</w:t>
      </w:r>
    </w:p>
    <w:p w14:paraId="66C19686"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След</w:t>
      </w:r>
      <w:proofErr w:type="spellEnd"/>
      <w:r w:rsidRPr="00E803B3">
        <w:rPr>
          <w:rFonts w:ascii="Times New Roman" w:eastAsia="Times New Roman" w:hAnsi="Times New Roman" w:cs="Times New Roman"/>
          <w:color w:val="313131"/>
          <w:kern w:val="0"/>
          <w:lang w:val="en-GB"/>
          <w14:ligatures w14:val="none"/>
        </w:rPr>
        <w:t xml:space="preserve"> 2010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случаи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кибератаката</w:t>
      </w:r>
      <w:proofErr w:type="spellEnd"/>
      <w:r w:rsidRPr="00E803B3">
        <w:rPr>
          <w:rFonts w:ascii="Times New Roman" w:eastAsia="Times New Roman" w:hAnsi="Times New Roman" w:cs="Times New Roman"/>
          <w:color w:val="313131"/>
          <w:kern w:val="0"/>
          <w:lang w:val="en-GB"/>
          <w14:ligatures w14:val="none"/>
        </w:rPr>
        <w:t xml:space="preserve"> Stuxnet,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успява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наруши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работата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ирански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ядрени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съоръжения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светът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започва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осъзнава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киберпространството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може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бъде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инструмент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осъществяване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ограничени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информационно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проникване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саботаж</w:t>
      </w:r>
      <w:proofErr w:type="spellEnd"/>
      <w:r w:rsidRPr="00E803B3">
        <w:rPr>
          <w:rFonts w:ascii="Times New Roman" w:eastAsia="Times New Roman" w:hAnsi="Times New Roman" w:cs="Times New Roman"/>
          <w:color w:val="313131"/>
          <w:kern w:val="0"/>
          <w:lang w:val="en-GB"/>
          <w14:ligatures w14:val="none"/>
        </w:rPr>
        <w:t xml:space="preserve">, а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превръщат</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компонент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по-широки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комбинират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военни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икономически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социални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технологични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средства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постигане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геополитически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обявяване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война</w:t>
      </w:r>
      <w:proofErr w:type="spellEnd"/>
      <w:r w:rsidRPr="00E803B3">
        <w:rPr>
          <w:rFonts w:ascii="Times New Roman" w:eastAsia="Times New Roman" w:hAnsi="Times New Roman" w:cs="Times New Roman"/>
          <w:color w:val="313131"/>
          <w:kern w:val="0"/>
          <w:lang w:val="en-GB"/>
          <w14:ligatures w14:val="none"/>
        </w:rPr>
        <w:t>.</w:t>
      </w:r>
    </w:p>
    <w:p w14:paraId="2BB88D6A"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E803B3">
        <w:rPr>
          <w:rFonts w:ascii="Times New Roman" w:eastAsia="Times New Roman" w:hAnsi="Times New Roman" w:cs="Times New Roman"/>
          <w:color w:val="313131"/>
          <w:kern w:val="0"/>
          <w:lang w:val="en-GB"/>
          <w14:ligatures w14:val="none"/>
        </w:rPr>
        <w:t xml:space="preserve">В </w:t>
      </w:r>
      <w:proofErr w:type="spellStart"/>
      <w:r w:rsidRPr="00E803B3">
        <w:rPr>
          <w:rFonts w:ascii="Times New Roman" w:eastAsia="Times New Roman" w:hAnsi="Times New Roman" w:cs="Times New Roman"/>
          <w:color w:val="313131"/>
          <w:kern w:val="0"/>
          <w:lang w:val="en-GB"/>
          <w14:ligatures w14:val="none"/>
        </w:rPr>
        <w:t>този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контекст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Русия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започва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развива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прилага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концепцията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война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заемат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централно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място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Естония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2007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парализира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дигиталната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намесата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президентските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избори</w:t>
      </w:r>
      <w:proofErr w:type="spellEnd"/>
      <w:r w:rsidRPr="00E803B3">
        <w:rPr>
          <w:rFonts w:ascii="Times New Roman" w:eastAsia="Times New Roman" w:hAnsi="Times New Roman" w:cs="Times New Roman"/>
          <w:color w:val="313131"/>
          <w:kern w:val="0"/>
          <w:lang w:val="en-GB"/>
          <w14:ligatures w14:val="none"/>
        </w:rPr>
        <w:t xml:space="preserve"> в САЩ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2016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координираните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хакерски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кампании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енергийни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руските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показват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киберпространството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подкопаване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стабилност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разпространяване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дезинформация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шпионаж</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социално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напрежение</w:t>
      </w:r>
      <w:proofErr w:type="spellEnd"/>
      <w:r w:rsidRPr="00E803B3">
        <w:rPr>
          <w:rFonts w:ascii="Times New Roman" w:eastAsia="Times New Roman" w:hAnsi="Times New Roman" w:cs="Times New Roman"/>
          <w:color w:val="313131"/>
          <w:kern w:val="0"/>
          <w:lang w:val="en-GB"/>
          <w14:ligatures w14:val="none"/>
        </w:rPr>
        <w:t>.</w:t>
      </w:r>
    </w:p>
    <w:p w14:paraId="6215E336"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Постепенно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усложняват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диверсифицират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включват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директни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информационни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манипулиране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общественото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lastRenderedPageBreak/>
        <w:t>мнение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социални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икономически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саботажи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блокиране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вериги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доставки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здравни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подриване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изборни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процеси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стратегическо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енергийната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зависимост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агресия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простира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спектър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живот</w:t>
      </w:r>
      <w:proofErr w:type="spellEnd"/>
      <w:r w:rsidRPr="00E803B3">
        <w:rPr>
          <w:rFonts w:ascii="Times New Roman" w:eastAsia="Times New Roman" w:hAnsi="Times New Roman" w:cs="Times New Roman"/>
          <w:color w:val="313131"/>
          <w:kern w:val="0"/>
          <w:lang w:val="en-GB"/>
          <w14:ligatures w14:val="none"/>
        </w:rPr>
        <w:t xml:space="preserve">, а </w:t>
      </w:r>
      <w:proofErr w:type="spellStart"/>
      <w:r w:rsidRPr="00E803B3">
        <w:rPr>
          <w:rFonts w:ascii="Times New Roman" w:eastAsia="Times New Roman" w:hAnsi="Times New Roman" w:cs="Times New Roman"/>
          <w:color w:val="313131"/>
          <w:kern w:val="0"/>
          <w:lang w:val="en-GB"/>
          <w14:ligatures w14:val="none"/>
        </w:rPr>
        <w:t>кибероперациите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ускорител</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останалите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форми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натиск</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дестабилизация</w:t>
      </w:r>
      <w:proofErr w:type="spellEnd"/>
      <w:r w:rsidRPr="00E803B3">
        <w:rPr>
          <w:rFonts w:ascii="Times New Roman" w:eastAsia="Times New Roman" w:hAnsi="Times New Roman" w:cs="Times New Roman"/>
          <w:color w:val="313131"/>
          <w:kern w:val="0"/>
          <w:lang w:val="en-GB"/>
          <w14:ligatures w14:val="none"/>
        </w:rPr>
        <w:t>.</w:t>
      </w:r>
    </w:p>
    <w:p w14:paraId="7CBA884C"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Тази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еволюция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принуждава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както</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Европейския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преосмислят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подход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сигурността</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2016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официално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признава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киберпространството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отделно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оперативно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сушата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морето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въздуха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космоса</w:t>
      </w:r>
      <w:proofErr w:type="spellEnd"/>
      <w:r w:rsidRPr="00E803B3">
        <w:rPr>
          <w:rFonts w:ascii="Times New Roman" w:eastAsia="Times New Roman" w:hAnsi="Times New Roman" w:cs="Times New Roman"/>
          <w:color w:val="313131"/>
          <w:kern w:val="0"/>
          <w:lang w:val="en-GB"/>
          <w14:ligatures w14:val="none"/>
        </w:rPr>
        <w:t xml:space="preserve">. Алиансът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специални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подразделения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киберотбрана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изгражда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обединяване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национални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киберспособности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доброволна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основа</w:t>
      </w:r>
      <w:proofErr w:type="spellEnd"/>
      <w:r w:rsidRPr="00E803B3">
        <w:rPr>
          <w:rFonts w:ascii="Times New Roman" w:eastAsia="Times New Roman" w:hAnsi="Times New Roman" w:cs="Times New Roman"/>
          <w:color w:val="313131"/>
          <w:kern w:val="0"/>
          <w:lang w:val="en-GB"/>
          <w14:ligatures w14:val="none"/>
        </w:rPr>
        <w:t xml:space="preserve">. ЕС,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разработва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нормативни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рамки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Директивата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мрежова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информационна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w:t>
      </w:r>
      <w:proofErr w:type="spellEnd"/>
      <w:r w:rsidRPr="00E803B3">
        <w:rPr>
          <w:rFonts w:ascii="Times New Roman" w:eastAsia="Times New Roman" w:hAnsi="Times New Roman" w:cs="Times New Roman"/>
          <w:color w:val="313131"/>
          <w:kern w:val="0"/>
          <w:lang w:val="en-GB"/>
          <w14:ligatures w14:val="none"/>
        </w:rPr>
        <w:t xml:space="preserve"> (NIS2) и </w:t>
      </w:r>
      <w:proofErr w:type="spellStart"/>
      <w:r w:rsidRPr="00E803B3">
        <w:rPr>
          <w:rFonts w:ascii="Times New Roman" w:eastAsia="Times New Roman" w:hAnsi="Times New Roman" w:cs="Times New Roman"/>
          <w:color w:val="313131"/>
          <w:kern w:val="0"/>
          <w:lang w:val="en-GB"/>
          <w14:ligatures w14:val="none"/>
        </w:rPr>
        <w:t>Плана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дезинформацията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специализирани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структури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клетка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анализ</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осъществява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засилване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устойчивостта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w:t>
      </w:r>
    </w:p>
    <w:p w14:paraId="1B0BCB37"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Паралелно</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това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продължават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еволюират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Изкуственият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интелект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машинното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обучение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усъвършенстване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фишинг</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автоматизация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проникванията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разпространяване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персонализирана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дезинформация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Квантовите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макар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още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начален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етап</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поставят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криптираната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комуникация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Интернет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нещата</w:t>
      </w:r>
      <w:proofErr w:type="spellEnd"/>
      <w:r w:rsidRPr="00E803B3">
        <w:rPr>
          <w:rFonts w:ascii="Times New Roman" w:eastAsia="Times New Roman" w:hAnsi="Times New Roman" w:cs="Times New Roman"/>
          <w:color w:val="313131"/>
          <w:kern w:val="0"/>
          <w:lang w:val="en-GB"/>
          <w14:ligatures w14:val="none"/>
        </w:rPr>
        <w:t xml:space="preserve"> и 5G </w:t>
      </w:r>
      <w:proofErr w:type="spellStart"/>
      <w:r w:rsidRPr="00E803B3">
        <w:rPr>
          <w:rFonts w:ascii="Times New Roman" w:eastAsia="Times New Roman" w:hAnsi="Times New Roman" w:cs="Times New Roman"/>
          <w:color w:val="313131"/>
          <w:kern w:val="0"/>
          <w:lang w:val="en-GB"/>
          <w14:ligatures w14:val="none"/>
        </w:rPr>
        <w:t>мрежите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уязвимости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могат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бъдат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експлоатирани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жизненоважни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w:t>
      </w:r>
    </w:p>
    <w:p w14:paraId="2E7FBD58"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Днес</w:t>
      </w:r>
      <w:proofErr w:type="spellEnd"/>
      <w:r w:rsidRPr="00E803B3">
        <w:rPr>
          <w:rFonts w:ascii="Times New Roman" w:eastAsia="Times New Roman" w:hAnsi="Times New Roman" w:cs="Times New Roman"/>
          <w:color w:val="313131"/>
          <w:kern w:val="0"/>
          <w:lang w:val="en-GB"/>
          <w14:ligatures w14:val="none"/>
        </w:rPr>
        <w:t xml:space="preserve"> НАТО и ЕС </w:t>
      </w:r>
      <w:proofErr w:type="spellStart"/>
      <w:r w:rsidRPr="00E803B3">
        <w:rPr>
          <w:rFonts w:ascii="Times New Roman" w:eastAsia="Times New Roman" w:hAnsi="Times New Roman" w:cs="Times New Roman"/>
          <w:color w:val="313131"/>
          <w:kern w:val="0"/>
          <w:lang w:val="en-GB"/>
          <w14:ligatures w14:val="none"/>
        </w:rPr>
        <w:t>реагират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еволюция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засилено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мониторинга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провеждането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учения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изграждането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бърз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обмен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реакции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киберинциденти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развиват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интегрирани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подходи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военните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правителствените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спектър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сектори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енергетика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транспорт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здравеопазване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финансова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ЕС и НАТО </w:t>
      </w:r>
      <w:proofErr w:type="spellStart"/>
      <w:r w:rsidRPr="00E803B3">
        <w:rPr>
          <w:rFonts w:ascii="Times New Roman" w:eastAsia="Times New Roman" w:hAnsi="Times New Roman" w:cs="Times New Roman"/>
          <w:color w:val="313131"/>
          <w:kern w:val="0"/>
          <w:lang w:val="en-GB"/>
          <w14:ligatures w14:val="none"/>
        </w:rPr>
        <w:t>осъзнават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неразделна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част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войни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успешното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справяне</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тях</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изисква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постоянна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адаптация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проактивност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тясно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международно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w:t>
      </w:r>
    </w:p>
    <w:p w14:paraId="7A27FE38"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lastRenderedPageBreak/>
        <w:t>Сътрудничеството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и НАТО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постоянно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задълбочава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институционализира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началния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етап</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началото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2000-те </w:t>
      </w:r>
      <w:proofErr w:type="spellStart"/>
      <w:r w:rsidRPr="00E803B3">
        <w:rPr>
          <w:rFonts w:ascii="Times New Roman" w:eastAsia="Times New Roman" w:hAnsi="Times New Roman" w:cs="Times New Roman"/>
          <w:color w:val="313131"/>
          <w:kern w:val="0"/>
          <w:lang w:val="en-GB"/>
          <w14:ligatures w14:val="none"/>
        </w:rPr>
        <w:t>години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когато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споразумението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Берлин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proofErr w:type="gramStart"/>
      <w:r w:rsidRPr="00E803B3">
        <w:rPr>
          <w:rFonts w:ascii="Times New Roman" w:eastAsia="Times New Roman" w:hAnsi="Times New Roman" w:cs="Times New Roman"/>
          <w:color w:val="313131"/>
          <w:kern w:val="0"/>
          <w:lang w:val="en-GB"/>
          <w14:ligatures w14:val="none"/>
        </w:rPr>
        <w:t>плюс</w:t>
      </w:r>
      <w:proofErr w:type="spellEnd"/>
      <w:r w:rsidRPr="00E803B3">
        <w:rPr>
          <w:rFonts w:ascii="Times New Roman" w:eastAsia="Times New Roman" w:hAnsi="Times New Roman" w:cs="Times New Roman"/>
          <w:color w:val="313131"/>
          <w:kern w:val="0"/>
          <w:lang w:val="en-GB"/>
          <w14:ligatures w14:val="none"/>
        </w:rPr>
        <w:t>“ ЕС</w:t>
      </w:r>
      <w:proofErr w:type="gram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получава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достъп</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планиращите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способности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собствени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мисии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партньорството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сферата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дълго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време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остава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ограничено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Въпреки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след</w:t>
      </w:r>
      <w:proofErr w:type="spellEnd"/>
      <w:r w:rsidRPr="00E803B3">
        <w:rPr>
          <w:rFonts w:ascii="Times New Roman" w:eastAsia="Times New Roman" w:hAnsi="Times New Roman" w:cs="Times New Roman"/>
          <w:color w:val="313131"/>
          <w:kern w:val="0"/>
          <w:lang w:val="en-GB"/>
          <w14:ligatures w14:val="none"/>
        </w:rPr>
        <w:t xml:space="preserve"> 2016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започва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качествена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промяна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динамиката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отношенията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във</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Варшава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подписват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първата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декларация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поставят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началото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конкретно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седем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ключови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области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борбата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заемат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централно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място</w:t>
      </w:r>
      <w:proofErr w:type="spellEnd"/>
      <w:r w:rsidRPr="00E803B3">
        <w:rPr>
          <w:rFonts w:ascii="Times New Roman" w:eastAsia="Times New Roman" w:hAnsi="Times New Roman" w:cs="Times New Roman"/>
          <w:color w:val="313131"/>
          <w:kern w:val="0"/>
          <w:lang w:val="en-GB"/>
          <w14:ligatures w14:val="none"/>
        </w:rPr>
        <w:t>.</w:t>
      </w:r>
    </w:p>
    <w:p w14:paraId="6B5095CA"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този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момент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нататък</w:t>
      </w:r>
      <w:proofErr w:type="spellEnd"/>
      <w:r w:rsidRPr="00E803B3">
        <w:rPr>
          <w:rFonts w:ascii="Times New Roman" w:eastAsia="Times New Roman" w:hAnsi="Times New Roman" w:cs="Times New Roman"/>
          <w:color w:val="313131"/>
          <w:kern w:val="0"/>
          <w:lang w:val="en-GB"/>
          <w14:ligatures w14:val="none"/>
        </w:rPr>
        <w:t xml:space="preserve"> ЕС и НАТО </w:t>
      </w:r>
      <w:proofErr w:type="spellStart"/>
      <w:r w:rsidRPr="00E803B3">
        <w:rPr>
          <w:rFonts w:ascii="Times New Roman" w:eastAsia="Times New Roman" w:hAnsi="Times New Roman" w:cs="Times New Roman"/>
          <w:color w:val="313131"/>
          <w:kern w:val="0"/>
          <w:lang w:val="en-GB"/>
          <w14:ligatures w14:val="none"/>
        </w:rPr>
        <w:t>активно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разширяват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подписване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допълнителни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декларации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2018 и 2023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тях</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поставят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акцент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още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по-тясна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координация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киберзащитата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борбата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дезинформацията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противодействието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чуждестранните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манипулации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цифровото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пространство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признават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имат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измерения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изискват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демократичния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социално-икономическата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стабилност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националната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w:t>
      </w:r>
    </w:p>
    <w:p w14:paraId="0D8F5282"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оперативно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ниво</w:t>
      </w:r>
      <w:proofErr w:type="spellEnd"/>
      <w:r w:rsidRPr="00E803B3">
        <w:rPr>
          <w:rFonts w:ascii="Times New Roman" w:eastAsia="Times New Roman" w:hAnsi="Times New Roman" w:cs="Times New Roman"/>
          <w:color w:val="313131"/>
          <w:kern w:val="0"/>
          <w:lang w:val="en-GB"/>
          <w14:ligatures w14:val="none"/>
        </w:rPr>
        <w:t xml:space="preserve"> ЕС и НАТО </w:t>
      </w:r>
      <w:proofErr w:type="spellStart"/>
      <w:r w:rsidRPr="00E803B3">
        <w:rPr>
          <w:rFonts w:ascii="Times New Roman" w:eastAsia="Times New Roman" w:hAnsi="Times New Roman" w:cs="Times New Roman"/>
          <w:color w:val="313131"/>
          <w:kern w:val="0"/>
          <w:lang w:val="en-GB"/>
          <w14:ligatures w14:val="none"/>
        </w:rPr>
        <w:t>изграждат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постоянен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обмен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засилват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аналитичен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отдел</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Службата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разузнаване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сигурност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който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анализира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тенденциите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действията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партньорите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същото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време</w:t>
      </w:r>
      <w:proofErr w:type="spellEnd"/>
      <w:r w:rsidRPr="00E803B3">
        <w:rPr>
          <w:rFonts w:ascii="Times New Roman" w:eastAsia="Times New Roman" w:hAnsi="Times New Roman" w:cs="Times New Roman"/>
          <w:color w:val="313131"/>
          <w:kern w:val="0"/>
          <w:lang w:val="en-GB"/>
          <w14:ligatures w14:val="none"/>
        </w:rPr>
        <w:t xml:space="preserve"> ЕС </w:t>
      </w:r>
      <w:proofErr w:type="spellStart"/>
      <w:r w:rsidRPr="00E803B3">
        <w:rPr>
          <w:rFonts w:ascii="Times New Roman" w:eastAsia="Times New Roman" w:hAnsi="Times New Roman" w:cs="Times New Roman"/>
          <w:color w:val="313131"/>
          <w:kern w:val="0"/>
          <w:lang w:val="en-GB"/>
          <w14:ligatures w14:val="none"/>
        </w:rPr>
        <w:t>развива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клетка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анализ</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рамките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център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разузнаване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ситуация</w:t>
      </w:r>
      <w:proofErr w:type="spellEnd"/>
      <w:r w:rsidRPr="00E803B3">
        <w:rPr>
          <w:rFonts w:ascii="Times New Roman" w:eastAsia="Times New Roman" w:hAnsi="Times New Roman" w:cs="Times New Roman"/>
          <w:color w:val="313131"/>
          <w:kern w:val="0"/>
          <w:lang w:val="en-GB"/>
          <w14:ligatures w14:val="none"/>
        </w:rPr>
        <w:t xml:space="preserve"> (INTCEN),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изготвя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ежегодни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анализи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тенденции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основа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европейските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институции</w:t>
      </w:r>
      <w:proofErr w:type="spellEnd"/>
      <w:r w:rsidRPr="00E803B3">
        <w:rPr>
          <w:rFonts w:ascii="Times New Roman" w:eastAsia="Times New Roman" w:hAnsi="Times New Roman" w:cs="Times New Roman"/>
          <w:color w:val="313131"/>
          <w:kern w:val="0"/>
          <w:lang w:val="en-GB"/>
          <w14:ligatures w14:val="none"/>
        </w:rPr>
        <w:t xml:space="preserve">. Тези </w:t>
      </w:r>
      <w:proofErr w:type="spellStart"/>
      <w:r w:rsidRPr="00E803B3">
        <w:rPr>
          <w:rFonts w:ascii="Times New Roman" w:eastAsia="Times New Roman" w:hAnsi="Times New Roman" w:cs="Times New Roman"/>
          <w:color w:val="313131"/>
          <w:kern w:val="0"/>
          <w:lang w:val="en-GB"/>
          <w14:ligatures w14:val="none"/>
        </w:rPr>
        <w:t>две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структури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работят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обогатяване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ситуационната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осведоменост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w:t>
      </w:r>
    </w:p>
    <w:p w14:paraId="4E5CFCE6" w14:textId="77777777" w:rsid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E803B3">
        <w:rPr>
          <w:rFonts w:ascii="Times New Roman" w:eastAsia="Times New Roman" w:hAnsi="Times New Roman" w:cs="Times New Roman"/>
          <w:color w:val="313131"/>
          <w:kern w:val="0"/>
          <w:lang w:val="en-GB"/>
          <w14:ligatures w14:val="none"/>
        </w:rPr>
        <w:t xml:space="preserve">ЕС и НАТО </w:t>
      </w:r>
      <w:proofErr w:type="spellStart"/>
      <w:r w:rsidRPr="00E803B3">
        <w:rPr>
          <w:rFonts w:ascii="Times New Roman" w:eastAsia="Times New Roman" w:hAnsi="Times New Roman" w:cs="Times New Roman"/>
          <w:color w:val="313131"/>
          <w:kern w:val="0"/>
          <w:lang w:val="en-GB"/>
          <w14:ligatures w14:val="none"/>
        </w:rPr>
        <w:t>засилват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практически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инициативи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март</w:t>
      </w:r>
      <w:proofErr w:type="spellEnd"/>
      <w:r w:rsidRPr="00E803B3">
        <w:rPr>
          <w:rFonts w:ascii="Times New Roman" w:eastAsia="Times New Roman" w:hAnsi="Times New Roman" w:cs="Times New Roman"/>
          <w:color w:val="313131"/>
          <w:kern w:val="0"/>
          <w:lang w:val="en-GB"/>
          <w14:ligatures w14:val="none"/>
        </w:rPr>
        <w:t xml:space="preserve"> 2023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работна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група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фокусира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енергетиката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транспорта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цифровите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lastRenderedPageBreak/>
        <w:t>комуникации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космическите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Освен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център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противодействието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(Hybrid </w:t>
      </w:r>
      <w:proofErr w:type="spellStart"/>
      <w:r w:rsidRPr="00E803B3">
        <w:rPr>
          <w:rFonts w:ascii="Times New Roman" w:eastAsia="Times New Roman" w:hAnsi="Times New Roman" w:cs="Times New Roman"/>
          <w:color w:val="313131"/>
          <w:kern w:val="0"/>
          <w:lang w:val="en-GB"/>
          <w14:ligatures w14:val="none"/>
        </w:rPr>
        <w:t>CoE</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във</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Финландия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функционира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арена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обмен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опит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добри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практики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ЕС и НАТО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хибридната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разработват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концептуални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рамки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цялостна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устойчивост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комплексни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w:t>
      </w:r>
    </w:p>
    <w:p w14:paraId="1FDF970D"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Основните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НАТО и </w:t>
      </w:r>
      <w:proofErr w:type="spellStart"/>
      <w:r w:rsidRPr="00E803B3">
        <w:rPr>
          <w:rFonts w:ascii="Times New Roman" w:eastAsia="Times New Roman" w:hAnsi="Times New Roman" w:cs="Times New Roman"/>
          <w:color w:val="313131"/>
          <w:kern w:val="0"/>
          <w:lang w:val="en-GB"/>
          <w14:ligatures w14:val="none"/>
        </w:rPr>
        <w:t>Европейския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противодействието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показват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значителен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напредък</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както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укрепването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собствени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способности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и в </w:t>
      </w:r>
      <w:proofErr w:type="spellStart"/>
      <w:r w:rsidRPr="00E803B3">
        <w:rPr>
          <w:rFonts w:ascii="Times New Roman" w:eastAsia="Times New Roman" w:hAnsi="Times New Roman" w:cs="Times New Roman"/>
          <w:color w:val="313131"/>
          <w:kern w:val="0"/>
          <w:lang w:val="en-GB"/>
          <w14:ligatures w14:val="none"/>
        </w:rPr>
        <w:t>развитието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успешно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институционализира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отделен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домейн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операциите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сушата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морето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въздуха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космоса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означава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киберпространството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комуникация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арена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отбранителни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възможни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ответни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w:t>
      </w:r>
      <w:proofErr w:type="spellEnd"/>
      <w:r w:rsidRPr="00E803B3">
        <w:rPr>
          <w:rFonts w:ascii="Times New Roman" w:eastAsia="Times New Roman" w:hAnsi="Times New Roman" w:cs="Times New Roman"/>
          <w:color w:val="313131"/>
          <w:kern w:val="0"/>
          <w:lang w:val="en-GB"/>
          <w14:ligatures w14:val="none"/>
        </w:rPr>
        <w:t xml:space="preserve">. Алиансът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т.нар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Киберотбранително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звено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централното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командване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учредява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Кибероперативен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център</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Монс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Белгия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въвежда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практика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интеграция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суверенни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proofErr w:type="gramStart"/>
      <w:r w:rsidRPr="00E803B3">
        <w:rPr>
          <w:rFonts w:ascii="Times New Roman" w:eastAsia="Times New Roman" w:hAnsi="Times New Roman" w:cs="Times New Roman"/>
          <w:color w:val="313131"/>
          <w:kern w:val="0"/>
          <w:lang w:val="en-GB"/>
          <w14:ligatures w14:val="none"/>
        </w:rPr>
        <w:t>киберефекти</w:t>
      </w:r>
      <w:proofErr w:type="spellEnd"/>
      <w:r w:rsidRPr="00E803B3">
        <w:rPr>
          <w:rFonts w:ascii="Times New Roman" w:eastAsia="Times New Roman" w:hAnsi="Times New Roman" w:cs="Times New Roman"/>
          <w:color w:val="313131"/>
          <w:kern w:val="0"/>
          <w:lang w:val="en-GB"/>
          <w14:ligatures w14:val="none"/>
        </w:rPr>
        <w:t>“</w:t>
      </w:r>
      <w:proofErr w:type="gram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предоставяни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доброволно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съюзниците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подкрепа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мисии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операции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същото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време</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развива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способност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публично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посочване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извършителите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засилва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възпиране</w:t>
      </w:r>
      <w:proofErr w:type="spellEnd"/>
      <w:r w:rsidRPr="00E803B3">
        <w:rPr>
          <w:rFonts w:ascii="Times New Roman" w:eastAsia="Times New Roman" w:hAnsi="Times New Roman" w:cs="Times New Roman"/>
          <w:color w:val="313131"/>
          <w:kern w:val="0"/>
          <w:lang w:val="en-GB"/>
          <w14:ligatures w14:val="none"/>
        </w:rPr>
        <w:t>.</w:t>
      </w:r>
    </w:p>
    <w:p w14:paraId="5FB28BFD"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свой</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изгражда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цялостна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нормативна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рамка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укрепване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киберустойчивостта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директиви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NIS и NIS2,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агенция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киберсигурност</w:t>
      </w:r>
      <w:proofErr w:type="spellEnd"/>
      <w:r w:rsidRPr="00E803B3">
        <w:rPr>
          <w:rFonts w:ascii="Times New Roman" w:eastAsia="Times New Roman" w:hAnsi="Times New Roman" w:cs="Times New Roman"/>
          <w:color w:val="313131"/>
          <w:kern w:val="0"/>
          <w:lang w:val="en-GB"/>
          <w14:ligatures w14:val="none"/>
        </w:rPr>
        <w:t xml:space="preserve"> (ENISA), </w:t>
      </w:r>
      <w:proofErr w:type="spellStart"/>
      <w:r w:rsidRPr="00E803B3">
        <w:rPr>
          <w:rFonts w:ascii="Times New Roman" w:eastAsia="Times New Roman" w:hAnsi="Times New Roman" w:cs="Times New Roman"/>
          <w:color w:val="313131"/>
          <w:kern w:val="0"/>
          <w:lang w:val="en-GB"/>
          <w14:ligatures w14:val="none"/>
        </w:rPr>
        <w:t>укрепва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бързо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реагиране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киберинциденти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кибердипломатически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инструменти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санкциониране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злонамерени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киберактивности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лица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ЕС </w:t>
      </w:r>
      <w:proofErr w:type="spellStart"/>
      <w:r w:rsidRPr="00E803B3">
        <w:rPr>
          <w:rFonts w:ascii="Times New Roman" w:eastAsia="Times New Roman" w:hAnsi="Times New Roman" w:cs="Times New Roman"/>
          <w:color w:val="313131"/>
          <w:kern w:val="0"/>
          <w:lang w:val="en-GB"/>
          <w14:ligatures w14:val="none"/>
        </w:rPr>
        <w:t>разработва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прилага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концепцията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киберустойчивост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основен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елемент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вътрешна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външна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започва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активно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насърчава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инициативи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подобряване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технологичен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капацитет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отбрана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w:t>
      </w:r>
      <w:proofErr w:type="spellEnd"/>
      <w:r w:rsidRPr="00E803B3">
        <w:rPr>
          <w:rFonts w:ascii="Times New Roman" w:eastAsia="Times New Roman" w:hAnsi="Times New Roman" w:cs="Times New Roman"/>
          <w:color w:val="313131"/>
          <w:kern w:val="0"/>
          <w:lang w:val="en-GB"/>
          <w14:ligatures w14:val="none"/>
        </w:rPr>
        <w:t>.</w:t>
      </w:r>
    </w:p>
    <w:p w14:paraId="5FB14093"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Друго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съществено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постижение</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утвърждаването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разширяването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партньорство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НАТО и ЕС.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2016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насам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подписват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декларации</w:t>
      </w:r>
      <w:proofErr w:type="spellEnd"/>
      <w:r w:rsidRPr="00E803B3">
        <w:rPr>
          <w:rFonts w:ascii="Times New Roman" w:eastAsia="Times New Roman" w:hAnsi="Times New Roman" w:cs="Times New Roman"/>
          <w:color w:val="313131"/>
          <w:kern w:val="0"/>
          <w:lang w:val="en-GB"/>
          <w14:ligatures w14:val="none"/>
        </w:rPr>
        <w:t xml:space="preserve"> (2016, 2018, 2023), в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киберсигурността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борбата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lastRenderedPageBreak/>
        <w:t>заплахи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обявени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приоритети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оперативна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рамка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засилват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обмена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разузнавателна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провеждат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паралелни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учения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симулиране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изграждат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енергийни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транспортни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цифрови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Конкретен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пример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съвместната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работна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група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защита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критичната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създадена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през</w:t>
      </w:r>
      <w:proofErr w:type="spellEnd"/>
      <w:r w:rsidRPr="00E803B3">
        <w:rPr>
          <w:rFonts w:ascii="Times New Roman" w:eastAsia="Times New Roman" w:hAnsi="Times New Roman" w:cs="Times New Roman"/>
          <w:color w:val="313131"/>
          <w:kern w:val="0"/>
          <w:lang w:val="en-GB"/>
          <w14:ligatures w14:val="none"/>
        </w:rPr>
        <w:t xml:space="preserve"> 2023 </w:t>
      </w:r>
      <w:proofErr w:type="spellStart"/>
      <w:r w:rsidRPr="00E803B3">
        <w:rPr>
          <w:rFonts w:ascii="Times New Roman" w:eastAsia="Times New Roman" w:hAnsi="Times New Roman" w:cs="Times New Roman"/>
          <w:color w:val="313131"/>
          <w:kern w:val="0"/>
          <w:lang w:val="en-GB"/>
          <w14:ligatures w14:val="none"/>
        </w:rPr>
        <w:t>година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която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обединява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повишаване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устойчивостта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енергийни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комуникационни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космически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w:t>
      </w:r>
    </w:p>
    <w:p w14:paraId="2E07352C"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Допълнително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значимо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постижение</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създаването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Европейския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център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върхови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борба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Хелзинки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който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служи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платформа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работа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ЕС, НАТО и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партньори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анализа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тактики</w:t>
      </w:r>
      <w:proofErr w:type="spellEnd"/>
      <w:r w:rsidRPr="00E803B3">
        <w:rPr>
          <w:rFonts w:ascii="Times New Roman" w:eastAsia="Times New Roman" w:hAnsi="Times New Roman" w:cs="Times New Roman"/>
          <w:color w:val="313131"/>
          <w:kern w:val="0"/>
          <w:lang w:val="en-GB"/>
          <w14:ligatures w14:val="none"/>
        </w:rPr>
        <w:t xml:space="preserve"> и в </w:t>
      </w:r>
      <w:proofErr w:type="spellStart"/>
      <w:r w:rsidRPr="00E803B3">
        <w:rPr>
          <w:rFonts w:ascii="Times New Roman" w:eastAsia="Times New Roman" w:hAnsi="Times New Roman" w:cs="Times New Roman"/>
          <w:color w:val="313131"/>
          <w:kern w:val="0"/>
          <w:lang w:val="en-GB"/>
          <w14:ligatures w14:val="none"/>
        </w:rPr>
        <w:t>разработването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противодействие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Центърът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разработва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концептуални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рамки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модела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всеобхватна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екосистема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proofErr w:type="gramStart"/>
      <w:r w:rsidRPr="00E803B3">
        <w:rPr>
          <w:rFonts w:ascii="Times New Roman" w:eastAsia="Times New Roman" w:hAnsi="Times New Roman" w:cs="Times New Roman"/>
          <w:color w:val="313131"/>
          <w:kern w:val="0"/>
          <w:lang w:val="en-GB"/>
          <w14:ligatures w14:val="none"/>
        </w:rPr>
        <w:t>устойчивост</w:t>
      </w:r>
      <w:proofErr w:type="spellEnd"/>
      <w:r w:rsidRPr="00E803B3">
        <w:rPr>
          <w:rFonts w:ascii="Times New Roman" w:eastAsia="Times New Roman" w:hAnsi="Times New Roman" w:cs="Times New Roman"/>
          <w:color w:val="313131"/>
          <w:kern w:val="0"/>
          <w:lang w:val="en-GB"/>
          <w14:ligatures w14:val="none"/>
        </w:rPr>
        <w:t>“</w:t>
      </w:r>
      <w:proofErr w:type="gram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който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интегрира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мерки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повишаване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устойчивостта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различни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сектори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живот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предлага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систематичен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подход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борбата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w:t>
      </w:r>
    </w:p>
    <w:p w14:paraId="658FB6CB"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E803B3">
        <w:rPr>
          <w:rFonts w:ascii="Times New Roman" w:eastAsia="Times New Roman" w:hAnsi="Times New Roman" w:cs="Times New Roman"/>
          <w:color w:val="313131"/>
          <w:kern w:val="0"/>
          <w:lang w:val="en-GB"/>
          <w14:ligatures w14:val="none"/>
        </w:rPr>
        <w:t xml:space="preserve">НАТО и ЕС </w:t>
      </w:r>
      <w:proofErr w:type="spellStart"/>
      <w:r w:rsidRPr="00E803B3">
        <w:rPr>
          <w:rFonts w:ascii="Times New Roman" w:eastAsia="Times New Roman" w:hAnsi="Times New Roman" w:cs="Times New Roman"/>
          <w:color w:val="313131"/>
          <w:kern w:val="0"/>
          <w:lang w:val="en-GB"/>
          <w14:ligatures w14:val="none"/>
        </w:rPr>
        <w:t>също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постигат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напредък</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публичното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назоваване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приписване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по-често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механизма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съвместни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реакции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санкции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недържавни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актьори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участващи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злонамерени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киберактивности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резултат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тези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вече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съществува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по-голяма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готовност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публично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осъждане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конкретни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нападения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какъвто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случаят</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атаките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германския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Бундестаг</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забрана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химическите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оръжия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множество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кампании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дезинформация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особено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контекста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войната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Украйна</w:t>
      </w:r>
      <w:proofErr w:type="spellEnd"/>
      <w:r w:rsidRPr="00E803B3">
        <w:rPr>
          <w:rFonts w:ascii="Times New Roman" w:eastAsia="Times New Roman" w:hAnsi="Times New Roman" w:cs="Times New Roman"/>
          <w:color w:val="313131"/>
          <w:kern w:val="0"/>
          <w:lang w:val="en-GB"/>
          <w14:ligatures w14:val="none"/>
        </w:rPr>
        <w:t>.</w:t>
      </w:r>
    </w:p>
    <w:p w14:paraId="55647378"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Накрая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значително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постижение</w:t>
      </w:r>
      <w:proofErr w:type="spellEnd"/>
      <w:r w:rsidRPr="00E803B3">
        <w:rPr>
          <w:rFonts w:ascii="Times New Roman" w:eastAsia="Times New Roman" w:hAnsi="Times New Roman" w:cs="Times New Roman"/>
          <w:color w:val="313131"/>
          <w:kern w:val="0"/>
          <w:lang w:val="en-GB"/>
          <w14:ligatures w14:val="none"/>
        </w:rPr>
        <w:t xml:space="preserve"> е и </w:t>
      </w:r>
      <w:proofErr w:type="spellStart"/>
      <w:r w:rsidRPr="00E803B3">
        <w:rPr>
          <w:rFonts w:ascii="Times New Roman" w:eastAsia="Times New Roman" w:hAnsi="Times New Roman" w:cs="Times New Roman"/>
          <w:color w:val="313131"/>
          <w:kern w:val="0"/>
          <w:lang w:val="en-GB"/>
          <w14:ligatures w14:val="none"/>
        </w:rPr>
        <w:t>промяната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стратегическото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разбиране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както</w:t>
      </w:r>
      <w:proofErr w:type="spellEnd"/>
      <w:r w:rsidRPr="00E803B3">
        <w:rPr>
          <w:rFonts w:ascii="Times New Roman" w:eastAsia="Times New Roman" w:hAnsi="Times New Roman" w:cs="Times New Roman"/>
          <w:color w:val="313131"/>
          <w:kern w:val="0"/>
          <w:lang w:val="en-GB"/>
          <w14:ligatures w14:val="none"/>
        </w:rPr>
        <w:t xml:space="preserve"> в НАТО,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и в ЕС,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трайна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стратегическа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демократичния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ред</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успешното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справяне</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тях</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изисква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военни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граждански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икономически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технологични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дипломатически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ресурси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Алиансът и </w:t>
      </w:r>
      <w:proofErr w:type="spellStart"/>
      <w:r w:rsidRPr="00E803B3">
        <w:rPr>
          <w:rFonts w:ascii="Times New Roman" w:eastAsia="Times New Roman" w:hAnsi="Times New Roman" w:cs="Times New Roman"/>
          <w:color w:val="313131"/>
          <w:kern w:val="0"/>
          <w:lang w:val="en-GB"/>
          <w14:ligatures w14:val="none"/>
        </w:rPr>
        <w:t>Съюзът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постепенно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изграждат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цялостен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многослоен</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координиран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съвременното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противопоставяне</w:t>
      </w:r>
      <w:proofErr w:type="spellEnd"/>
      <w:r w:rsidRPr="00E803B3">
        <w:rPr>
          <w:rFonts w:ascii="Times New Roman" w:eastAsia="Times New Roman" w:hAnsi="Times New Roman" w:cs="Times New Roman"/>
          <w:color w:val="313131"/>
          <w:kern w:val="0"/>
          <w:lang w:val="en-GB"/>
          <w14:ligatures w14:val="none"/>
        </w:rPr>
        <w:t>.</w:t>
      </w:r>
    </w:p>
    <w:p w14:paraId="5313B34D"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lastRenderedPageBreak/>
        <w:t>Основните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НАТО и </w:t>
      </w:r>
      <w:proofErr w:type="spellStart"/>
      <w:r w:rsidRPr="00E803B3">
        <w:rPr>
          <w:rFonts w:ascii="Times New Roman" w:eastAsia="Times New Roman" w:hAnsi="Times New Roman" w:cs="Times New Roman"/>
          <w:color w:val="313131"/>
          <w:kern w:val="0"/>
          <w:lang w:val="en-GB"/>
          <w14:ligatures w14:val="none"/>
        </w:rPr>
        <w:t>Европейският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сблъскват</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противодействието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киберзаплахите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сложни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взаимосвързани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обхващат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технологични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институционални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стратегически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измерения</w:t>
      </w:r>
      <w:proofErr w:type="spellEnd"/>
      <w:r w:rsidRPr="00E803B3">
        <w:rPr>
          <w:rFonts w:ascii="Times New Roman" w:eastAsia="Times New Roman" w:hAnsi="Times New Roman" w:cs="Times New Roman"/>
          <w:color w:val="313131"/>
          <w:kern w:val="0"/>
          <w:lang w:val="en-GB"/>
          <w14:ligatures w14:val="none"/>
        </w:rPr>
        <w:t>.</w:t>
      </w:r>
    </w:p>
    <w:p w14:paraId="35D278F9"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Първото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голямо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свързано</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трудностите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приписването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Въпреки</w:t>
      </w:r>
      <w:proofErr w:type="spellEnd"/>
      <w:r w:rsidRPr="00E803B3">
        <w:rPr>
          <w:rFonts w:ascii="Times New Roman" w:eastAsia="Times New Roman" w:hAnsi="Times New Roman" w:cs="Times New Roman"/>
          <w:color w:val="313131"/>
          <w:kern w:val="0"/>
          <w:lang w:val="en-GB"/>
          <w14:ligatures w14:val="none"/>
        </w:rPr>
        <w:t xml:space="preserve"> че НАТО и ЕС </w:t>
      </w:r>
      <w:proofErr w:type="spellStart"/>
      <w:r w:rsidRPr="00E803B3">
        <w:rPr>
          <w:rFonts w:ascii="Times New Roman" w:eastAsia="Times New Roman" w:hAnsi="Times New Roman" w:cs="Times New Roman"/>
          <w:color w:val="313131"/>
          <w:kern w:val="0"/>
          <w:lang w:val="en-GB"/>
          <w14:ligatures w14:val="none"/>
        </w:rPr>
        <w:t>напредват</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киберфорензиката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анализа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злонамерената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често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маскирани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сложни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техники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използване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прокси-групи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фалшиви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флагове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прикриване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дигиталните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следи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Това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затруднява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категоричното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идентифициране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извършителите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възпрепятства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своевременното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вземане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решения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ответни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мерки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около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приписването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увеличава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риска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погрешни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военни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реакции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намалява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възпиращия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публичното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осъждане</w:t>
      </w:r>
      <w:proofErr w:type="spellEnd"/>
      <w:r w:rsidRPr="00E803B3">
        <w:rPr>
          <w:rFonts w:ascii="Times New Roman" w:eastAsia="Times New Roman" w:hAnsi="Times New Roman" w:cs="Times New Roman"/>
          <w:color w:val="313131"/>
          <w:kern w:val="0"/>
          <w:lang w:val="en-GB"/>
          <w14:ligatures w14:val="none"/>
        </w:rPr>
        <w:t>.</w:t>
      </w:r>
    </w:p>
    <w:p w14:paraId="6677C6CA"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Второ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съществено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различието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нивото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готовност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капацитет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НАТО,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ЕС. </w:t>
      </w:r>
      <w:proofErr w:type="spellStart"/>
      <w:r w:rsidRPr="00E803B3">
        <w:rPr>
          <w:rFonts w:ascii="Times New Roman" w:eastAsia="Times New Roman" w:hAnsi="Times New Roman" w:cs="Times New Roman"/>
          <w:color w:val="313131"/>
          <w:kern w:val="0"/>
          <w:lang w:val="en-GB"/>
          <w14:ligatures w14:val="none"/>
        </w:rPr>
        <w:t>Икономическите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технологичните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оперативните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различия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отделните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водят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неравномерно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ниво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киберустойчивост</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затрудняват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изграждането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ефективен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По-малките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по-слабо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подготвени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особено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уязвими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кибер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слаби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proofErr w:type="gramStart"/>
      <w:r w:rsidRPr="00E803B3">
        <w:rPr>
          <w:rFonts w:ascii="Times New Roman" w:eastAsia="Times New Roman" w:hAnsi="Times New Roman" w:cs="Times New Roman"/>
          <w:color w:val="313131"/>
          <w:kern w:val="0"/>
          <w:lang w:val="en-GB"/>
          <w14:ligatures w14:val="none"/>
        </w:rPr>
        <w:t>звена</w:t>
      </w:r>
      <w:proofErr w:type="spellEnd"/>
      <w:r w:rsidRPr="00E803B3">
        <w:rPr>
          <w:rFonts w:ascii="Times New Roman" w:eastAsia="Times New Roman" w:hAnsi="Times New Roman" w:cs="Times New Roman"/>
          <w:color w:val="313131"/>
          <w:kern w:val="0"/>
          <w:lang w:val="en-GB"/>
          <w14:ligatures w14:val="none"/>
        </w:rPr>
        <w:t>“ в</w:t>
      </w:r>
      <w:proofErr w:type="gram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цялостната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w:t>
      </w:r>
    </w:p>
    <w:p w14:paraId="1C122786"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Трето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правната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нормативната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несигурност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относно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правилата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водене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киберотбрана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Международното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право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още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напълно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адаптирано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към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особеностите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киберпространството</w:t>
      </w:r>
      <w:proofErr w:type="spellEnd"/>
      <w:r w:rsidRPr="00E803B3">
        <w:rPr>
          <w:rFonts w:ascii="Times New Roman" w:eastAsia="Times New Roman" w:hAnsi="Times New Roman" w:cs="Times New Roman"/>
          <w:color w:val="313131"/>
          <w:kern w:val="0"/>
          <w:lang w:val="en-GB"/>
          <w14:ligatures w14:val="none"/>
        </w:rPr>
        <w:t xml:space="preserve">, а </w:t>
      </w:r>
      <w:proofErr w:type="spellStart"/>
      <w:r w:rsidRPr="00E803B3">
        <w:rPr>
          <w:rFonts w:ascii="Times New Roman" w:eastAsia="Times New Roman" w:hAnsi="Times New Roman" w:cs="Times New Roman"/>
          <w:color w:val="313131"/>
          <w:kern w:val="0"/>
          <w:lang w:val="en-GB"/>
          <w14:ligatures w14:val="none"/>
        </w:rPr>
        <w:t>въпросите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пропорционалността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самозащита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дефиницията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въоръжено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нападение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киберсреда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остават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спорни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Липсата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ясен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международноправен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консенсус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затруднява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координирането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съюзниците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създава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риск</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разминаване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подходите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реална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атака</w:t>
      </w:r>
      <w:proofErr w:type="spellEnd"/>
      <w:r w:rsidRPr="00E803B3">
        <w:rPr>
          <w:rFonts w:ascii="Times New Roman" w:eastAsia="Times New Roman" w:hAnsi="Times New Roman" w:cs="Times New Roman"/>
          <w:color w:val="313131"/>
          <w:kern w:val="0"/>
          <w:lang w:val="en-GB"/>
          <w14:ligatures w14:val="none"/>
        </w:rPr>
        <w:t>.</w:t>
      </w:r>
    </w:p>
    <w:p w14:paraId="7F8307FB"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Друго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предизвикателство</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свързано</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бързото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развитие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Изкуственият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интелект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квантовите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изчисления</w:t>
      </w:r>
      <w:proofErr w:type="spellEnd"/>
      <w:r w:rsidRPr="00E803B3">
        <w:rPr>
          <w:rFonts w:ascii="Times New Roman" w:eastAsia="Times New Roman" w:hAnsi="Times New Roman" w:cs="Times New Roman"/>
          <w:color w:val="313131"/>
          <w:kern w:val="0"/>
          <w:lang w:val="en-GB"/>
          <w14:ligatures w14:val="none"/>
        </w:rPr>
        <w:t xml:space="preserve">, 5G </w:t>
      </w:r>
      <w:proofErr w:type="spellStart"/>
      <w:r w:rsidRPr="00E803B3">
        <w:rPr>
          <w:rFonts w:ascii="Times New Roman" w:eastAsia="Times New Roman" w:hAnsi="Times New Roman" w:cs="Times New Roman"/>
          <w:color w:val="313131"/>
          <w:kern w:val="0"/>
          <w:lang w:val="en-GB"/>
          <w14:ligatures w14:val="none"/>
        </w:rPr>
        <w:t>мрежите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интернет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нещата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уязвимости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които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значително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разширяват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потенциалните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повърхности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lastRenderedPageBreak/>
        <w:t>Организациите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трудно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поддържат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темпо</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бързината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иновациите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особено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условията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постоянно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нарастваща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сложност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ограничени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ресурси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обновяване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инфраструктурата</w:t>
      </w:r>
      <w:proofErr w:type="spellEnd"/>
      <w:r w:rsidRPr="00E803B3">
        <w:rPr>
          <w:rFonts w:ascii="Times New Roman" w:eastAsia="Times New Roman" w:hAnsi="Times New Roman" w:cs="Times New Roman"/>
          <w:color w:val="313131"/>
          <w:kern w:val="0"/>
          <w:lang w:val="en-GB"/>
          <w14:ligatures w14:val="none"/>
        </w:rPr>
        <w:t>.</w:t>
      </w:r>
    </w:p>
    <w:p w14:paraId="60D63340"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Нарастващата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интеграция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гражданската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военната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инфраструктура</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допълнителен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проблем</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който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прави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разграничаването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цивилни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военни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по-трудно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Атаките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срещу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граждански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обекти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енергийни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системи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комуникационни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мрежи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транспортни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могат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имат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стратегически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създавайки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сериозни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планирането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отбрана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реакция</w:t>
      </w:r>
      <w:proofErr w:type="spellEnd"/>
      <w:r w:rsidRPr="00E803B3">
        <w:rPr>
          <w:rFonts w:ascii="Times New Roman" w:eastAsia="Times New Roman" w:hAnsi="Times New Roman" w:cs="Times New Roman"/>
          <w:color w:val="313131"/>
          <w:kern w:val="0"/>
          <w:lang w:val="en-GB"/>
          <w14:ligatures w14:val="none"/>
        </w:rPr>
        <w:t>.</w:t>
      </w:r>
    </w:p>
    <w:p w14:paraId="1478FCE3"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E803B3">
        <w:rPr>
          <w:rFonts w:ascii="Times New Roman" w:eastAsia="Times New Roman" w:hAnsi="Times New Roman" w:cs="Times New Roman"/>
          <w:color w:val="313131"/>
          <w:kern w:val="0"/>
          <w:lang w:val="en-GB"/>
          <w14:ligatures w14:val="none"/>
        </w:rPr>
        <w:t>Политическите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съществени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Различията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стратегическите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култури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страните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членки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различните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възприятия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колебанията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политическата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воля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поемане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отговорности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затрудняват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изграждането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ефективна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колективна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политика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областта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киберотбраната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противодействието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Някои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държави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предпочитат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залагат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национален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подход</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запазят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суверенитета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сферата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други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готови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по-голяма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интеграция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води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напрежения</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процеса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вземане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решения</w:t>
      </w:r>
      <w:proofErr w:type="spellEnd"/>
      <w:r w:rsidRPr="00E803B3">
        <w:rPr>
          <w:rFonts w:ascii="Times New Roman" w:eastAsia="Times New Roman" w:hAnsi="Times New Roman" w:cs="Times New Roman"/>
          <w:color w:val="313131"/>
          <w:kern w:val="0"/>
          <w:lang w:val="en-GB"/>
          <w14:ligatures w14:val="none"/>
        </w:rPr>
        <w:t>.</w:t>
      </w:r>
    </w:p>
    <w:p w14:paraId="008A53C1"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E803B3">
        <w:rPr>
          <w:rFonts w:ascii="Times New Roman" w:eastAsia="Times New Roman" w:hAnsi="Times New Roman" w:cs="Times New Roman"/>
          <w:color w:val="313131"/>
          <w:kern w:val="0"/>
          <w:lang w:val="en-GB"/>
          <w14:ligatures w14:val="none"/>
        </w:rPr>
        <w:t xml:space="preserve">НАТО и ЕС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сблъскват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предизвикателството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постигнат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ефективна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координация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запазят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своите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специфични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роли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компетенции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без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дублират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усилия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или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институционални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пречки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Различията</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структурата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мисията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ресурсите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двете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организации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изискват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внимателно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синхронизиране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понякога</w:t>
      </w:r>
      <w:proofErr w:type="spellEnd"/>
      <w:r w:rsidRPr="00E803B3">
        <w:rPr>
          <w:rFonts w:ascii="Times New Roman" w:eastAsia="Times New Roman" w:hAnsi="Times New Roman" w:cs="Times New Roman"/>
          <w:color w:val="313131"/>
          <w:kern w:val="0"/>
          <w:lang w:val="en-GB"/>
          <w14:ligatures w14:val="none"/>
        </w:rPr>
        <w:t xml:space="preserve"> е </w:t>
      </w:r>
      <w:proofErr w:type="spellStart"/>
      <w:r w:rsidRPr="00E803B3">
        <w:rPr>
          <w:rFonts w:ascii="Times New Roman" w:eastAsia="Times New Roman" w:hAnsi="Times New Roman" w:cs="Times New Roman"/>
          <w:color w:val="313131"/>
          <w:kern w:val="0"/>
          <w:lang w:val="en-GB"/>
          <w14:ligatures w14:val="none"/>
        </w:rPr>
        <w:t>трудно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постигане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условията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динамично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променяща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сигурността</w:t>
      </w:r>
      <w:proofErr w:type="spellEnd"/>
      <w:r w:rsidRPr="00E803B3">
        <w:rPr>
          <w:rFonts w:ascii="Times New Roman" w:eastAsia="Times New Roman" w:hAnsi="Times New Roman" w:cs="Times New Roman"/>
          <w:color w:val="313131"/>
          <w:kern w:val="0"/>
          <w:lang w:val="en-GB"/>
          <w14:ligatures w14:val="none"/>
        </w:rPr>
        <w:t>.</w:t>
      </w:r>
    </w:p>
    <w:p w14:paraId="55BBCAEF"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E803B3">
        <w:rPr>
          <w:rFonts w:ascii="Times New Roman" w:eastAsia="Times New Roman" w:hAnsi="Times New Roman" w:cs="Times New Roman"/>
          <w:color w:val="313131"/>
          <w:kern w:val="0"/>
          <w:lang w:val="en-GB"/>
          <w14:ligatures w14:val="none"/>
        </w:rPr>
        <w:t xml:space="preserve">И </w:t>
      </w:r>
      <w:proofErr w:type="spellStart"/>
      <w:r w:rsidRPr="00E803B3">
        <w:rPr>
          <w:rFonts w:ascii="Times New Roman" w:eastAsia="Times New Roman" w:hAnsi="Times New Roman" w:cs="Times New Roman"/>
          <w:color w:val="313131"/>
          <w:kern w:val="0"/>
          <w:lang w:val="en-GB"/>
          <w14:ligatures w14:val="none"/>
        </w:rPr>
        <w:t>накрая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съществува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предизвикателството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справяне</w:t>
      </w:r>
      <w:proofErr w:type="spellEnd"/>
      <w:r w:rsidRPr="00E803B3">
        <w:rPr>
          <w:rFonts w:ascii="Times New Roman" w:eastAsia="Times New Roman" w:hAnsi="Times New Roman" w:cs="Times New Roman"/>
          <w:color w:val="313131"/>
          <w:kern w:val="0"/>
          <w:lang w:val="en-GB"/>
          <w14:ligatures w14:val="none"/>
        </w:rPr>
        <w:t xml:space="preserve"> с </w:t>
      </w:r>
      <w:proofErr w:type="spellStart"/>
      <w:r w:rsidRPr="00E803B3">
        <w:rPr>
          <w:rFonts w:ascii="Times New Roman" w:eastAsia="Times New Roman" w:hAnsi="Times New Roman" w:cs="Times New Roman"/>
          <w:color w:val="313131"/>
          <w:kern w:val="0"/>
          <w:lang w:val="en-GB"/>
          <w14:ligatures w14:val="none"/>
        </w:rPr>
        <w:t>външните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манипулации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общественото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мнение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чрез</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дезинформация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информационни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операции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кампании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целят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създадат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социално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напрежение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подкопаят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доверието</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институциите</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затруднят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изграждането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общ</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консенсус</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отговор</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Управлението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информационната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среда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защитата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демократичните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процеси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изискват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сложни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координирани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действия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военните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гражданските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институции</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частния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сектор</w:t>
      </w:r>
      <w:proofErr w:type="spellEnd"/>
      <w:r w:rsidRPr="00E803B3">
        <w:rPr>
          <w:rFonts w:ascii="Times New Roman" w:eastAsia="Times New Roman" w:hAnsi="Times New Roman" w:cs="Times New Roman"/>
          <w:color w:val="313131"/>
          <w:kern w:val="0"/>
          <w:lang w:val="en-GB"/>
          <w14:ligatures w14:val="none"/>
        </w:rPr>
        <w:t>.</w:t>
      </w:r>
    </w:p>
    <w:p w14:paraId="20651908" w14:textId="77777777" w:rsidR="00E803B3" w:rsidRPr="00E803B3" w:rsidRDefault="00E803B3"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E803B3">
        <w:rPr>
          <w:rFonts w:ascii="Times New Roman" w:eastAsia="Times New Roman" w:hAnsi="Times New Roman" w:cs="Times New Roman"/>
          <w:color w:val="313131"/>
          <w:kern w:val="0"/>
          <w:lang w:val="en-GB"/>
          <w14:ligatures w14:val="none"/>
        </w:rPr>
        <w:lastRenderedPageBreak/>
        <w:t xml:space="preserve">Тези </w:t>
      </w:r>
      <w:proofErr w:type="spellStart"/>
      <w:r w:rsidRPr="00E803B3">
        <w:rPr>
          <w:rFonts w:ascii="Times New Roman" w:eastAsia="Times New Roman" w:hAnsi="Times New Roman" w:cs="Times New Roman"/>
          <w:color w:val="313131"/>
          <w:kern w:val="0"/>
          <w:lang w:val="en-GB"/>
          <w14:ligatures w14:val="none"/>
        </w:rPr>
        <w:t>предизвикателства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ясно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показват</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че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ефективното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противодействие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кибер</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хибридните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заплахи</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изисква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само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технологичен</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напредък</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но</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стратегическа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визия</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политическа</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воля</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дълбоко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сътрудничество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както</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вътре</w:t>
      </w:r>
      <w:proofErr w:type="spellEnd"/>
      <w:r w:rsidRPr="00E803B3">
        <w:rPr>
          <w:rFonts w:ascii="Times New Roman" w:eastAsia="Times New Roman" w:hAnsi="Times New Roman" w:cs="Times New Roman"/>
          <w:color w:val="313131"/>
          <w:kern w:val="0"/>
          <w:lang w:val="en-GB"/>
          <w14:ligatures w14:val="none"/>
        </w:rPr>
        <w:t xml:space="preserve"> в </w:t>
      </w:r>
      <w:proofErr w:type="spellStart"/>
      <w:r w:rsidRPr="00E803B3">
        <w:rPr>
          <w:rFonts w:ascii="Times New Roman" w:eastAsia="Times New Roman" w:hAnsi="Times New Roman" w:cs="Times New Roman"/>
          <w:color w:val="313131"/>
          <w:kern w:val="0"/>
          <w:lang w:val="en-GB"/>
          <w14:ligatures w14:val="none"/>
        </w:rPr>
        <w:t>организациите</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така</w:t>
      </w:r>
      <w:proofErr w:type="spellEnd"/>
      <w:r w:rsidRPr="00E803B3">
        <w:rPr>
          <w:rFonts w:ascii="Times New Roman" w:eastAsia="Times New Roman" w:hAnsi="Times New Roman" w:cs="Times New Roman"/>
          <w:color w:val="313131"/>
          <w:kern w:val="0"/>
          <w:lang w:val="en-GB"/>
          <w14:ligatures w14:val="none"/>
        </w:rPr>
        <w:t xml:space="preserve"> и </w:t>
      </w:r>
      <w:proofErr w:type="spellStart"/>
      <w:r w:rsidRPr="00E803B3">
        <w:rPr>
          <w:rFonts w:ascii="Times New Roman" w:eastAsia="Times New Roman" w:hAnsi="Times New Roman" w:cs="Times New Roman"/>
          <w:color w:val="313131"/>
          <w:kern w:val="0"/>
          <w:lang w:val="en-GB"/>
          <w14:ligatures w14:val="none"/>
        </w:rPr>
        <w:t>между</w:t>
      </w:r>
      <w:proofErr w:type="spellEnd"/>
      <w:r w:rsidRPr="00E803B3">
        <w:rPr>
          <w:rFonts w:ascii="Times New Roman" w:eastAsia="Times New Roman" w:hAnsi="Times New Roman" w:cs="Times New Roman"/>
          <w:color w:val="313131"/>
          <w:kern w:val="0"/>
          <w:lang w:val="en-GB"/>
          <w14:ligatures w14:val="none"/>
        </w:rPr>
        <w:t xml:space="preserve"> </w:t>
      </w:r>
      <w:proofErr w:type="spellStart"/>
      <w:r w:rsidRPr="00E803B3">
        <w:rPr>
          <w:rFonts w:ascii="Times New Roman" w:eastAsia="Times New Roman" w:hAnsi="Times New Roman" w:cs="Times New Roman"/>
          <w:color w:val="313131"/>
          <w:kern w:val="0"/>
          <w:lang w:val="en-GB"/>
          <w14:ligatures w14:val="none"/>
        </w:rPr>
        <w:t>тях</w:t>
      </w:r>
      <w:proofErr w:type="spellEnd"/>
      <w:r w:rsidRPr="00E803B3">
        <w:rPr>
          <w:rFonts w:ascii="Times New Roman" w:eastAsia="Times New Roman" w:hAnsi="Times New Roman" w:cs="Times New Roman"/>
          <w:color w:val="313131"/>
          <w:kern w:val="0"/>
          <w:lang w:val="en-GB"/>
          <w14:ligatures w14:val="none"/>
        </w:rPr>
        <w:t>.</w:t>
      </w:r>
    </w:p>
    <w:p w14:paraId="516ED9EE"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Перспективите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и НАТО в </w:t>
      </w:r>
      <w:proofErr w:type="spellStart"/>
      <w:r w:rsidRPr="007E70E2">
        <w:rPr>
          <w:rFonts w:ascii="Times New Roman" w:eastAsia="Times New Roman" w:hAnsi="Times New Roman" w:cs="Times New Roman"/>
          <w:color w:val="313131"/>
          <w:kern w:val="0"/>
          <w:lang w:val="en-GB"/>
          <w14:ligatures w14:val="none"/>
        </w:rPr>
        <w:t>областта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противодействието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оформят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сложен</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динамичен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контекст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определян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постигнатите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момента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успехи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съществуващите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очакваната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промяна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американската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външна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мандат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Доналд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Тръмп</w:t>
      </w:r>
      <w:proofErr w:type="spellEnd"/>
      <w:r w:rsidRPr="007E70E2">
        <w:rPr>
          <w:rFonts w:ascii="Times New Roman" w:eastAsia="Times New Roman" w:hAnsi="Times New Roman" w:cs="Times New Roman"/>
          <w:color w:val="313131"/>
          <w:kern w:val="0"/>
          <w:lang w:val="en-GB"/>
          <w14:ligatures w14:val="none"/>
        </w:rPr>
        <w:t>.</w:t>
      </w:r>
    </w:p>
    <w:p w14:paraId="24AB67FD"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Досега</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успяват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изградят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стабилна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основа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механизми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обмен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информация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координирани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учения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оценки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капацитети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показват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двете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организации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признават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стратегическо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Институционализирането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декларации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групи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критична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съвместното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участие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структури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център</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борба</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във</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Финландия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подчертават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конкретния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напредък</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единна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мрежа</w:t>
      </w:r>
      <w:proofErr w:type="spellEnd"/>
      <w:r w:rsidRPr="007E70E2">
        <w:rPr>
          <w:rFonts w:ascii="Times New Roman" w:eastAsia="Times New Roman" w:hAnsi="Times New Roman" w:cs="Times New Roman"/>
          <w:color w:val="313131"/>
          <w:kern w:val="0"/>
          <w:lang w:val="en-GB"/>
          <w14:ligatures w14:val="none"/>
        </w:rPr>
        <w:t>.</w:t>
      </w:r>
    </w:p>
    <w:p w14:paraId="5EC1174C"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Въпреки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успехи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остават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сериозни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Проблемите</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приписването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технологичната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асиметрия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членки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липсата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единен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режим</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киберконфликти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както</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различните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национални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интереси</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рамките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възпрепятстват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напълно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интегрирана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бърза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Освен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нарастващата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сложност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киберзаплахите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базирани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изкуствен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интелект</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нови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технологии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квантовите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изчисления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изисква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постоянни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иновации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обучение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инвестиции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които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всички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държави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готови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способни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осигурят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еднаква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степен</w:t>
      </w:r>
      <w:proofErr w:type="spellEnd"/>
      <w:r w:rsidRPr="007E70E2">
        <w:rPr>
          <w:rFonts w:ascii="Times New Roman" w:eastAsia="Times New Roman" w:hAnsi="Times New Roman" w:cs="Times New Roman"/>
          <w:color w:val="313131"/>
          <w:kern w:val="0"/>
          <w:lang w:val="en-GB"/>
          <w14:ligatures w14:val="none"/>
        </w:rPr>
        <w:t>.</w:t>
      </w:r>
    </w:p>
    <w:p w14:paraId="30A795E7"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7E70E2">
        <w:rPr>
          <w:rFonts w:ascii="Times New Roman" w:eastAsia="Times New Roman" w:hAnsi="Times New Roman" w:cs="Times New Roman"/>
          <w:color w:val="313131"/>
          <w:kern w:val="0"/>
          <w:lang w:val="en-GB"/>
          <w14:ligatures w14:val="none"/>
        </w:rPr>
        <w:t xml:space="preserve">В </w:t>
      </w:r>
      <w:proofErr w:type="spellStart"/>
      <w:r w:rsidRPr="007E70E2">
        <w:rPr>
          <w:rFonts w:ascii="Times New Roman" w:eastAsia="Times New Roman" w:hAnsi="Times New Roman" w:cs="Times New Roman"/>
          <w:color w:val="313131"/>
          <w:kern w:val="0"/>
          <w:lang w:val="en-GB"/>
          <w14:ligatures w14:val="none"/>
        </w:rPr>
        <w:t>този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уязвим</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контекст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завръщането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Доналд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Тръмп</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политическата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сцена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възможната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промяна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американската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външна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добавя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степен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Очакванията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Тръмп</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отново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постави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въпрос</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ангажимента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r w:rsidRPr="007E70E2">
        <w:rPr>
          <w:rFonts w:ascii="Times New Roman" w:eastAsia="Times New Roman" w:hAnsi="Times New Roman" w:cs="Times New Roman"/>
          <w:color w:val="313131"/>
          <w:kern w:val="0"/>
          <w:lang w:val="en-GB"/>
          <w14:ligatures w14:val="none"/>
        </w:rPr>
        <w:lastRenderedPageBreak/>
        <w:t xml:space="preserve">САЩ </w:t>
      </w:r>
      <w:proofErr w:type="spellStart"/>
      <w:r w:rsidRPr="007E70E2">
        <w:rPr>
          <w:rFonts w:ascii="Times New Roman" w:eastAsia="Times New Roman" w:hAnsi="Times New Roman" w:cs="Times New Roman"/>
          <w:color w:val="313131"/>
          <w:kern w:val="0"/>
          <w:lang w:val="en-GB"/>
          <w14:ligatures w14:val="none"/>
        </w:rPr>
        <w:t>към</w:t>
      </w:r>
      <w:proofErr w:type="spellEnd"/>
      <w:r w:rsidRPr="007E70E2">
        <w:rPr>
          <w:rFonts w:ascii="Times New Roman" w:eastAsia="Times New Roman" w:hAnsi="Times New Roman" w:cs="Times New Roman"/>
          <w:color w:val="313131"/>
          <w:kern w:val="0"/>
          <w:lang w:val="en-GB"/>
          <w14:ligatures w14:val="none"/>
        </w:rPr>
        <w:t xml:space="preserve"> НАТО, </w:t>
      </w:r>
      <w:proofErr w:type="spellStart"/>
      <w:r w:rsidRPr="007E70E2">
        <w:rPr>
          <w:rFonts w:ascii="Times New Roman" w:eastAsia="Times New Roman" w:hAnsi="Times New Roman" w:cs="Times New Roman"/>
          <w:color w:val="313131"/>
          <w:kern w:val="0"/>
          <w:lang w:val="en-GB"/>
          <w14:ligatures w14:val="none"/>
        </w:rPr>
        <w:t>особено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ако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съюзниците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Европа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увеличат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значително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разходите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отбрана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може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принуди</w:t>
      </w:r>
      <w:proofErr w:type="spellEnd"/>
      <w:r w:rsidRPr="007E70E2">
        <w:rPr>
          <w:rFonts w:ascii="Times New Roman" w:eastAsia="Times New Roman" w:hAnsi="Times New Roman" w:cs="Times New Roman"/>
          <w:color w:val="313131"/>
          <w:kern w:val="0"/>
          <w:lang w:val="en-GB"/>
          <w14:ligatures w14:val="none"/>
        </w:rPr>
        <w:t xml:space="preserve"> ЕС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ускори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процесите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изграждане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собствени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отбранителни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способности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включително</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киберсферата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поеме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по-голяма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собствената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каквато</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заложена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идеята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стратегическа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proofErr w:type="gramStart"/>
      <w:r w:rsidRPr="007E70E2">
        <w:rPr>
          <w:rFonts w:ascii="Times New Roman" w:eastAsia="Times New Roman" w:hAnsi="Times New Roman" w:cs="Times New Roman"/>
          <w:color w:val="313131"/>
          <w:kern w:val="0"/>
          <w:lang w:val="en-GB"/>
          <w14:ligatures w14:val="none"/>
        </w:rPr>
        <w:t>отговорност</w:t>
      </w:r>
      <w:proofErr w:type="spellEnd"/>
      <w:r w:rsidRPr="007E70E2">
        <w:rPr>
          <w:rFonts w:ascii="Times New Roman" w:eastAsia="Times New Roman" w:hAnsi="Times New Roman" w:cs="Times New Roman"/>
          <w:color w:val="313131"/>
          <w:kern w:val="0"/>
          <w:lang w:val="en-GB"/>
          <w14:ligatures w14:val="none"/>
        </w:rPr>
        <w:t>“</w:t>
      </w:r>
      <w:proofErr w:type="gramEnd"/>
      <w:r w:rsidRPr="007E70E2">
        <w:rPr>
          <w:rFonts w:ascii="Times New Roman" w:eastAsia="Times New Roman" w:hAnsi="Times New Roman" w:cs="Times New Roman"/>
          <w:color w:val="313131"/>
          <w:kern w:val="0"/>
          <w:lang w:val="en-GB"/>
          <w14:ligatures w14:val="none"/>
        </w:rPr>
        <w:t>.</w:t>
      </w:r>
    </w:p>
    <w:p w14:paraId="282E89D9"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Ако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трансатлантическата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връзка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отслабне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ускори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обща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засили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оперативната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съвместимост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механизми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PESCO и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отбранителен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фонд</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създаде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ефективна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система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самостоятелно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управление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Вероятно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наложи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изгради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по-тясна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координация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гражданските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военните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компоненти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засили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сътрудничеството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други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глобални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партньори</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областта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киберустойчивостта</w:t>
      </w:r>
      <w:proofErr w:type="spellEnd"/>
      <w:r w:rsidRPr="007E70E2">
        <w:rPr>
          <w:rFonts w:ascii="Times New Roman" w:eastAsia="Times New Roman" w:hAnsi="Times New Roman" w:cs="Times New Roman"/>
          <w:color w:val="313131"/>
          <w:kern w:val="0"/>
          <w:lang w:val="en-GB"/>
          <w14:ligatures w14:val="none"/>
        </w:rPr>
        <w:t>.</w:t>
      </w:r>
    </w:p>
    <w:p w14:paraId="1C6B15E3"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Перспективата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по-самостоятелна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отбраната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обаче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означава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скъсване</w:t>
      </w:r>
      <w:proofErr w:type="spellEnd"/>
      <w:r w:rsidRPr="007E70E2">
        <w:rPr>
          <w:rFonts w:ascii="Times New Roman" w:eastAsia="Times New Roman" w:hAnsi="Times New Roman" w:cs="Times New Roman"/>
          <w:color w:val="313131"/>
          <w:kern w:val="0"/>
          <w:lang w:val="en-GB"/>
          <w14:ligatures w14:val="none"/>
        </w:rPr>
        <w:t xml:space="preserve"> с НАТО. </w:t>
      </w:r>
      <w:proofErr w:type="spellStart"/>
      <w:r w:rsidRPr="007E70E2">
        <w:rPr>
          <w:rFonts w:ascii="Times New Roman" w:eastAsia="Times New Roman" w:hAnsi="Times New Roman" w:cs="Times New Roman"/>
          <w:color w:val="313131"/>
          <w:kern w:val="0"/>
          <w:lang w:val="en-GB"/>
          <w14:ligatures w14:val="none"/>
        </w:rPr>
        <w:t>Напротив</w:t>
      </w:r>
      <w:proofErr w:type="spellEnd"/>
      <w:r w:rsidRPr="007E70E2">
        <w:rPr>
          <w:rFonts w:ascii="Times New Roman" w:eastAsia="Times New Roman" w:hAnsi="Times New Roman" w:cs="Times New Roman"/>
          <w:color w:val="313131"/>
          <w:kern w:val="0"/>
          <w:lang w:val="en-GB"/>
          <w14:ligatures w14:val="none"/>
        </w:rPr>
        <w:t xml:space="preserve">, ЕС </w:t>
      </w:r>
      <w:proofErr w:type="spellStart"/>
      <w:r w:rsidRPr="007E70E2">
        <w:rPr>
          <w:rFonts w:ascii="Times New Roman" w:eastAsia="Times New Roman" w:hAnsi="Times New Roman" w:cs="Times New Roman"/>
          <w:color w:val="313131"/>
          <w:kern w:val="0"/>
          <w:lang w:val="en-GB"/>
          <w14:ligatures w14:val="none"/>
        </w:rPr>
        <w:t>вероятно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продължи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допълване</w:t>
      </w:r>
      <w:proofErr w:type="spellEnd"/>
      <w:r w:rsidRPr="007E70E2">
        <w:rPr>
          <w:rFonts w:ascii="Times New Roman" w:eastAsia="Times New Roman" w:hAnsi="Times New Roman" w:cs="Times New Roman"/>
          <w:color w:val="313131"/>
          <w:kern w:val="0"/>
          <w:lang w:val="en-GB"/>
          <w14:ligatures w14:val="none"/>
        </w:rPr>
        <w:t xml:space="preserve">, а </w:t>
      </w:r>
      <w:proofErr w:type="spellStart"/>
      <w:r w:rsidRPr="007E70E2">
        <w:rPr>
          <w:rFonts w:ascii="Times New Roman" w:eastAsia="Times New Roman" w:hAnsi="Times New Roman" w:cs="Times New Roman"/>
          <w:color w:val="313131"/>
          <w:kern w:val="0"/>
          <w:lang w:val="en-GB"/>
          <w14:ligatures w14:val="none"/>
        </w:rPr>
        <w:t>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заместване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особено</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сферата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където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синергията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политическите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икономическите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военните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инструменти</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съществено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значение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Усъвършенстването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механизмите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синхронизирането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доктрините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повишаването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киберустойчивостта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критичната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останат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приоритети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следващото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десетилетие</w:t>
      </w:r>
      <w:proofErr w:type="spellEnd"/>
      <w:r w:rsidRPr="007E70E2">
        <w:rPr>
          <w:rFonts w:ascii="Times New Roman" w:eastAsia="Times New Roman" w:hAnsi="Times New Roman" w:cs="Times New Roman"/>
          <w:color w:val="313131"/>
          <w:kern w:val="0"/>
          <w:lang w:val="en-GB"/>
          <w14:ligatures w14:val="none"/>
        </w:rPr>
        <w:t>.</w:t>
      </w:r>
    </w:p>
    <w:p w14:paraId="533366F4" w14:textId="7ACA6B71" w:rsid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7E70E2">
        <w:rPr>
          <w:rFonts w:ascii="Times New Roman" w:eastAsia="Times New Roman" w:hAnsi="Times New Roman" w:cs="Times New Roman"/>
          <w:color w:val="313131"/>
          <w:kern w:val="0"/>
          <w:lang w:val="en-GB"/>
          <w14:ligatures w14:val="none"/>
        </w:rPr>
        <w:t xml:space="preserve">В </w:t>
      </w:r>
      <w:r>
        <w:rPr>
          <w:rFonts w:ascii="Times New Roman" w:eastAsia="Times New Roman" w:hAnsi="Times New Roman" w:cs="Times New Roman"/>
          <w:color w:val="313131"/>
          <w:kern w:val="0"/>
          <w14:ligatures w14:val="none"/>
        </w:rPr>
        <w:t>обобщение</w:t>
      </w:r>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бъдещето</w:t>
      </w:r>
      <w:proofErr w:type="spellEnd"/>
      <w:r w:rsidRPr="007E70E2">
        <w:rPr>
          <w:rFonts w:ascii="Times New Roman" w:eastAsia="Times New Roman" w:hAnsi="Times New Roman" w:cs="Times New Roman"/>
          <w:color w:val="313131"/>
          <w:kern w:val="0"/>
          <w:lang w:val="en-GB"/>
          <w14:ligatures w14:val="none"/>
        </w:rPr>
        <w:t xml:space="preserve"> на </w:t>
      </w:r>
      <w:proofErr w:type="spellStart"/>
      <w:r w:rsidRPr="007E70E2">
        <w:rPr>
          <w:rFonts w:ascii="Times New Roman" w:eastAsia="Times New Roman" w:hAnsi="Times New Roman" w:cs="Times New Roman"/>
          <w:color w:val="313131"/>
          <w:kern w:val="0"/>
          <w:lang w:val="en-GB"/>
          <w14:ligatures w14:val="none"/>
        </w:rPr>
        <w:t>сътрудничеството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НАТО и ЕС в </w:t>
      </w:r>
      <w:proofErr w:type="spellStart"/>
      <w:r w:rsidRPr="007E70E2">
        <w:rPr>
          <w:rFonts w:ascii="Times New Roman" w:eastAsia="Times New Roman" w:hAnsi="Times New Roman" w:cs="Times New Roman"/>
          <w:color w:val="313131"/>
          <w:kern w:val="0"/>
          <w:lang w:val="en-GB"/>
          <w14:ligatures w14:val="none"/>
        </w:rPr>
        <w:t>областта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зависи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способността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им</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задълбочат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институционалното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взаимодействие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адекватно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технологични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намерят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баланс</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отговорностите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условия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възможна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промяна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американската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Само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проактивни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координирани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действия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може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осигури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своята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цифрова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стратегическа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един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по-несигурен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свят</w:t>
      </w:r>
      <w:proofErr w:type="spellEnd"/>
      <w:r w:rsidRPr="007E70E2">
        <w:rPr>
          <w:rFonts w:ascii="Times New Roman" w:eastAsia="Times New Roman" w:hAnsi="Times New Roman" w:cs="Times New Roman"/>
          <w:color w:val="313131"/>
          <w:kern w:val="0"/>
          <w:lang w:val="en-GB"/>
          <w14:ligatures w14:val="none"/>
        </w:rPr>
        <w:t>.</w:t>
      </w:r>
    </w:p>
    <w:p w14:paraId="153AE6EA" w14:textId="0FB96418" w:rsidR="007E70E2" w:rsidRDefault="007E70E2" w:rsidP="00926278">
      <w:pPr>
        <w:spacing w:line="360" w:lineRule="auto"/>
        <w:jc w:val="both"/>
        <w:rPr>
          <w:rFonts w:ascii="Times New Roman" w:eastAsia="Times New Roman" w:hAnsi="Times New Roman" w:cs="Times New Roman"/>
          <w:color w:val="313131"/>
          <w:kern w:val="0"/>
          <w14:ligatures w14:val="none"/>
        </w:rPr>
      </w:pPr>
      <w:r>
        <w:rPr>
          <w:rFonts w:ascii="Times New Roman" w:eastAsia="Times New Roman" w:hAnsi="Times New Roman" w:cs="Times New Roman"/>
          <w:color w:val="313131"/>
          <w:kern w:val="0"/>
          <w14:ligatures w14:val="none"/>
        </w:rPr>
        <w:br w:type="page"/>
      </w:r>
    </w:p>
    <w:p w14:paraId="5641B253" w14:textId="7623E908"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b/>
          <w:bCs/>
          <w:color w:val="313131"/>
          <w:kern w:val="0"/>
          <w14:ligatures w14:val="none"/>
        </w:rPr>
      </w:pPr>
      <w:r w:rsidRPr="007E70E2">
        <w:rPr>
          <w:rFonts w:ascii="Times New Roman" w:eastAsia="Times New Roman" w:hAnsi="Times New Roman" w:cs="Times New Roman"/>
          <w:b/>
          <w:bCs/>
          <w:color w:val="313131"/>
          <w:kern w:val="0"/>
          <w14:ligatures w14:val="none"/>
        </w:rPr>
        <w:lastRenderedPageBreak/>
        <w:t>Заключение</w:t>
      </w:r>
    </w:p>
    <w:p w14:paraId="03937B32"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Еволюцията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киберзаплахите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контекста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войни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ясно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показва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как</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постепенно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превръща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стратегическо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бойно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началото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XXI </w:t>
      </w:r>
      <w:proofErr w:type="spellStart"/>
      <w:r w:rsidRPr="007E70E2">
        <w:rPr>
          <w:rFonts w:ascii="Times New Roman" w:eastAsia="Times New Roman" w:hAnsi="Times New Roman" w:cs="Times New Roman"/>
          <w:color w:val="313131"/>
          <w:kern w:val="0"/>
          <w:lang w:val="en-GB"/>
          <w14:ligatures w14:val="none"/>
        </w:rPr>
        <w:t>век</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предимно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инциденти</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ограничен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обхват</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ефект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времето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придобиват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геополитическо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измерение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Случаите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Stuxnet и </w:t>
      </w:r>
      <w:proofErr w:type="spellStart"/>
      <w:r w:rsidRPr="007E70E2">
        <w:rPr>
          <w:rFonts w:ascii="Times New Roman" w:eastAsia="Times New Roman" w:hAnsi="Times New Roman" w:cs="Times New Roman"/>
          <w:color w:val="313131"/>
          <w:kern w:val="0"/>
          <w:lang w:val="en-GB"/>
          <w14:ligatures w14:val="none"/>
        </w:rPr>
        <w:t>атаката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срещу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Естония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показват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кибероперациите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могат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нарушат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функционирането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държави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критична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прибягва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класически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военни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средства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Русия</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частност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усъвършенства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стратегия</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която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киберзаплахите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действат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заедно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дезинформация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политическа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намеса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икономически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натиск</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създавайки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сложен</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многоизмерен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модел</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агресия</w:t>
      </w:r>
      <w:proofErr w:type="spellEnd"/>
      <w:r w:rsidRPr="007E70E2">
        <w:rPr>
          <w:rFonts w:ascii="Times New Roman" w:eastAsia="Times New Roman" w:hAnsi="Times New Roman" w:cs="Times New Roman"/>
          <w:color w:val="313131"/>
          <w:kern w:val="0"/>
          <w:lang w:val="en-GB"/>
          <w14:ligatures w14:val="none"/>
        </w:rPr>
        <w:t>.</w:t>
      </w:r>
    </w:p>
    <w:p w14:paraId="4BE9DF4A"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7E70E2">
        <w:rPr>
          <w:rFonts w:ascii="Times New Roman" w:eastAsia="Times New Roman" w:hAnsi="Times New Roman" w:cs="Times New Roman"/>
          <w:color w:val="313131"/>
          <w:kern w:val="0"/>
          <w:lang w:val="en-GB"/>
          <w14:ligatures w14:val="none"/>
        </w:rPr>
        <w:t xml:space="preserve">В </w:t>
      </w:r>
      <w:proofErr w:type="spellStart"/>
      <w:r w:rsidRPr="007E70E2">
        <w:rPr>
          <w:rFonts w:ascii="Times New Roman" w:eastAsia="Times New Roman" w:hAnsi="Times New Roman" w:cs="Times New Roman"/>
          <w:color w:val="313131"/>
          <w:kern w:val="0"/>
          <w:lang w:val="en-GB"/>
          <w14:ligatures w14:val="none"/>
        </w:rPr>
        <w:t>отговор</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нарастващите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киберзаплахи</w:t>
      </w:r>
      <w:proofErr w:type="spellEnd"/>
      <w:r w:rsidRPr="007E70E2">
        <w:rPr>
          <w:rFonts w:ascii="Times New Roman" w:eastAsia="Times New Roman" w:hAnsi="Times New Roman" w:cs="Times New Roman"/>
          <w:color w:val="313131"/>
          <w:kern w:val="0"/>
          <w:lang w:val="en-GB"/>
          <w14:ligatures w14:val="none"/>
        </w:rPr>
        <w:t xml:space="preserve"> НАТО и </w:t>
      </w:r>
      <w:proofErr w:type="spellStart"/>
      <w:r w:rsidRPr="007E70E2">
        <w:rPr>
          <w:rFonts w:ascii="Times New Roman" w:eastAsia="Times New Roman" w:hAnsi="Times New Roman" w:cs="Times New Roman"/>
          <w:color w:val="313131"/>
          <w:kern w:val="0"/>
          <w:lang w:val="en-GB"/>
          <w14:ligatures w14:val="none"/>
        </w:rPr>
        <w:t>Европейският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постигат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съществени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успехи</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укрепването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своите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способности</w:t>
      </w:r>
      <w:proofErr w:type="spellEnd"/>
      <w:r w:rsidRPr="007E70E2">
        <w:rPr>
          <w:rFonts w:ascii="Times New Roman" w:eastAsia="Times New Roman" w:hAnsi="Times New Roman" w:cs="Times New Roman"/>
          <w:color w:val="313131"/>
          <w:kern w:val="0"/>
          <w:lang w:val="en-GB"/>
          <w14:ligatures w14:val="none"/>
        </w:rPr>
        <w:t xml:space="preserve">. НАТО </w:t>
      </w:r>
      <w:proofErr w:type="spellStart"/>
      <w:r w:rsidRPr="007E70E2">
        <w:rPr>
          <w:rFonts w:ascii="Times New Roman" w:eastAsia="Times New Roman" w:hAnsi="Times New Roman" w:cs="Times New Roman"/>
          <w:color w:val="313131"/>
          <w:kern w:val="0"/>
          <w:lang w:val="en-GB"/>
          <w14:ligatures w14:val="none"/>
        </w:rPr>
        <w:t>официално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признава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оперативно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командни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структури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механизми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киберефекти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докато</w:t>
      </w:r>
      <w:proofErr w:type="spellEnd"/>
      <w:r w:rsidRPr="007E70E2">
        <w:rPr>
          <w:rFonts w:ascii="Times New Roman" w:eastAsia="Times New Roman" w:hAnsi="Times New Roman" w:cs="Times New Roman"/>
          <w:color w:val="313131"/>
          <w:kern w:val="0"/>
          <w:lang w:val="en-GB"/>
          <w14:ligatures w14:val="none"/>
        </w:rPr>
        <w:t xml:space="preserve"> ЕС </w:t>
      </w:r>
      <w:proofErr w:type="spellStart"/>
      <w:r w:rsidRPr="007E70E2">
        <w:rPr>
          <w:rFonts w:ascii="Times New Roman" w:eastAsia="Times New Roman" w:hAnsi="Times New Roman" w:cs="Times New Roman"/>
          <w:color w:val="313131"/>
          <w:kern w:val="0"/>
          <w:lang w:val="en-GB"/>
          <w14:ligatures w14:val="none"/>
        </w:rPr>
        <w:t>изгражда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нормативна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рамка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NIS2, </w:t>
      </w:r>
      <w:proofErr w:type="spellStart"/>
      <w:r w:rsidRPr="007E70E2">
        <w:rPr>
          <w:rFonts w:ascii="Times New Roman" w:eastAsia="Times New Roman" w:hAnsi="Times New Roman" w:cs="Times New Roman"/>
          <w:color w:val="313131"/>
          <w:kern w:val="0"/>
          <w:lang w:val="en-GB"/>
          <w14:ligatures w14:val="none"/>
        </w:rPr>
        <w:t>създава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агенция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стартира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програми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киберустойчивост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двете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организации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институционализира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декларации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практически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инициативи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група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критичната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дейността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център</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борба</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w:t>
      </w:r>
    </w:p>
    <w:p w14:paraId="66280793"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Въпреки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постижения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остават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сериозни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Приписването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трудно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различията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капацитетите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държавите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членки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пречат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ефективната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колективна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а </w:t>
      </w:r>
      <w:proofErr w:type="spellStart"/>
      <w:r w:rsidRPr="007E70E2">
        <w:rPr>
          <w:rFonts w:ascii="Times New Roman" w:eastAsia="Times New Roman" w:hAnsi="Times New Roman" w:cs="Times New Roman"/>
          <w:color w:val="313131"/>
          <w:kern w:val="0"/>
          <w:lang w:val="en-GB"/>
          <w14:ligatures w14:val="none"/>
        </w:rPr>
        <w:t>технологичната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еволюция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налага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постоянно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адаптиране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Освен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относно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правилата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както</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политическите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различия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затрудняват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изграждането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единен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подход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Интеграцията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гражданската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военната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допълнителни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уязвимости</w:t>
      </w:r>
      <w:proofErr w:type="spellEnd"/>
      <w:r w:rsidRPr="007E70E2">
        <w:rPr>
          <w:rFonts w:ascii="Times New Roman" w:eastAsia="Times New Roman" w:hAnsi="Times New Roman" w:cs="Times New Roman"/>
          <w:color w:val="313131"/>
          <w:kern w:val="0"/>
          <w:lang w:val="en-GB"/>
          <w14:ligatures w14:val="none"/>
        </w:rPr>
        <w:t xml:space="preserve">, а </w:t>
      </w:r>
      <w:proofErr w:type="spellStart"/>
      <w:r w:rsidRPr="007E70E2">
        <w:rPr>
          <w:rFonts w:ascii="Times New Roman" w:eastAsia="Times New Roman" w:hAnsi="Times New Roman" w:cs="Times New Roman"/>
          <w:color w:val="313131"/>
          <w:kern w:val="0"/>
          <w:lang w:val="en-GB"/>
          <w14:ligatures w14:val="none"/>
        </w:rPr>
        <w:t>дезинформационните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кампании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усложняват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социалната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устойчивост</w:t>
      </w:r>
      <w:proofErr w:type="spellEnd"/>
      <w:r w:rsidRPr="007E70E2">
        <w:rPr>
          <w:rFonts w:ascii="Times New Roman" w:eastAsia="Times New Roman" w:hAnsi="Times New Roman" w:cs="Times New Roman"/>
          <w:color w:val="313131"/>
          <w:kern w:val="0"/>
          <w:lang w:val="en-GB"/>
          <w14:ligatures w14:val="none"/>
        </w:rPr>
        <w:t>.</w:t>
      </w:r>
    </w:p>
    <w:p w14:paraId="28B78F9C"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Перспективите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бъдещото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са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обещаващи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изискват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активни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усилия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преодоляване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настоящите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слабости</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условията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lastRenderedPageBreak/>
        <w:t>възможно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отслабване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американската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подкрепа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мандат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Доналд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Тръмп</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засили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собствения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капацитет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ускори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процесите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изграждане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стратегическа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отговорност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същото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време</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вероятно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продължат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заедно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допълвайки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борбата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срещу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кибератаките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търсят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синергия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военни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икономически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технологични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инструменти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Успешното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справяне</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бъдещите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зависи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дълбоката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координация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иновациите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киберзащитата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изграждането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по-устойчива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интегрирана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отбранителна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архитектура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Европа</w:t>
      </w:r>
      <w:proofErr w:type="spellEnd"/>
      <w:r w:rsidRPr="007E70E2">
        <w:rPr>
          <w:rFonts w:ascii="Times New Roman" w:eastAsia="Times New Roman" w:hAnsi="Times New Roman" w:cs="Times New Roman"/>
          <w:color w:val="313131"/>
          <w:kern w:val="0"/>
          <w:lang w:val="en-GB"/>
          <w14:ligatures w14:val="none"/>
        </w:rPr>
        <w:t>.</w:t>
      </w:r>
    </w:p>
    <w:p w14:paraId="010896D1"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преодоляно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предизвикателството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трудното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приписване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кибератаките</w:t>
      </w:r>
      <w:proofErr w:type="spellEnd"/>
      <w:r w:rsidRPr="007E70E2">
        <w:rPr>
          <w:rFonts w:ascii="Times New Roman" w:eastAsia="Times New Roman" w:hAnsi="Times New Roman" w:cs="Times New Roman"/>
          <w:color w:val="313131"/>
          <w:kern w:val="0"/>
          <w:lang w:val="en-GB"/>
          <w14:ligatures w14:val="none"/>
        </w:rPr>
        <w:t xml:space="preserve">, НАТО и </w:t>
      </w:r>
      <w:proofErr w:type="spellStart"/>
      <w:r w:rsidRPr="007E70E2">
        <w:rPr>
          <w:rFonts w:ascii="Times New Roman" w:eastAsia="Times New Roman" w:hAnsi="Times New Roman" w:cs="Times New Roman"/>
          <w:color w:val="313131"/>
          <w:kern w:val="0"/>
          <w:lang w:val="en-GB"/>
          <w14:ligatures w14:val="none"/>
        </w:rPr>
        <w:t>Европейският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инвестират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значително</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способности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киберфорензика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анализ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включва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постоянни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интегрирани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екипи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експерти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които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работят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реално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време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върху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събиране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интерпретиране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обмен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доказателства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злонамерени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действия</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обща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методология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приписване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отговорност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приета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всички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членки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би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осигурило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по-бързо</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категорично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идентифициране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нападателите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би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улеснило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координираните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политически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правни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срещу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тях</w:t>
      </w:r>
      <w:proofErr w:type="spellEnd"/>
      <w:r w:rsidRPr="007E70E2">
        <w:rPr>
          <w:rFonts w:ascii="Times New Roman" w:eastAsia="Times New Roman" w:hAnsi="Times New Roman" w:cs="Times New Roman"/>
          <w:color w:val="313131"/>
          <w:kern w:val="0"/>
          <w:lang w:val="en-GB"/>
          <w14:ligatures w14:val="none"/>
        </w:rPr>
        <w:t>.</w:t>
      </w:r>
    </w:p>
    <w:p w14:paraId="418E6E16"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Необходимо</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целенасочено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намаляване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неравенствата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киберустойчивостта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членки</w:t>
      </w:r>
      <w:proofErr w:type="spellEnd"/>
      <w:r w:rsidRPr="007E70E2">
        <w:rPr>
          <w:rFonts w:ascii="Times New Roman" w:eastAsia="Times New Roman" w:hAnsi="Times New Roman" w:cs="Times New Roman"/>
          <w:color w:val="313131"/>
          <w:kern w:val="0"/>
          <w:lang w:val="en-GB"/>
          <w14:ligatures w14:val="none"/>
        </w:rPr>
        <w:t xml:space="preserve">. НАТО и ЕС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засилят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програмите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капацитетно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изграждане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механизми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солидарност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които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предоставят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техническа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помощ</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обучения</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финансиране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по-слабо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подготвените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държави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Установяването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минимални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стандарти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които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задължителни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всички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членки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гарантира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най-уязвимите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точки</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колективната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адекватно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подсилени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Подкрепата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национални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центрове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тяхната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свързаност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рамките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мрежи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CyCLONe</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допринесе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по-бърза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координирана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инциденти</w:t>
      </w:r>
      <w:proofErr w:type="spellEnd"/>
      <w:r w:rsidRPr="007E70E2">
        <w:rPr>
          <w:rFonts w:ascii="Times New Roman" w:eastAsia="Times New Roman" w:hAnsi="Times New Roman" w:cs="Times New Roman"/>
          <w:color w:val="313131"/>
          <w:kern w:val="0"/>
          <w:lang w:val="en-GB"/>
          <w14:ligatures w14:val="none"/>
        </w:rPr>
        <w:t>.</w:t>
      </w:r>
    </w:p>
    <w:p w14:paraId="10220CE3"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r w:rsidRPr="007E70E2">
        <w:rPr>
          <w:rFonts w:ascii="Times New Roman" w:eastAsia="Times New Roman" w:hAnsi="Times New Roman" w:cs="Times New Roman"/>
          <w:color w:val="313131"/>
          <w:kern w:val="0"/>
          <w:lang w:val="en-GB"/>
          <w14:ligatures w14:val="none"/>
        </w:rPr>
        <w:t xml:space="preserve">В </w:t>
      </w:r>
      <w:proofErr w:type="spellStart"/>
      <w:r w:rsidRPr="007E70E2">
        <w:rPr>
          <w:rFonts w:ascii="Times New Roman" w:eastAsia="Times New Roman" w:hAnsi="Times New Roman" w:cs="Times New Roman"/>
          <w:color w:val="313131"/>
          <w:kern w:val="0"/>
          <w:lang w:val="en-GB"/>
          <w14:ligatures w14:val="none"/>
        </w:rPr>
        <w:t>контекста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несигурност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около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киберотбраната</w:t>
      </w:r>
      <w:proofErr w:type="spellEnd"/>
      <w:r w:rsidRPr="007E70E2">
        <w:rPr>
          <w:rFonts w:ascii="Times New Roman" w:eastAsia="Times New Roman" w:hAnsi="Times New Roman" w:cs="Times New Roman"/>
          <w:color w:val="313131"/>
          <w:kern w:val="0"/>
          <w:lang w:val="en-GB"/>
          <w14:ligatures w14:val="none"/>
        </w:rPr>
        <w:t xml:space="preserve">, НАТО и ЕС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работят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активно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развитие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международен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консенсус</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относно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правилата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поведение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киберпространството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Това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включва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подкрепа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инициативи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ООН-</w:t>
      </w:r>
      <w:proofErr w:type="spellStart"/>
      <w:r w:rsidRPr="007E70E2">
        <w:rPr>
          <w:rFonts w:ascii="Times New Roman" w:eastAsia="Times New Roman" w:hAnsi="Times New Roman" w:cs="Times New Roman"/>
          <w:color w:val="313131"/>
          <w:kern w:val="0"/>
          <w:lang w:val="en-GB"/>
          <w14:ligatures w14:val="none"/>
        </w:rPr>
        <w:t>групите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поведение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държавите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киберсферата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разработване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lastRenderedPageBreak/>
        <w:t>трансатлантически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позиции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относно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прилагането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съществуващото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международно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към</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киберконфликтите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Паралелно</w:t>
      </w:r>
      <w:proofErr w:type="spellEnd"/>
      <w:r w:rsidRPr="007E70E2">
        <w:rPr>
          <w:rFonts w:ascii="Times New Roman" w:eastAsia="Times New Roman" w:hAnsi="Times New Roman" w:cs="Times New Roman"/>
          <w:color w:val="313131"/>
          <w:kern w:val="0"/>
          <w:lang w:val="en-GB"/>
          <w14:ligatures w14:val="none"/>
        </w:rPr>
        <w:t xml:space="preserve">, ЕС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ускори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вътрешното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законодателство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свързано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киберзащитата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осигури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правна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рамка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действия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w:t>
      </w:r>
    </w:p>
    <w:p w14:paraId="0555215B"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справяне</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технологичните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наложително</w:t>
      </w:r>
      <w:proofErr w:type="spellEnd"/>
      <w:r w:rsidRPr="007E70E2">
        <w:rPr>
          <w:rFonts w:ascii="Times New Roman" w:eastAsia="Times New Roman" w:hAnsi="Times New Roman" w:cs="Times New Roman"/>
          <w:color w:val="313131"/>
          <w:kern w:val="0"/>
          <w:lang w:val="en-GB"/>
          <w14:ligatures w14:val="none"/>
        </w:rPr>
        <w:t xml:space="preserve"> НАТО и ЕС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инвестират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иновации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създадат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програми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научноизследователска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развойна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дейност</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областта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Развитието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аналог</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DARPA, </w:t>
      </w:r>
      <w:proofErr w:type="spellStart"/>
      <w:r w:rsidRPr="007E70E2">
        <w:rPr>
          <w:rFonts w:ascii="Times New Roman" w:eastAsia="Times New Roman" w:hAnsi="Times New Roman" w:cs="Times New Roman"/>
          <w:color w:val="313131"/>
          <w:kern w:val="0"/>
          <w:lang w:val="en-GB"/>
          <w14:ligatures w14:val="none"/>
        </w:rPr>
        <w:t>посветен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иновациите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сферата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отбраната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осигурило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технологично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предимство</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бъдещи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конфликти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Подкрепата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стартиращи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компании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разработващи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решения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киберотбрана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стимулирането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проекти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академията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индустрията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публичния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сектор</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както</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използването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инструменти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отбранителен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фонд</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киберсферата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допринесат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изграждането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устойчива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технологична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екосистема</w:t>
      </w:r>
      <w:proofErr w:type="spellEnd"/>
      <w:r w:rsidRPr="007E70E2">
        <w:rPr>
          <w:rFonts w:ascii="Times New Roman" w:eastAsia="Times New Roman" w:hAnsi="Times New Roman" w:cs="Times New Roman"/>
          <w:color w:val="313131"/>
          <w:kern w:val="0"/>
          <w:lang w:val="en-GB"/>
          <w14:ligatures w14:val="none"/>
        </w:rPr>
        <w:t>.</w:t>
      </w:r>
    </w:p>
    <w:p w14:paraId="2DED5F13"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особено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значение</w:t>
      </w:r>
      <w:proofErr w:type="spellEnd"/>
      <w:r w:rsidRPr="007E70E2">
        <w:rPr>
          <w:rFonts w:ascii="Times New Roman" w:eastAsia="Times New Roman" w:hAnsi="Times New Roman" w:cs="Times New Roman"/>
          <w:color w:val="313131"/>
          <w:kern w:val="0"/>
          <w:lang w:val="en-GB"/>
          <w14:ligatures w14:val="none"/>
        </w:rPr>
        <w:t xml:space="preserve"> е </w:t>
      </w:r>
      <w:proofErr w:type="spellStart"/>
      <w:r w:rsidRPr="007E70E2">
        <w:rPr>
          <w:rFonts w:ascii="Times New Roman" w:eastAsia="Times New Roman" w:hAnsi="Times New Roman" w:cs="Times New Roman"/>
          <w:color w:val="313131"/>
          <w:kern w:val="0"/>
          <w:lang w:val="en-GB"/>
          <w14:ligatures w14:val="none"/>
        </w:rPr>
        <w:t>също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така</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усъвършенстват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механизмите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координация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между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гражданските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военните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компоненти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Създаването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гражданско-военни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оперативни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центрове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мониторинг</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кибератаки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позволи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по-бърза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обмяна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информация</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по-гъвкаво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управление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Специално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внимание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обърне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критичната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инфраструктура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разработят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съвместни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протоколи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реакция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атаки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срещу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енергийни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комуникационни</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транспортни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мрежи</w:t>
      </w:r>
      <w:proofErr w:type="spellEnd"/>
      <w:r w:rsidRPr="007E70E2">
        <w:rPr>
          <w:rFonts w:ascii="Times New Roman" w:eastAsia="Times New Roman" w:hAnsi="Times New Roman" w:cs="Times New Roman"/>
          <w:color w:val="313131"/>
          <w:kern w:val="0"/>
          <w:lang w:val="en-GB"/>
          <w14:ligatures w14:val="none"/>
        </w:rPr>
        <w:t>.</w:t>
      </w:r>
    </w:p>
    <w:p w14:paraId="06652C87" w14:textId="77777777" w:rsidR="007E70E2" w:rsidRP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lang w:val="en-GB"/>
          <w14:ligatures w14:val="none"/>
        </w:rPr>
      </w:pPr>
      <w:proofErr w:type="spellStart"/>
      <w:r w:rsidRPr="007E70E2">
        <w:rPr>
          <w:rFonts w:ascii="Times New Roman" w:eastAsia="Times New Roman" w:hAnsi="Times New Roman" w:cs="Times New Roman"/>
          <w:color w:val="313131"/>
          <w:kern w:val="0"/>
          <w:lang w:val="en-GB"/>
          <w14:ligatures w14:val="none"/>
        </w:rPr>
        <w:t>Накрая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противодействие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дезинформацията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социалното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подкопаване</w:t>
      </w:r>
      <w:proofErr w:type="spellEnd"/>
      <w:r w:rsidRPr="007E70E2">
        <w:rPr>
          <w:rFonts w:ascii="Times New Roman" w:eastAsia="Times New Roman" w:hAnsi="Times New Roman" w:cs="Times New Roman"/>
          <w:color w:val="313131"/>
          <w:kern w:val="0"/>
          <w:lang w:val="en-GB"/>
          <w14:ligatures w14:val="none"/>
        </w:rPr>
        <w:t xml:space="preserve">, ЕС и НАТО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изградят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интегрирана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информационна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сигурност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Тази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стратегия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трябва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включва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ранно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откриване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кампании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манипулация</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бързо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опровержение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фалшиви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новини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надеждни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канали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насърчаване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медийната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грамотност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гражданите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тясно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сътрудничество</w:t>
      </w:r>
      <w:proofErr w:type="spellEnd"/>
      <w:r w:rsidRPr="007E70E2">
        <w:rPr>
          <w:rFonts w:ascii="Times New Roman" w:eastAsia="Times New Roman" w:hAnsi="Times New Roman" w:cs="Times New Roman"/>
          <w:color w:val="313131"/>
          <w:kern w:val="0"/>
          <w:lang w:val="en-GB"/>
          <w14:ligatures w14:val="none"/>
        </w:rPr>
        <w:t xml:space="preserve"> с </w:t>
      </w:r>
      <w:proofErr w:type="spellStart"/>
      <w:r w:rsidRPr="007E70E2">
        <w:rPr>
          <w:rFonts w:ascii="Times New Roman" w:eastAsia="Times New Roman" w:hAnsi="Times New Roman" w:cs="Times New Roman"/>
          <w:color w:val="313131"/>
          <w:kern w:val="0"/>
          <w:lang w:val="en-GB"/>
          <w14:ligatures w14:val="none"/>
        </w:rPr>
        <w:t>технологичните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компании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ограничаване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разпространението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злонамерено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съдържание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Превенцията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информационните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операции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ключово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значение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запазване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общественото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доверие</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институциите</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стабилността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демократичните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процеси</w:t>
      </w:r>
      <w:proofErr w:type="spellEnd"/>
      <w:r w:rsidRPr="007E70E2">
        <w:rPr>
          <w:rFonts w:ascii="Times New Roman" w:eastAsia="Times New Roman" w:hAnsi="Times New Roman" w:cs="Times New Roman"/>
          <w:color w:val="313131"/>
          <w:kern w:val="0"/>
          <w:lang w:val="en-GB"/>
          <w14:ligatures w14:val="none"/>
        </w:rPr>
        <w:t>.</w:t>
      </w:r>
    </w:p>
    <w:p w14:paraId="7269FB99" w14:textId="77777777" w:rsidR="007E70E2" w:rsidRDefault="007E70E2" w:rsidP="00926278">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proofErr w:type="spellStart"/>
      <w:r w:rsidRPr="007E70E2">
        <w:rPr>
          <w:rFonts w:ascii="Times New Roman" w:eastAsia="Times New Roman" w:hAnsi="Times New Roman" w:cs="Times New Roman"/>
          <w:color w:val="313131"/>
          <w:kern w:val="0"/>
          <w:lang w:val="en-GB"/>
          <w14:ligatures w14:val="none"/>
        </w:rPr>
        <w:lastRenderedPageBreak/>
        <w:t>Само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чрез</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цялостен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интегриран</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проактивен</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подход</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Европейският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съюз</w:t>
      </w:r>
      <w:proofErr w:type="spellEnd"/>
      <w:r w:rsidRPr="007E70E2">
        <w:rPr>
          <w:rFonts w:ascii="Times New Roman" w:eastAsia="Times New Roman" w:hAnsi="Times New Roman" w:cs="Times New Roman"/>
          <w:color w:val="313131"/>
          <w:kern w:val="0"/>
          <w:lang w:val="en-GB"/>
          <w14:ligatures w14:val="none"/>
        </w:rPr>
        <w:t xml:space="preserve"> и НАТО </w:t>
      </w:r>
      <w:proofErr w:type="spellStart"/>
      <w:r w:rsidRPr="007E70E2">
        <w:rPr>
          <w:rFonts w:ascii="Times New Roman" w:eastAsia="Times New Roman" w:hAnsi="Times New Roman" w:cs="Times New Roman"/>
          <w:color w:val="313131"/>
          <w:kern w:val="0"/>
          <w:lang w:val="en-GB"/>
          <w14:ligatures w14:val="none"/>
        </w:rPr>
        <w:t>ще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могат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успешно</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преодолеят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предизвикателствата</w:t>
      </w:r>
      <w:proofErr w:type="spellEnd"/>
      <w:r w:rsidRPr="007E70E2">
        <w:rPr>
          <w:rFonts w:ascii="Times New Roman" w:eastAsia="Times New Roman" w:hAnsi="Times New Roman" w:cs="Times New Roman"/>
          <w:color w:val="313131"/>
          <w:kern w:val="0"/>
          <w:lang w:val="en-GB"/>
          <w14:ligatures w14:val="none"/>
        </w:rPr>
        <w:t xml:space="preserve"> в </w:t>
      </w:r>
      <w:proofErr w:type="spellStart"/>
      <w:r w:rsidRPr="007E70E2">
        <w:rPr>
          <w:rFonts w:ascii="Times New Roman" w:eastAsia="Times New Roman" w:hAnsi="Times New Roman" w:cs="Times New Roman"/>
          <w:color w:val="313131"/>
          <w:kern w:val="0"/>
          <w:lang w:val="en-GB"/>
          <w14:ligatures w14:val="none"/>
        </w:rPr>
        <w:t>сферата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на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киберсигурността</w:t>
      </w:r>
      <w:proofErr w:type="spellEnd"/>
      <w:r w:rsidRPr="007E70E2">
        <w:rPr>
          <w:rFonts w:ascii="Times New Roman" w:eastAsia="Times New Roman" w:hAnsi="Times New Roman" w:cs="Times New Roman"/>
          <w:color w:val="313131"/>
          <w:kern w:val="0"/>
          <w:lang w:val="en-GB"/>
          <w14:ligatures w14:val="none"/>
        </w:rPr>
        <w:t xml:space="preserve"> и </w:t>
      </w:r>
      <w:proofErr w:type="spellStart"/>
      <w:r w:rsidRPr="007E70E2">
        <w:rPr>
          <w:rFonts w:ascii="Times New Roman" w:eastAsia="Times New Roman" w:hAnsi="Times New Roman" w:cs="Times New Roman"/>
          <w:color w:val="313131"/>
          <w:kern w:val="0"/>
          <w:lang w:val="en-GB"/>
          <w14:ligatures w14:val="none"/>
        </w:rPr>
        <w:t>да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изградят</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устойчива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архитектура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защита</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срещу</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бъдещите</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хибридни</w:t>
      </w:r>
      <w:proofErr w:type="spellEnd"/>
      <w:r w:rsidRPr="007E70E2">
        <w:rPr>
          <w:rFonts w:ascii="Times New Roman" w:eastAsia="Times New Roman" w:hAnsi="Times New Roman" w:cs="Times New Roman"/>
          <w:color w:val="313131"/>
          <w:kern w:val="0"/>
          <w:lang w:val="en-GB"/>
          <w14:ligatures w14:val="none"/>
        </w:rPr>
        <w:t xml:space="preserve"> </w:t>
      </w:r>
      <w:proofErr w:type="spellStart"/>
      <w:r w:rsidRPr="007E70E2">
        <w:rPr>
          <w:rFonts w:ascii="Times New Roman" w:eastAsia="Times New Roman" w:hAnsi="Times New Roman" w:cs="Times New Roman"/>
          <w:color w:val="313131"/>
          <w:kern w:val="0"/>
          <w:lang w:val="en-GB"/>
          <w14:ligatures w14:val="none"/>
        </w:rPr>
        <w:t>заплахи</w:t>
      </w:r>
      <w:proofErr w:type="spellEnd"/>
      <w:r w:rsidRPr="007E70E2">
        <w:rPr>
          <w:rFonts w:ascii="Times New Roman" w:eastAsia="Times New Roman" w:hAnsi="Times New Roman" w:cs="Times New Roman"/>
          <w:color w:val="313131"/>
          <w:kern w:val="0"/>
          <w:lang w:val="en-GB"/>
          <w14:ligatures w14:val="none"/>
        </w:rPr>
        <w:t>.</w:t>
      </w:r>
    </w:p>
    <w:p w14:paraId="7A74F671" w14:textId="741F4755" w:rsidR="00C33C4C" w:rsidRDefault="00C33C4C">
      <w:pPr>
        <w:rPr>
          <w:rFonts w:ascii="Times New Roman" w:eastAsia="Times New Roman" w:hAnsi="Times New Roman" w:cs="Times New Roman"/>
          <w:color w:val="313131"/>
          <w:kern w:val="0"/>
          <w14:ligatures w14:val="none"/>
        </w:rPr>
      </w:pPr>
      <w:r>
        <w:rPr>
          <w:rFonts w:ascii="Times New Roman" w:eastAsia="Times New Roman" w:hAnsi="Times New Roman" w:cs="Times New Roman"/>
          <w:color w:val="313131"/>
          <w:kern w:val="0"/>
          <w14:ligatures w14:val="none"/>
        </w:rPr>
        <w:br w:type="page"/>
      </w:r>
    </w:p>
    <w:p w14:paraId="6F007280" w14:textId="4961454E" w:rsidR="00C33C4C" w:rsidRPr="00C33C4C" w:rsidRDefault="00C33C4C" w:rsidP="00C33C4C">
      <w:pPr>
        <w:spacing w:before="100" w:beforeAutospacing="1" w:after="100" w:afterAutospacing="1" w:line="360" w:lineRule="auto"/>
        <w:ind w:firstLine="360"/>
        <w:jc w:val="center"/>
        <w:rPr>
          <w:rFonts w:ascii="Times New Roman" w:eastAsia="Times New Roman" w:hAnsi="Times New Roman" w:cs="Times New Roman"/>
          <w:b/>
          <w:bCs/>
          <w:color w:val="313131"/>
          <w:kern w:val="0"/>
          <w14:ligatures w14:val="none"/>
        </w:rPr>
      </w:pPr>
      <w:r w:rsidRPr="00C33C4C">
        <w:rPr>
          <w:rFonts w:ascii="Times New Roman" w:eastAsia="Times New Roman" w:hAnsi="Times New Roman" w:cs="Times New Roman"/>
          <w:b/>
          <w:bCs/>
          <w:color w:val="313131"/>
          <w:kern w:val="0"/>
          <w14:ligatures w14:val="none"/>
        </w:rPr>
        <w:lastRenderedPageBreak/>
        <w:t>Цитирана литература</w:t>
      </w:r>
    </w:p>
    <w:p w14:paraId="7BFE2377" w14:textId="30FC6150"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“Securing the Edge: Surveying the Vulnerabilities in the Federal Government’s Internet of Things,” Research report, Government Business Council, Brocade Communications System, January 2017, https://www.cybersecobservatory.com/wp-content/uploads/2017/05/security-at-edge.pdf</w:t>
      </w:r>
    </w:p>
    <w:p w14:paraId="20ED6909" w14:textId="64784B03"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Bassot, É. (2025). Ten issues to watch in 2025. [online] doi:https://doi.org/10.2861/4530400.</w:t>
      </w:r>
    </w:p>
    <w:p w14:paraId="7F84C0B3" w14:textId="6D9E55B9"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Bruce J, Jeffrey F, and Will M</w:t>
      </w:r>
      <w:r>
        <w:rPr>
          <w:rFonts w:ascii="Times New Roman" w:eastAsia="Times New Roman" w:hAnsi="Times New Roman" w:cs="Times New Roman"/>
          <w:color w:val="313131"/>
          <w:kern w:val="0"/>
          <w14:ligatures w14:val="none"/>
        </w:rPr>
        <w:t>.</w:t>
      </w:r>
      <w:r w:rsidRPr="00C33C4C">
        <w:rPr>
          <w:rFonts w:ascii="Times New Roman" w:eastAsia="Times New Roman" w:hAnsi="Times New Roman" w:cs="Times New Roman"/>
          <w:color w:val="313131"/>
          <w:kern w:val="0"/>
          <w14:ligatures w14:val="none"/>
        </w:rPr>
        <w:t xml:space="preserve"> “Competitive Multilateralism: Adapting Institutions to Meet the New Geopolitical Environment,” The Brookings Institution, September 2019, https://www.brookings.edu/wp-content/uploads/2019/ 09/FP_20190918_competitive_multilateralism_FINAL.pdf.</w:t>
      </w:r>
    </w:p>
    <w:p w14:paraId="40928A5C" w14:textId="117A9FFA"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CCDCOE. (2019). CCDCOE - The NATO Cooperative Cyber Defence Centre of Excellence is a multinational and interdisciplinary hub of cyber defence expertise. Ccdcoe.org. https://ccdcoe.org/</w:t>
      </w:r>
    </w:p>
    <w:p w14:paraId="50D2BD65"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Cyber Coalition - NATO’s ACT. (2024, March 10). NATO’s ACT. https://www.act.nato.int/activities/cyber-coalition/</w:t>
      </w:r>
    </w:p>
    <w:p w14:paraId="3FB89A97"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Declaration of 9 may - Robert Schuman Foundation. (2019). Robert-Schuman.eu. https://www.robert-schuman.eu/en/declaration-of-9-may-1950</w:t>
      </w:r>
    </w:p>
    <w:p w14:paraId="280F76F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EUR-Lex. (2009). EUR-Lex - mutual_defence - EN - EUR-Lex. Eur-Lex.europa.eu. https://eur-lex.europa.eu/EN/legal-content/glossary/mutual-defence-clause.html</w:t>
      </w:r>
    </w:p>
    <w:p w14:paraId="7453889E"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Commission. (2019). The European Green Deal. European Commission. https://commission.europa.eu/strategy-and-policy/priorities-2019-2024/european-green-deal_en</w:t>
      </w:r>
    </w:p>
    <w:p w14:paraId="43ACF9A7"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Commission. (2020). Brexit. Commission.europa.eu. https://commission.europa.eu/law/law-topic/data-protection/international-dimension-data-protection/brexit_en</w:t>
      </w:r>
    </w:p>
    <w:p w14:paraId="5DF25701"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lastRenderedPageBreak/>
        <w:t xml:space="preserve">  European Commission. (2022). The Critical Entities Resilience Directive (CER). Www.critical-Entities-Resilience-Directive.com. https://www.critical-entities-resilience-directive.com/</w:t>
      </w:r>
    </w:p>
    <w:p w14:paraId="3500AB50"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Commission. (2023). From 6 to 27 members. Neighbourhood-Enlargement.ec.europa.eu. https://neighbourhood-enlargement.ec.europa.eu/enlargement-policy/6-27-members_en</w:t>
      </w:r>
    </w:p>
    <w:p w14:paraId="75B8EFC1"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Parliament. (1992). Maastricht Treaty. Maastricht Treaty. https://www.europarl.europa.eu/about-parliament/en/in-the-past/the-parliament-and-the-treaties/maastricht-treaty</w:t>
      </w:r>
    </w:p>
    <w:p w14:paraId="52D2BB32"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Parliament. (2002). Berlin Plus agreement. https://www.europarl.europa.eu/meetdocs/2004_2009/documents/dv/berlinplus_/berlinplus_en.pdf</w:t>
      </w:r>
    </w:p>
    <w:p w14:paraId="79643F35"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Parliament. (2018). EU and NATO cooperation to expand to new areas, including counter-terror; military mobility; women, peace and security | EEAS Website. Www.eeas.europa.eu. https://www.eeas.europa.eu/node/36854_en</w:t>
      </w:r>
    </w:p>
    <w:p w14:paraId="15D9D07D"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Union. (2021). NextGenerationEU. Next-Generation-Eu.europa.eu. https://next-generation-eu.europa.eu/index_en</w:t>
      </w:r>
    </w:p>
    <w:p w14:paraId="6020052E"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Union. (2023). EU enlargement - European Union. European-Union.europa.eu. https://european-union.europa.eu/principles-countries-history/eu-enlargement_en</w:t>
      </w:r>
    </w:p>
    <w:p w14:paraId="4773914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European Union. (n.d.). European Council – role and powers | European Union. European-Union.europa.eu. https://european-union.europa.eu/institutions-law-budget/institutions-and-bodies/search-all-eu-institutions-and-bodies/european-council_en</w:t>
      </w:r>
    </w:p>
    <w:p w14:paraId="379902EC"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Evaluating NATO enlargement since the end of the Cold War. (2024). Brookings. https://www.brookings.edu/events/evaluating-nato-enlargement-since-the-end-of-the-cold-war/</w:t>
      </w:r>
    </w:p>
    <w:p w14:paraId="0411DF12"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lastRenderedPageBreak/>
        <w:t xml:space="preserve">  Filipec, O. (2023). The Cooperation Between EU and NATO in Response to Hybrid Threats. A Retrospective Analysis from the Institutionalist Perspective. 27–55. https://doi.org/10.34135/sjps.230102</w:t>
      </w:r>
    </w:p>
    <w:p w14:paraId="3CA76605"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FISZER, Józef M. (2023). THE GENESIS OF THE MAASTRICHT TREATY AND ITS IMPORTANCE FOR THE EUROPEAN INTEGRATION AND SECURITY. Politeja, 87, 5–24. JSTOR. https://doi.org/10.2307/27327667</w:t>
      </w:r>
    </w:p>
    <w:p w14:paraId="7D01954B"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Fitzgerald, A. (2024, November 28). Understanding EU Cybersecurity: History, Regulations, and Certifications. Secureframe. https://secureframe.com/blog/eu-cybersecurity</w:t>
      </w:r>
    </w:p>
    <w:p w14:paraId="40C96963"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Frederic Lemieux, “How to Tackle Cybersecurity Risks More Effectively,” Georgetown University, School of Continuing Studies, September 17, 2018, https://scs.georgetown.edu/news-and-events/article/7329/how-tackle-cybersecurity-risks-more-effectively.</w:t>
      </w:r>
    </w:p>
    <w:p w14:paraId="79A2E012" w14:textId="52AFB1D4"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Käppeli, A., Gavas, M. and Granito, L. (2025). The EU in 2025: Balancing Global Ambitions and Domestic Pressures. [online] Center For Global Development. Available at: https://www.cgdev.org/blog/eu-2025-balancing-global-ambitions-and-domestic-pressures</w:t>
      </w:r>
    </w:p>
    <w:p w14:paraId="787B135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Knauer, J. (2011). DEPARTMENT OF EU INTERNATIONAL RELATIONS AND DIPLOMACY STUDIES EUFOR Althea: Appraisal and Future Perspectives of the EU’s Former Flagship Operation in Bosnia and Herzegovina. https://www.coleurope.eu/sites/default/files/research-paper/edp_7_2011_knauer_0.pdf</w:t>
      </w:r>
    </w:p>
    <w:p w14:paraId="24A1D3BD"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Lazarou, E., &amp; Littlehale, M. (2016). Briefing EU-NATO cooperation and European defence after the Warsaw Summit. https://www.europarl.europa.eu/RegData/etudes/BRIE/2016/595855/EPRS_BRI(2016)595855_EN.pdf</w:t>
      </w:r>
    </w:p>
    <w:p w14:paraId="6F44B91F"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Mace, C. (2004). OperationConcordia: developing a “European” approach to crisis management?. International Peacekeeping, 11(3), 474–490. https://doi.org/10.1080/1353331042000249055</w:t>
      </w:r>
    </w:p>
    <w:p w14:paraId="3A7ED4B2"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lastRenderedPageBreak/>
        <w:t xml:space="preserve">  Miranda, N. (2024, January 17). EU trade sanctions in response to situation in Ukraine. Enterprise.gov.ie. https://enterprise.gov.ie/en/Publications/EU-Trade-Sanctions-in-Response-to-Situation-in-Ukraine-.html</w:t>
      </w:r>
    </w:p>
    <w:p w14:paraId="2EB28303"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2022 STRATEGIC CONCEPT. Достъпно на https://www.nato.int/cps/en/natohq/official_texts.htm?keywordquery=Crisis%20management%20&amp;search=true</w:t>
      </w:r>
    </w:p>
    <w:p w14:paraId="1158D579"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(1949). The North Atlantic Treaty. NATO. https://www.nato.int/cps/ua/natohq/official_texts_17120.htm</w:t>
      </w:r>
    </w:p>
    <w:p w14:paraId="18022C18"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(2010, November 19). Strategic Concept 2010. NATO. https://www.nato.int/cps/en/natohq/topics_82705.htm</w:t>
      </w:r>
    </w:p>
    <w:p w14:paraId="266263D8"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(2018, August 21). History; A&amp;E Television Networks. https://www.history.com/topics/cold-war/formation-of-nato-and-warsaw-pact</w:t>
      </w:r>
    </w:p>
    <w:p w14:paraId="279D281E"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(2024, October 3). Enlargement. NATO. https://www.nato.int/cps/uk/natohq/topics_49212.htm?selectedLocale=en</w:t>
      </w:r>
    </w:p>
    <w:p w14:paraId="5318C7C9"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(2024a). North Atlantic Council (NAC). NATO. https://www.nato.int/cps/cn/natohq/topics_49763.htm</w:t>
      </w:r>
    </w:p>
    <w:p w14:paraId="78B54F65"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NATO. (2025). Military Committee. NATO. https://www.nato.int/cps/uk/natohq/topics_49633.htm?selectedLocale=en</w:t>
      </w:r>
    </w:p>
    <w:p w14:paraId="5EB3CCAD"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NCI Agency | Home. (2025). Www.ncia.nato.int. https://www.ncia.nato.int/</w:t>
      </w:r>
    </w:p>
    <w:p w14:paraId="32BFF3C5"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Office of the Historian. (2019). North Atlantic Treaty Organization (NATO), 1949. Office of the Historian. https://history.state.gov/milestones/1945-1952/nato</w:t>
      </w:r>
    </w:p>
    <w:p w14:paraId="08F7AE20"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Poptchev, P. (2020). NATO-EU Cooperation in Cybersecurity and Cyber Defence Offers Unrivalled Advantages. Information &amp; Security: An International Journal, 45, 35–55. https://doi.org/10.11610/isij.4503</w:t>
      </w:r>
    </w:p>
    <w:p w14:paraId="2CAA4EA7"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lastRenderedPageBreak/>
        <w:t xml:space="preserve">  Robin Emmott, “NATO Cyber Command to Be Fully Operational in 2023,” Reuters, October 16, 2018. https://www.reuters.com/article/technology/nato-cyber-command-to-be-fully-operational-in-2023-idUSKCN1MQ20O/</w:t>
      </w:r>
    </w:p>
    <w:p w14:paraId="1C981851"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Seker, E., &amp; Ozbenli, H. H. (2018). The Concept of Cyber Defence Exercises (CDX): Planning, Execution, Evaluation. 2018 International Conference on Cyber Security and Protection of Digital Services (Cyber Security). https://doi.org/10.1109/cybersecpods.2018.8560673</w:t>
      </w:r>
    </w:p>
    <w:p w14:paraId="11E9960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Standish, Reid (2017-10-03). "Finland opens a new center to fight 'hybrid threats' from Russia and beyond". https://foreignpolicy.com/2018/01/18/inside-a-european-center-to-combat-russias-hybrid-warfare/</w:t>
      </w:r>
    </w:p>
    <w:p w14:paraId="492D194E"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Susan Page, Jason Lalljee, and Jeanine Santucci, “Who’s Gonna Make the Debate Stage?” POLITICO, 28 August, 2019, https://www.politico.com/newsletters/playbook/2019/08/28/whos-gonna-make-the-debate-stage-473330.</w:t>
      </w:r>
    </w:p>
    <w:p w14:paraId="623096DB"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Susan Page, Jason Lalljee, and Jeanine Santucci, “Who’s Gonna Make the Debate Stage?” POLITICO, 28 August, 2019, https://www.politico.com/newsletters/playbook/2019/08/28/whos-gonna-make-the-debate-stage-473330.</w:t>
      </w:r>
    </w:p>
    <w:p w14:paraId="7D18415F"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The future evolution of civil society in the European Union by 2030 STUDY. (2022). https://www.eesc.europa.eu/sites/default/files/files/the_future_evolution_of_civil_society_in_the_eu_by_2030.pdf</w:t>
      </w:r>
    </w:p>
    <w:p w14:paraId="2690D658"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The Treaties of Rome. (1957). Department for European Affairs. https://www.affarieuropei.gov.it/en/legislation/the-treaties-of-rome/</w:t>
      </w:r>
    </w:p>
    <w:p w14:paraId="1D7BB920"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Tom Wheeler, “Moving from ‘Secret Sauce’ to Open Standards for 5G,” Brookings Global Eye, February 18, 2020, https://globaleye.online/moving-from-secret-sauceto-open-standards-for-5g-brookings/.</w:t>
      </w:r>
    </w:p>
    <w:p w14:paraId="2E79BB38"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Treaty of Lisbon. (2009). Treaty of Lisbon. Treaty of Lisbon. https://www.europarl.europa.eu/about-parliament/en/in-the-past/the-parliament-and-the-treaties/treaty-of-lisbon</w:t>
      </w:r>
    </w:p>
    <w:p w14:paraId="0F102ED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lastRenderedPageBreak/>
        <w:t xml:space="preserve">  Wagner, M. (2015, December 21). 2015 in review: how Europe reacted to the refugee crisis - ICMPD. Www.icmpd.org. https://www.icmpd.org/blog/2015/2015-in-review-how-europe-reacted-to-the-refugee-crisis</w:t>
      </w:r>
    </w:p>
    <w:p w14:paraId="7AE172E6" w14:textId="77777777" w:rsidR="00C33C4C" w:rsidRPr="00C33C4C" w:rsidRDefault="00C33C4C" w:rsidP="00C33C4C">
      <w:pPr>
        <w:spacing w:before="100" w:beforeAutospacing="1" w:after="100" w:afterAutospacing="1" w:line="360" w:lineRule="auto"/>
        <w:ind w:firstLine="360"/>
        <w:jc w:val="both"/>
        <w:rPr>
          <w:rFonts w:ascii="Times New Roman" w:eastAsia="Times New Roman" w:hAnsi="Times New Roman" w:cs="Times New Roman"/>
          <w:color w:val="313131"/>
          <w:kern w:val="0"/>
          <w14:ligatures w14:val="none"/>
        </w:rPr>
      </w:pPr>
      <w:r w:rsidRPr="00C33C4C">
        <w:rPr>
          <w:rFonts w:ascii="Times New Roman" w:eastAsia="Times New Roman" w:hAnsi="Times New Roman" w:cs="Times New Roman"/>
          <w:color w:val="313131"/>
          <w:kern w:val="0"/>
          <w14:ligatures w14:val="none"/>
        </w:rPr>
        <w:t xml:space="preserve">  Zettelmeyer, J. (2025). Is Europe ready for the challenges of 2025 and beyond? [online] Bruegel | The Brussels-based economic think tank. Available at: https://www.bruegel.org/newsletter/europe-ready-challenges-2025-and-beyond</w:t>
      </w:r>
    </w:p>
    <w:sectPr w:rsidR="00C33C4C" w:rsidRPr="00C33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C757" w14:textId="77777777" w:rsidR="000434BC" w:rsidRPr="00E73B36" w:rsidRDefault="000434BC" w:rsidP="00587FFB">
      <w:pPr>
        <w:spacing w:after="0" w:line="240" w:lineRule="auto"/>
      </w:pPr>
      <w:r w:rsidRPr="00E73B36">
        <w:separator/>
      </w:r>
    </w:p>
  </w:endnote>
  <w:endnote w:type="continuationSeparator" w:id="0">
    <w:p w14:paraId="0B5B852E" w14:textId="77777777" w:rsidR="000434BC" w:rsidRPr="00E73B36" w:rsidRDefault="000434BC" w:rsidP="00587FFB">
      <w:pPr>
        <w:spacing w:after="0" w:line="240" w:lineRule="auto"/>
      </w:pPr>
      <w:r w:rsidRPr="00E73B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1E9B" w14:textId="77777777" w:rsidR="000434BC" w:rsidRPr="00E73B36" w:rsidRDefault="000434BC" w:rsidP="00587FFB">
      <w:pPr>
        <w:spacing w:after="0" w:line="240" w:lineRule="auto"/>
      </w:pPr>
      <w:r w:rsidRPr="00E73B36">
        <w:separator/>
      </w:r>
    </w:p>
  </w:footnote>
  <w:footnote w:type="continuationSeparator" w:id="0">
    <w:p w14:paraId="0534AFA9" w14:textId="77777777" w:rsidR="000434BC" w:rsidRPr="00E73B36" w:rsidRDefault="000434BC" w:rsidP="00587FFB">
      <w:pPr>
        <w:spacing w:after="0" w:line="240" w:lineRule="auto"/>
      </w:pPr>
      <w:r w:rsidRPr="00E73B36">
        <w:continuationSeparator/>
      </w:r>
    </w:p>
  </w:footnote>
  <w:footnote w:id="1">
    <w:p w14:paraId="25E96510" w14:textId="1C5E89FC" w:rsidR="00167195" w:rsidRPr="00E73B36" w:rsidRDefault="00167195">
      <w:pPr>
        <w:pStyle w:val="FootnoteText"/>
      </w:pPr>
      <w:r w:rsidRPr="00E73B36">
        <w:rPr>
          <w:rStyle w:val="FootnoteReference"/>
        </w:rPr>
        <w:footnoteRef/>
      </w:r>
      <w:r w:rsidRPr="00E73B36">
        <w:t xml:space="preserve"> Office of the Historian. (2019). </w:t>
      </w:r>
      <w:r w:rsidRPr="00E73B36">
        <w:rPr>
          <w:i/>
          <w:iCs/>
        </w:rPr>
        <w:t>North Atlantic Treaty Organization (NATO), 1949</w:t>
      </w:r>
      <w:r w:rsidRPr="00E73B36">
        <w:t>. Office of the Historian. https://history.state.gov/milestones/1945-1952/nato</w:t>
      </w:r>
    </w:p>
  </w:footnote>
  <w:footnote w:id="2">
    <w:p w14:paraId="31CAF840" w14:textId="77777777" w:rsidR="00167195" w:rsidRPr="00E73B36" w:rsidRDefault="00167195" w:rsidP="00167195">
      <w:pPr>
        <w:pStyle w:val="FootnoteText"/>
      </w:pPr>
      <w:r w:rsidRPr="00E73B36">
        <w:rPr>
          <w:rStyle w:val="FootnoteReference"/>
        </w:rPr>
        <w:footnoteRef/>
      </w:r>
      <w:r w:rsidRPr="00E73B36">
        <w:t xml:space="preserve"> NATO. (1949). </w:t>
      </w:r>
      <w:r w:rsidRPr="00E73B36">
        <w:rPr>
          <w:i/>
          <w:iCs/>
        </w:rPr>
        <w:t>The North Atlantic Treaty</w:t>
      </w:r>
      <w:r w:rsidRPr="00E73B36">
        <w:t>. NATO. https://www.nato.int/cps/ua/natohq/official_texts_17120.htm</w:t>
      </w:r>
    </w:p>
    <w:p w14:paraId="53F696C9" w14:textId="52A28ABD" w:rsidR="00167195" w:rsidRPr="00E73B36" w:rsidRDefault="00167195">
      <w:pPr>
        <w:pStyle w:val="FootnoteText"/>
      </w:pPr>
    </w:p>
  </w:footnote>
  <w:footnote w:id="3">
    <w:p w14:paraId="0E79F134" w14:textId="77777777" w:rsidR="00167195" w:rsidRPr="00E73B36" w:rsidRDefault="00167195" w:rsidP="00167195">
      <w:pPr>
        <w:pStyle w:val="FootnoteText"/>
      </w:pPr>
      <w:r w:rsidRPr="00E73B36">
        <w:rPr>
          <w:rStyle w:val="FootnoteReference"/>
        </w:rPr>
        <w:footnoteRef/>
      </w:r>
      <w:r w:rsidRPr="00E73B36">
        <w:t xml:space="preserve"> </w:t>
      </w:r>
      <w:r w:rsidRPr="00E73B36">
        <w:rPr>
          <w:i/>
          <w:iCs/>
        </w:rPr>
        <w:t>NATO</w:t>
      </w:r>
      <w:r w:rsidRPr="00E73B36">
        <w:t>. (2018, August 21). History; A&amp;E Television Networks. https://www.history.com/topics/cold-war/formation-of-nato-and-warsaw-pact</w:t>
      </w:r>
    </w:p>
    <w:p w14:paraId="4A5D72AC" w14:textId="7727201E" w:rsidR="00167195" w:rsidRPr="00E73B36" w:rsidRDefault="00167195">
      <w:pPr>
        <w:pStyle w:val="FootnoteText"/>
      </w:pPr>
    </w:p>
  </w:footnote>
  <w:footnote w:id="4">
    <w:p w14:paraId="2F9F20CA" w14:textId="77777777" w:rsidR="00AD644C" w:rsidRPr="00E73B36" w:rsidRDefault="00AD644C" w:rsidP="00AD644C">
      <w:pPr>
        <w:pStyle w:val="FootnoteText"/>
      </w:pPr>
      <w:r w:rsidRPr="00E73B36">
        <w:rPr>
          <w:rStyle w:val="FootnoteReference"/>
        </w:rPr>
        <w:footnoteRef/>
      </w:r>
      <w:r w:rsidRPr="00E73B36">
        <w:t xml:space="preserve"> NATO. (2024, October 3). </w:t>
      </w:r>
      <w:r w:rsidRPr="00E73B36">
        <w:rPr>
          <w:i/>
          <w:iCs/>
        </w:rPr>
        <w:t>Enlargement</w:t>
      </w:r>
      <w:r w:rsidRPr="00E73B36">
        <w:t>. NATO. https://www.nato.int/cps/uk/natohq/topics_49212.htm?selectedLocale=en</w:t>
      </w:r>
    </w:p>
    <w:p w14:paraId="06B9B15D" w14:textId="77777777" w:rsidR="00AD644C" w:rsidRPr="00E73B36" w:rsidRDefault="00AD644C" w:rsidP="00AD644C">
      <w:pPr>
        <w:pStyle w:val="FootnoteText"/>
      </w:pPr>
    </w:p>
  </w:footnote>
  <w:footnote w:id="5">
    <w:p w14:paraId="6750E1E5" w14:textId="28816C6A" w:rsidR="00167195" w:rsidRPr="00E73B36" w:rsidRDefault="00167195">
      <w:pPr>
        <w:pStyle w:val="FootnoteText"/>
      </w:pPr>
      <w:r w:rsidRPr="00E73B36">
        <w:rPr>
          <w:rStyle w:val="FootnoteReference"/>
        </w:rPr>
        <w:footnoteRef/>
      </w:r>
      <w:r w:rsidRPr="00E73B36">
        <w:t xml:space="preserve"> </w:t>
      </w:r>
      <w:r w:rsidRPr="00E73B36">
        <w:rPr>
          <w:i/>
          <w:iCs/>
        </w:rPr>
        <w:t>Evaluating NATO enlargement since the end of the Cold War</w:t>
      </w:r>
      <w:r w:rsidRPr="00E73B36">
        <w:t>. (2024). Brookings. https://www.brookings.edu/events/evaluating-nato-enlargement-since-the-end-of-the-cold-war/</w:t>
      </w:r>
    </w:p>
  </w:footnote>
  <w:footnote w:id="6">
    <w:p w14:paraId="1694DE37" w14:textId="71782070" w:rsidR="00167195" w:rsidRPr="00E73B36" w:rsidRDefault="00167195">
      <w:pPr>
        <w:pStyle w:val="FootnoteText"/>
      </w:pPr>
      <w:r w:rsidRPr="00E73B36">
        <w:rPr>
          <w:rStyle w:val="FootnoteReference"/>
        </w:rPr>
        <w:footnoteRef/>
      </w:r>
      <w:r w:rsidRPr="00E73B36">
        <w:t xml:space="preserve"> Пак там</w:t>
      </w:r>
    </w:p>
  </w:footnote>
  <w:footnote w:id="7">
    <w:p w14:paraId="2418E470" w14:textId="77777777" w:rsidR="00167195" w:rsidRPr="00E73B36" w:rsidRDefault="00167195" w:rsidP="00167195">
      <w:pPr>
        <w:pStyle w:val="FootnoteText"/>
      </w:pPr>
      <w:r w:rsidRPr="00E73B36">
        <w:rPr>
          <w:rStyle w:val="FootnoteReference"/>
        </w:rPr>
        <w:footnoteRef/>
      </w:r>
      <w:r w:rsidRPr="00E73B36">
        <w:t xml:space="preserve"> NATO 2022 STRATEGIC CONCEPT. Достъпно на https://www.nato.int/cps/en/natohq/official_texts.htm?keywordquery=Crisis%20management%20&amp;search=true</w:t>
      </w:r>
    </w:p>
    <w:p w14:paraId="4A180C07" w14:textId="6A0063DE" w:rsidR="00167195" w:rsidRPr="00E73B36" w:rsidRDefault="00167195">
      <w:pPr>
        <w:pStyle w:val="FootnoteText"/>
      </w:pPr>
    </w:p>
  </w:footnote>
  <w:footnote w:id="8">
    <w:p w14:paraId="1B5DE59A" w14:textId="77777777" w:rsidR="00587FFB" w:rsidRPr="00E73B36" w:rsidRDefault="00587FFB" w:rsidP="00587FFB">
      <w:pPr>
        <w:pStyle w:val="FootnoteText"/>
      </w:pPr>
      <w:r w:rsidRPr="00E73B36">
        <w:rPr>
          <w:rStyle w:val="FootnoteReference"/>
        </w:rPr>
        <w:footnoteRef/>
      </w:r>
      <w:r w:rsidRPr="00E73B36">
        <w:t xml:space="preserve"> </w:t>
      </w:r>
      <w:r w:rsidRPr="00E73B36">
        <w:rPr>
          <w:i/>
          <w:iCs/>
        </w:rPr>
        <w:t>Declaration of 9 may - Robert Schuman Foundation</w:t>
      </w:r>
      <w:r w:rsidRPr="00E73B36">
        <w:t>. (2019). Robert-Schuman.eu. https://www.robert-schuman.eu/en/declaration-of-9-may-1950</w:t>
      </w:r>
    </w:p>
  </w:footnote>
  <w:footnote w:id="9">
    <w:p w14:paraId="2F0C8F75" w14:textId="77777777" w:rsidR="00587FFB" w:rsidRPr="00E73B36" w:rsidRDefault="00587FFB" w:rsidP="00587FFB">
      <w:pPr>
        <w:pStyle w:val="FootnoteText"/>
      </w:pPr>
      <w:r w:rsidRPr="00E73B36">
        <w:rPr>
          <w:rStyle w:val="FootnoteReference"/>
        </w:rPr>
        <w:footnoteRef/>
      </w:r>
      <w:r w:rsidRPr="00E73B36">
        <w:t xml:space="preserve"> </w:t>
      </w:r>
      <w:r w:rsidRPr="00E73B36">
        <w:rPr>
          <w:i/>
          <w:iCs/>
        </w:rPr>
        <w:t>The Treaties of Rome</w:t>
      </w:r>
      <w:r w:rsidRPr="00E73B36">
        <w:t>. (1957). Department for European Affairs. https://www.affarieuropei.gov.it/en/legislation/the-treaties-of-rome/</w:t>
      </w:r>
    </w:p>
    <w:p w14:paraId="0FE836A0" w14:textId="77777777" w:rsidR="00587FFB" w:rsidRPr="00E73B36" w:rsidRDefault="00587FFB" w:rsidP="00587FFB">
      <w:pPr>
        <w:pStyle w:val="FootnoteText"/>
      </w:pPr>
    </w:p>
  </w:footnote>
  <w:footnote w:id="10">
    <w:p w14:paraId="1C286FD6" w14:textId="77777777" w:rsidR="00587FFB" w:rsidRPr="00E73B36" w:rsidRDefault="00587FFB" w:rsidP="00587FFB">
      <w:pPr>
        <w:pStyle w:val="FootnoteText"/>
      </w:pPr>
      <w:r w:rsidRPr="00E73B36">
        <w:rPr>
          <w:rStyle w:val="FootnoteReference"/>
        </w:rPr>
        <w:footnoteRef/>
      </w:r>
      <w:r w:rsidRPr="00E73B36">
        <w:t xml:space="preserve"> European Parliament. (1992). </w:t>
      </w:r>
      <w:r w:rsidRPr="00E73B36">
        <w:rPr>
          <w:i/>
          <w:iCs/>
        </w:rPr>
        <w:t>Maastricht Treaty</w:t>
      </w:r>
      <w:r w:rsidRPr="00E73B36">
        <w:t>. Maastricht Treaty. https://www.europarl.europa.eu/about-parliament/en/in-the-past/the-parliament-and-the-treaties/maastricht-treaty</w:t>
      </w:r>
    </w:p>
  </w:footnote>
  <w:footnote w:id="11">
    <w:p w14:paraId="56571E83" w14:textId="77777777" w:rsidR="00587FFB" w:rsidRPr="00E73B36" w:rsidRDefault="00587FFB" w:rsidP="00587FFB">
      <w:pPr>
        <w:pStyle w:val="FootnoteText"/>
      </w:pPr>
      <w:r w:rsidRPr="00E73B36">
        <w:rPr>
          <w:rStyle w:val="FootnoteReference"/>
        </w:rPr>
        <w:footnoteRef/>
      </w:r>
      <w:r w:rsidRPr="00E73B36">
        <w:t xml:space="preserve"> European Commission. (2023). </w:t>
      </w:r>
      <w:r w:rsidRPr="00E73B36">
        <w:rPr>
          <w:i/>
          <w:iCs/>
        </w:rPr>
        <w:t>From 6 to 27 members</w:t>
      </w:r>
      <w:r w:rsidRPr="00E73B36">
        <w:t>. Neighbourhood-Enlargement.ec.europa.eu. https://neighbourhood-enlargement.ec.europa.eu/enlargement-policy/6-27-members_en</w:t>
      </w:r>
    </w:p>
    <w:p w14:paraId="673A6326" w14:textId="77777777" w:rsidR="00587FFB" w:rsidRPr="00E73B36" w:rsidRDefault="00587FFB" w:rsidP="00587FFB">
      <w:pPr>
        <w:pStyle w:val="FootnoteText"/>
      </w:pPr>
    </w:p>
  </w:footnote>
  <w:footnote w:id="12">
    <w:p w14:paraId="1D6A7586" w14:textId="77777777" w:rsidR="00587FFB" w:rsidRPr="00E73B36" w:rsidRDefault="00587FFB" w:rsidP="00587FFB">
      <w:pPr>
        <w:pStyle w:val="FootnoteText"/>
      </w:pPr>
      <w:r w:rsidRPr="00E73B36">
        <w:rPr>
          <w:rStyle w:val="FootnoteReference"/>
        </w:rPr>
        <w:footnoteRef/>
      </w:r>
      <w:r w:rsidRPr="00E73B36">
        <w:t xml:space="preserve"> Treaty of Lisbon. (2009). </w:t>
      </w:r>
      <w:r w:rsidRPr="00E73B36">
        <w:rPr>
          <w:i/>
          <w:iCs/>
        </w:rPr>
        <w:t>Treaty of Lisbon</w:t>
      </w:r>
      <w:r w:rsidRPr="00E73B36">
        <w:t>. Treaty of Lisbon. https://www.europarl.europa.eu/about-parliament/en/in-the-past/the-parliament-and-the-treaties/treaty-of-lisbon</w:t>
      </w:r>
    </w:p>
    <w:p w14:paraId="182B6734" w14:textId="77777777" w:rsidR="00587FFB" w:rsidRPr="00E73B36" w:rsidRDefault="00587FFB" w:rsidP="00587FFB">
      <w:pPr>
        <w:pStyle w:val="FootnoteText"/>
      </w:pPr>
    </w:p>
  </w:footnote>
  <w:footnote w:id="13">
    <w:p w14:paraId="7F5C222A" w14:textId="77777777" w:rsidR="00587FFB" w:rsidRPr="00E73B36" w:rsidRDefault="00587FFB" w:rsidP="00587FFB">
      <w:pPr>
        <w:pStyle w:val="FootnoteText"/>
      </w:pPr>
      <w:r w:rsidRPr="00E73B36">
        <w:rPr>
          <w:rStyle w:val="FootnoteReference"/>
        </w:rPr>
        <w:footnoteRef/>
      </w:r>
      <w:r w:rsidRPr="00E73B36">
        <w:t xml:space="preserve"> European Union. (2023). </w:t>
      </w:r>
      <w:r w:rsidRPr="00E73B36">
        <w:rPr>
          <w:i/>
          <w:iCs/>
        </w:rPr>
        <w:t>EU enlargement - European Union</w:t>
      </w:r>
      <w:r w:rsidRPr="00E73B36">
        <w:t>. European-Union.europa.eu. https://european-union.europa.eu/principles-countries-history/eu-enlargement_en</w:t>
      </w:r>
    </w:p>
    <w:p w14:paraId="0C97AE01" w14:textId="77777777" w:rsidR="00587FFB" w:rsidRPr="00E73B36" w:rsidRDefault="00587FFB" w:rsidP="00587FFB">
      <w:pPr>
        <w:pStyle w:val="FootnoteText"/>
      </w:pPr>
    </w:p>
  </w:footnote>
  <w:footnote w:id="14">
    <w:p w14:paraId="31FB22DF" w14:textId="77777777" w:rsidR="00587FFB" w:rsidRPr="00E73B36" w:rsidRDefault="00587FFB" w:rsidP="00587FFB">
      <w:pPr>
        <w:pStyle w:val="FootnoteText"/>
      </w:pPr>
      <w:r w:rsidRPr="00E73B36">
        <w:rPr>
          <w:rStyle w:val="FootnoteReference"/>
        </w:rPr>
        <w:footnoteRef/>
      </w:r>
      <w:r w:rsidRPr="00E73B36">
        <w:t xml:space="preserve"> </w:t>
      </w:r>
      <w:r w:rsidRPr="00E73B36">
        <w:rPr>
          <w:i/>
          <w:iCs/>
        </w:rPr>
        <w:t>The future evolution of civil society in the European Union by 2030 STUDY</w:t>
      </w:r>
      <w:r w:rsidRPr="00E73B36">
        <w:t>. (2022). https://www.eesc.europa.eu/sites/default/files/files/the_future_evolution_of_civil_society_in_the_eu_by_2030.pdf</w:t>
      </w:r>
    </w:p>
  </w:footnote>
  <w:footnote w:id="15">
    <w:p w14:paraId="0A759BEF" w14:textId="77777777" w:rsidR="00587FFB" w:rsidRPr="00E73B36" w:rsidRDefault="00587FFB" w:rsidP="00587FFB">
      <w:pPr>
        <w:pStyle w:val="FootnoteText"/>
      </w:pPr>
      <w:r w:rsidRPr="00E73B36">
        <w:rPr>
          <w:rStyle w:val="FootnoteReference"/>
        </w:rPr>
        <w:footnoteRef/>
      </w:r>
      <w:r w:rsidRPr="00E73B36">
        <w:t xml:space="preserve"> Wagner, M. (2015, December 21). </w:t>
      </w:r>
      <w:r w:rsidRPr="00E73B36">
        <w:rPr>
          <w:i/>
          <w:iCs/>
        </w:rPr>
        <w:t>2015 in review: how Europe reacted to the refugee crisis - ICMPD</w:t>
      </w:r>
      <w:r w:rsidRPr="00E73B36">
        <w:t>. Www.icmpd.org. https://www.icmpd.org/blog/2015/2015-in-review-how-europe-reacted-to-the-refugee-crisis</w:t>
      </w:r>
    </w:p>
  </w:footnote>
  <w:footnote w:id="16">
    <w:p w14:paraId="5CEBC7E9" w14:textId="77777777" w:rsidR="00587FFB" w:rsidRPr="00E73B36" w:rsidRDefault="00587FFB" w:rsidP="00587FFB">
      <w:pPr>
        <w:pStyle w:val="FootnoteText"/>
      </w:pPr>
      <w:r w:rsidRPr="00E73B36">
        <w:rPr>
          <w:rStyle w:val="FootnoteReference"/>
        </w:rPr>
        <w:footnoteRef/>
      </w:r>
      <w:r w:rsidRPr="00E73B36">
        <w:t xml:space="preserve"> European Commission. (2020). </w:t>
      </w:r>
      <w:r w:rsidRPr="00E73B36">
        <w:rPr>
          <w:i/>
          <w:iCs/>
        </w:rPr>
        <w:t>Brexit</w:t>
      </w:r>
      <w:r w:rsidRPr="00E73B36">
        <w:t>. Commission.europa.eu. https://commission.europa.eu/law/law-topic/data-protection/international-dimension-data-protection/brexit_en</w:t>
      </w:r>
    </w:p>
    <w:p w14:paraId="5C61164D" w14:textId="77777777" w:rsidR="00587FFB" w:rsidRPr="00E73B36" w:rsidRDefault="00587FFB" w:rsidP="00587FFB">
      <w:pPr>
        <w:pStyle w:val="FootnoteText"/>
      </w:pPr>
    </w:p>
  </w:footnote>
  <w:footnote w:id="17">
    <w:p w14:paraId="7A943912" w14:textId="77777777" w:rsidR="008D7ADB" w:rsidRPr="00E73B36" w:rsidRDefault="008D7ADB" w:rsidP="008D7ADB">
      <w:pPr>
        <w:pStyle w:val="FootnoteText"/>
      </w:pPr>
      <w:r w:rsidRPr="00E73B36">
        <w:rPr>
          <w:rStyle w:val="FootnoteReference"/>
        </w:rPr>
        <w:footnoteRef/>
      </w:r>
      <w:r w:rsidRPr="00E73B36">
        <w:t xml:space="preserve"> European Union. (2021). </w:t>
      </w:r>
      <w:r w:rsidRPr="00E73B36">
        <w:rPr>
          <w:i/>
          <w:iCs/>
        </w:rPr>
        <w:t>NextGenerationEU</w:t>
      </w:r>
      <w:r w:rsidRPr="00E73B36">
        <w:t>. Next-Generation-Eu.europa.eu. https://next-generation-eu.europa.eu/index_en</w:t>
      </w:r>
    </w:p>
  </w:footnote>
  <w:footnote w:id="18">
    <w:p w14:paraId="235E62B9" w14:textId="77777777" w:rsidR="008D7ADB" w:rsidRPr="00E73B36" w:rsidRDefault="008D7ADB" w:rsidP="008D7ADB">
      <w:pPr>
        <w:pStyle w:val="FootnoteText"/>
      </w:pPr>
      <w:r w:rsidRPr="00E73B36">
        <w:rPr>
          <w:rStyle w:val="FootnoteReference"/>
        </w:rPr>
        <w:footnoteRef/>
      </w:r>
      <w:r w:rsidRPr="00E73B36">
        <w:t xml:space="preserve"> Miranda, N. (2024, January 17). </w:t>
      </w:r>
      <w:r w:rsidRPr="00E73B36">
        <w:rPr>
          <w:i/>
          <w:iCs/>
        </w:rPr>
        <w:t>EU trade sanctions in response to situation in Ukraine</w:t>
      </w:r>
      <w:r w:rsidRPr="00E73B36">
        <w:t>. Enterprise.gov.ie. https://enterprise.gov.ie/en/Publications/EU-Trade-Sanctions-in-Response-to-Situation-in-Ukraine-.html</w:t>
      </w:r>
    </w:p>
  </w:footnote>
  <w:footnote w:id="19">
    <w:p w14:paraId="0DDF9062" w14:textId="4966BF67" w:rsidR="008D7ADB" w:rsidRPr="00E73B36" w:rsidRDefault="008D7ADB" w:rsidP="008D7ADB">
      <w:pPr>
        <w:pStyle w:val="FootnoteText"/>
      </w:pPr>
      <w:r w:rsidRPr="00E73B36">
        <w:rPr>
          <w:rStyle w:val="FootnoteReference"/>
        </w:rPr>
        <w:footnoteRef/>
      </w:r>
      <w:r w:rsidRPr="00E73B36">
        <w:t xml:space="preserve"> European Commission. (2019). </w:t>
      </w:r>
      <w:r w:rsidRPr="00E73B36">
        <w:rPr>
          <w:i/>
          <w:iCs/>
        </w:rPr>
        <w:t>The European Green Deal</w:t>
      </w:r>
      <w:r w:rsidRPr="00E73B36">
        <w:t>. European Commission. https://commission.europa.eu/strategy-and-policy/priorities-2019-2024/european-green-deal_en</w:t>
      </w:r>
    </w:p>
  </w:footnote>
  <w:footnote w:id="20">
    <w:p w14:paraId="046711A5" w14:textId="51804A18" w:rsidR="008D7ADB" w:rsidRPr="00E73B36" w:rsidRDefault="008D7ADB">
      <w:pPr>
        <w:pStyle w:val="FootnoteText"/>
      </w:pPr>
      <w:r w:rsidRPr="00E73B36">
        <w:rPr>
          <w:rStyle w:val="FootnoteReference"/>
        </w:rPr>
        <w:footnoteRef/>
      </w:r>
      <w:r w:rsidRPr="00E73B36">
        <w:t xml:space="preserve"> Bassot, É. (2025). Ten issues to watch in 2025. [online] doi:https://doi.org/10.2861/4530400.</w:t>
      </w:r>
    </w:p>
  </w:footnote>
  <w:footnote w:id="21">
    <w:p w14:paraId="35C52C3B" w14:textId="4CE6C92B" w:rsidR="008D7ADB" w:rsidRPr="00E73B36" w:rsidRDefault="008D7ADB">
      <w:pPr>
        <w:pStyle w:val="FootnoteText"/>
      </w:pPr>
      <w:r w:rsidRPr="00E73B36">
        <w:rPr>
          <w:rStyle w:val="FootnoteReference"/>
        </w:rPr>
        <w:footnoteRef/>
      </w:r>
      <w:r w:rsidRPr="00E73B36">
        <w:t xml:space="preserve"> Käppeli, A., Gavas, M. and Granito, L. (2025). </w:t>
      </w:r>
      <w:r w:rsidRPr="00E73B36">
        <w:rPr>
          <w:i/>
          <w:iCs/>
        </w:rPr>
        <w:t>The EU in 2025: Balancing Global Ambitions and Domestic Pressures</w:t>
      </w:r>
      <w:r w:rsidRPr="00E73B36">
        <w:t>. [online] Center For Global Development. Available at: https://www.cgdev.org/blog/eu-2025-balancing-global-ambitions-and-domestic-pressures</w:t>
      </w:r>
    </w:p>
  </w:footnote>
  <w:footnote w:id="22">
    <w:p w14:paraId="75B20532" w14:textId="676B846A" w:rsidR="00FE0234" w:rsidRPr="00E73B36" w:rsidRDefault="00FE0234">
      <w:pPr>
        <w:pStyle w:val="FootnoteText"/>
      </w:pPr>
      <w:r w:rsidRPr="00E73B36">
        <w:rPr>
          <w:rStyle w:val="FootnoteReference"/>
        </w:rPr>
        <w:footnoteRef/>
      </w:r>
      <w:r w:rsidRPr="00E73B36">
        <w:t xml:space="preserve"> Пак там</w:t>
      </w:r>
    </w:p>
  </w:footnote>
  <w:footnote w:id="23">
    <w:p w14:paraId="37800BAE" w14:textId="41A763C5" w:rsidR="008D7ADB" w:rsidRPr="00E73B36" w:rsidRDefault="008D7ADB">
      <w:pPr>
        <w:pStyle w:val="FootnoteText"/>
      </w:pPr>
      <w:r w:rsidRPr="00E73B36">
        <w:rPr>
          <w:rStyle w:val="FootnoteReference"/>
        </w:rPr>
        <w:footnoteRef/>
      </w:r>
      <w:r w:rsidRPr="00E73B36">
        <w:t xml:space="preserve"> Zettelmeyer, J. (2025). </w:t>
      </w:r>
      <w:r w:rsidRPr="00E73B36">
        <w:rPr>
          <w:i/>
          <w:iCs/>
        </w:rPr>
        <w:t>Is Europe ready for the challenges of 2025 and beyond?</w:t>
      </w:r>
      <w:r w:rsidRPr="00E73B36">
        <w:t xml:space="preserve"> [online] Bruegel | The Brussels-based economic think tank. Available at: https://www.bruegel.org/newsletter/europe-ready-challenges-2025-and-beyond</w:t>
      </w:r>
    </w:p>
  </w:footnote>
  <w:footnote w:id="24">
    <w:p w14:paraId="49C94B62" w14:textId="47F9512F" w:rsidR="008D7ADB" w:rsidRPr="00E73B36" w:rsidRDefault="008D7ADB">
      <w:pPr>
        <w:pStyle w:val="FootnoteText"/>
      </w:pPr>
      <w:r w:rsidRPr="00E73B36">
        <w:rPr>
          <w:rStyle w:val="FootnoteReference"/>
        </w:rPr>
        <w:footnoteRef/>
      </w:r>
      <w:r w:rsidRPr="00E73B36">
        <w:t xml:space="preserve"> Bassot, É. (2025). Ten issues to watch in 2025. [online] doi:https://doi.org/10.2861/4530400.</w:t>
      </w:r>
    </w:p>
  </w:footnote>
  <w:footnote w:id="25">
    <w:p w14:paraId="6E6BAAEF" w14:textId="17CE9E9C" w:rsidR="008D7ADB" w:rsidRPr="00E73B36" w:rsidRDefault="008D7ADB">
      <w:pPr>
        <w:pStyle w:val="FootnoteText"/>
      </w:pPr>
      <w:r w:rsidRPr="00E73B36">
        <w:rPr>
          <w:rStyle w:val="FootnoteReference"/>
        </w:rPr>
        <w:footnoteRef/>
      </w:r>
      <w:r w:rsidRPr="00E73B36">
        <w:t xml:space="preserve"> Zettelmeyer, J. (2025). </w:t>
      </w:r>
      <w:r w:rsidRPr="00E73B36">
        <w:rPr>
          <w:i/>
          <w:iCs/>
        </w:rPr>
        <w:t>Is Europe ready for the challenges of 2025 and beyond?</w:t>
      </w:r>
      <w:r w:rsidRPr="00E73B36">
        <w:t xml:space="preserve"> [online] Bruegel | The Brussels-based economic think tank. Available at: https://www.bruegel.org/newsletter/europe-ready-challenges-2025-and-beyond </w:t>
      </w:r>
    </w:p>
  </w:footnote>
  <w:footnote w:id="26">
    <w:p w14:paraId="6F1EB6F5" w14:textId="31F54115" w:rsidR="008D7ADB" w:rsidRPr="00E73B36" w:rsidRDefault="008D7ADB">
      <w:pPr>
        <w:pStyle w:val="FootnoteText"/>
      </w:pPr>
      <w:r w:rsidRPr="00E73B36">
        <w:rPr>
          <w:rStyle w:val="FootnoteReference"/>
        </w:rPr>
        <w:footnoteRef/>
      </w:r>
      <w:r w:rsidRPr="00E73B36">
        <w:t xml:space="preserve"> Пак там</w:t>
      </w:r>
    </w:p>
  </w:footnote>
  <w:footnote w:id="27">
    <w:p w14:paraId="3ED5BFF4" w14:textId="77777777" w:rsidR="00840CFA" w:rsidRPr="00E73B36" w:rsidRDefault="00840CFA" w:rsidP="00840CFA">
      <w:pPr>
        <w:pStyle w:val="FootnoteText"/>
      </w:pPr>
      <w:r w:rsidRPr="00E73B36">
        <w:rPr>
          <w:rStyle w:val="FootnoteReference"/>
        </w:rPr>
        <w:footnoteRef/>
      </w:r>
      <w:r w:rsidRPr="00E73B36">
        <w:t xml:space="preserve"> NATO. (2024a). </w:t>
      </w:r>
      <w:r w:rsidRPr="00E73B36">
        <w:rPr>
          <w:i/>
          <w:iCs/>
        </w:rPr>
        <w:t>North Atlantic Council (NAC)</w:t>
      </w:r>
      <w:r w:rsidRPr="00E73B36">
        <w:t>. NATO. https://www.nato.int/cps/cn/natohq/topics_49763.htm</w:t>
      </w:r>
    </w:p>
    <w:p w14:paraId="20DD97F2" w14:textId="2931B7E7" w:rsidR="00840CFA" w:rsidRPr="00E73B36" w:rsidRDefault="00840CFA">
      <w:pPr>
        <w:pStyle w:val="FootnoteText"/>
      </w:pPr>
    </w:p>
  </w:footnote>
  <w:footnote w:id="28">
    <w:p w14:paraId="745F5CE7" w14:textId="77777777" w:rsidR="00840CFA" w:rsidRPr="00E73B36" w:rsidRDefault="00840CFA" w:rsidP="00840CFA">
      <w:pPr>
        <w:pStyle w:val="FootnoteText"/>
      </w:pPr>
      <w:r w:rsidRPr="00E73B36">
        <w:rPr>
          <w:rStyle w:val="FootnoteReference"/>
        </w:rPr>
        <w:footnoteRef/>
      </w:r>
      <w:r w:rsidRPr="00E73B36">
        <w:t xml:space="preserve"> NATO. (2025). </w:t>
      </w:r>
      <w:r w:rsidRPr="00E73B36">
        <w:rPr>
          <w:i/>
          <w:iCs/>
        </w:rPr>
        <w:t>Military Committee</w:t>
      </w:r>
      <w:r w:rsidRPr="00E73B36">
        <w:t>. NATO. https://www.nato.int/cps/uk/natohq/topics_49633.htm?selectedLocale=en</w:t>
      </w:r>
    </w:p>
    <w:p w14:paraId="31581CA0" w14:textId="097BF43F" w:rsidR="00840CFA" w:rsidRPr="00E73B36" w:rsidRDefault="00840CFA">
      <w:pPr>
        <w:pStyle w:val="FootnoteText"/>
      </w:pPr>
    </w:p>
  </w:footnote>
  <w:footnote w:id="29">
    <w:p w14:paraId="6DBEB05D" w14:textId="77777777" w:rsidR="00840CFA" w:rsidRPr="00E73B36" w:rsidRDefault="00840CFA" w:rsidP="00840CFA">
      <w:pPr>
        <w:pStyle w:val="FootnoteText"/>
      </w:pPr>
      <w:r w:rsidRPr="00E73B36">
        <w:rPr>
          <w:rStyle w:val="FootnoteReference"/>
        </w:rPr>
        <w:footnoteRef/>
      </w:r>
      <w:r w:rsidRPr="00E73B36">
        <w:t xml:space="preserve"> </w:t>
      </w:r>
      <w:r w:rsidRPr="00E73B36">
        <w:rPr>
          <w:i/>
          <w:iCs/>
        </w:rPr>
        <w:t>NCI Agency | Home</w:t>
      </w:r>
      <w:r w:rsidRPr="00E73B36">
        <w:t>. (2025). Www.ncia.nato.int. https://www.ncia.nato.int/</w:t>
      </w:r>
    </w:p>
    <w:p w14:paraId="5934A42A" w14:textId="4780BEA5" w:rsidR="00840CFA" w:rsidRPr="00E73B36" w:rsidRDefault="00840CFA">
      <w:pPr>
        <w:pStyle w:val="FootnoteText"/>
      </w:pPr>
    </w:p>
  </w:footnote>
  <w:footnote w:id="30">
    <w:p w14:paraId="7F57D9E3" w14:textId="5E5D2D0A" w:rsidR="00840CFA" w:rsidRPr="00E73B36" w:rsidRDefault="00840CFA">
      <w:pPr>
        <w:pStyle w:val="FootnoteText"/>
      </w:pPr>
      <w:r w:rsidRPr="00E73B36">
        <w:rPr>
          <w:rStyle w:val="FootnoteReference"/>
        </w:rPr>
        <w:footnoteRef/>
      </w:r>
      <w:r w:rsidRPr="00E73B36">
        <w:t xml:space="preserve"> CCDCOE. (2019). </w:t>
      </w:r>
      <w:r w:rsidRPr="00E73B36">
        <w:rPr>
          <w:i/>
          <w:iCs/>
        </w:rPr>
        <w:t>CCDCOE - The NATO Cooperative Cyber Defence Centre of Excellence is a multinational and interdisciplinary hub of cyber defence expertise.</w:t>
      </w:r>
      <w:r w:rsidRPr="00E73B36">
        <w:t xml:space="preserve"> Ccdcoe.org. https://ccdcoe.org/</w:t>
      </w:r>
    </w:p>
  </w:footnote>
  <w:footnote w:id="31">
    <w:p w14:paraId="2621BC03" w14:textId="61FD60DC" w:rsidR="00840CFA" w:rsidRPr="00E73B36" w:rsidRDefault="00840CFA">
      <w:pPr>
        <w:pStyle w:val="FootnoteText"/>
      </w:pPr>
      <w:r w:rsidRPr="00E73B36">
        <w:rPr>
          <w:rStyle w:val="FootnoteReference"/>
        </w:rPr>
        <w:footnoteRef/>
      </w:r>
      <w:r w:rsidRPr="00E73B36">
        <w:t xml:space="preserve"> </w:t>
      </w:r>
      <w:r w:rsidRPr="00E73B36">
        <w:rPr>
          <w:i/>
          <w:iCs/>
        </w:rPr>
        <w:t>Cyber Coalition - NATO’s ACT</w:t>
      </w:r>
      <w:r w:rsidRPr="00E73B36">
        <w:t>. (2024, March 10). NATO’s ACT. https://www.act.nato.int/activities/cyber-coalition/</w:t>
      </w:r>
    </w:p>
  </w:footnote>
  <w:footnote w:id="32">
    <w:p w14:paraId="70A77EAD" w14:textId="77777777" w:rsidR="00840CFA" w:rsidRPr="00E73B36" w:rsidRDefault="00840CFA" w:rsidP="00840CFA">
      <w:pPr>
        <w:pStyle w:val="FootnoteText"/>
      </w:pPr>
      <w:r w:rsidRPr="00E73B36">
        <w:rPr>
          <w:rStyle w:val="FootnoteReference"/>
        </w:rPr>
        <w:footnoteRef/>
      </w:r>
      <w:r w:rsidRPr="00E73B36">
        <w:t xml:space="preserve"> European Union. (n.d.). </w:t>
      </w:r>
      <w:r w:rsidRPr="00E73B36">
        <w:rPr>
          <w:i/>
          <w:iCs/>
        </w:rPr>
        <w:t>European Council – role and powers | European Union</w:t>
      </w:r>
      <w:r w:rsidRPr="00E73B36">
        <w:t>. European-Union.europa.eu. https://european-union.europa.eu/institutions-law-budget/institutions-and-bodies/search-all-eu-institutions-and-bodies/european-council_en</w:t>
      </w:r>
    </w:p>
    <w:p w14:paraId="327480C7" w14:textId="64B39D65" w:rsidR="00840CFA" w:rsidRDefault="00840CFA">
      <w:pPr>
        <w:pStyle w:val="FootnoteText"/>
      </w:pPr>
    </w:p>
  </w:footnote>
  <w:footnote w:id="33">
    <w:p w14:paraId="4944BBFE" w14:textId="610FA5C5" w:rsidR="00926278" w:rsidRPr="00926278" w:rsidRDefault="00926278">
      <w:pPr>
        <w:pStyle w:val="FootnoteText"/>
        <w:rPr>
          <w:lang w:val="en-GB"/>
        </w:rPr>
      </w:pPr>
      <w:r>
        <w:rPr>
          <w:rStyle w:val="FootnoteReference"/>
        </w:rPr>
        <w:footnoteRef/>
      </w:r>
      <w:r>
        <w:t xml:space="preserve"> </w:t>
      </w:r>
      <w:r w:rsidRPr="00926278">
        <w:t>European Parliament. (2002). Berlin Plus agreement. https://www.europarl.europa.eu/meetdocs/2004_2009/documents/dv/berlinplus_/berlinplus_en.pdf</w:t>
      </w:r>
    </w:p>
  </w:footnote>
  <w:footnote w:id="34">
    <w:p w14:paraId="14745B09" w14:textId="11963A1D" w:rsidR="00C16B86" w:rsidRPr="00C16B86" w:rsidRDefault="00C16B86">
      <w:pPr>
        <w:pStyle w:val="FootnoteText"/>
        <w:rPr>
          <w:lang w:val="en-GB"/>
        </w:rPr>
      </w:pPr>
      <w:r>
        <w:rPr>
          <w:rStyle w:val="FootnoteReference"/>
        </w:rPr>
        <w:footnoteRef/>
      </w:r>
      <w:r>
        <w:t xml:space="preserve"> </w:t>
      </w:r>
      <w:r w:rsidRPr="00C16B86">
        <w:rPr>
          <w:lang w:val="en-GB"/>
        </w:rPr>
        <w:t xml:space="preserve">Mace, C. (2004). </w:t>
      </w:r>
      <w:proofErr w:type="spellStart"/>
      <w:r w:rsidRPr="00C16B86">
        <w:rPr>
          <w:lang w:val="en-GB"/>
        </w:rPr>
        <w:t>OperationConcordia</w:t>
      </w:r>
      <w:proofErr w:type="spellEnd"/>
      <w:r w:rsidRPr="00C16B86">
        <w:rPr>
          <w:lang w:val="en-GB"/>
        </w:rPr>
        <w:t xml:space="preserve">: developing a “European” approach to crisis </w:t>
      </w:r>
      <w:proofErr w:type="gramStart"/>
      <w:r w:rsidRPr="00C16B86">
        <w:rPr>
          <w:lang w:val="en-GB"/>
        </w:rPr>
        <w:t>management?.</w:t>
      </w:r>
      <w:proofErr w:type="gramEnd"/>
      <w:r w:rsidRPr="00C16B86">
        <w:rPr>
          <w:lang w:val="en-GB"/>
        </w:rPr>
        <w:t xml:space="preserve"> </w:t>
      </w:r>
      <w:r w:rsidRPr="00C16B86">
        <w:rPr>
          <w:i/>
          <w:iCs/>
          <w:lang w:val="en-GB"/>
        </w:rPr>
        <w:t>International Peacekeeping</w:t>
      </w:r>
      <w:r w:rsidRPr="00C16B86">
        <w:rPr>
          <w:lang w:val="en-GB"/>
        </w:rPr>
        <w:t xml:space="preserve">, </w:t>
      </w:r>
      <w:r w:rsidRPr="00C16B86">
        <w:rPr>
          <w:i/>
          <w:iCs/>
          <w:lang w:val="en-GB"/>
        </w:rPr>
        <w:t>11</w:t>
      </w:r>
      <w:r w:rsidRPr="00C16B86">
        <w:rPr>
          <w:lang w:val="en-GB"/>
        </w:rPr>
        <w:t>(3), 474–490. https://doi.org/10.1080/1353331042000249055</w:t>
      </w:r>
    </w:p>
  </w:footnote>
  <w:footnote w:id="35">
    <w:p w14:paraId="049DA9BB" w14:textId="77777777" w:rsidR="00C16B86" w:rsidRPr="00C16B86" w:rsidRDefault="00C16B86" w:rsidP="00C16B86">
      <w:pPr>
        <w:pStyle w:val="FootnoteText"/>
        <w:rPr>
          <w:lang w:val="en-GB"/>
        </w:rPr>
      </w:pPr>
      <w:r>
        <w:rPr>
          <w:rStyle w:val="FootnoteReference"/>
        </w:rPr>
        <w:footnoteRef/>
      </w:r>
      <w:r>
        <w:t xml:space="preserve"> </w:t>
      </w:r>
      <w:r w:rsidRPr="00C16B86">
        <w:rPr>
          <w:lang w:val="en-GB"/>
        </w:rPr>
        <w:t xml:space="preserve">Knauer, J. (2011). </w:t>
      </w:r>
      <w:r w:rsidRPr="00C16B86">
        <w:rPr>
          <w:i/>
          <w:iCs/>
          <w:lang w:val="en-GB"/>
        </w:rPr>
        <w:t>DEPARTMENT OF EU INTERNATIONAL RELATIONS AND DIPLOMACY STUDIES EUFOR Althea: Appraisal and Future Perspectives of the EU’s Former Flagship Operation in Bosnia and Herzegovina</w:t>
      </w:r>
      <w:r w:rsidRPr="00C16B86">
        <w:rPr>
          <w:lang w:val="en-GB"/>
        </w:rPr>
        <w:t>. https://www.coleurope.eu/sites/default/files/research-paper/edp_7_2011_knauer_0.pdf</w:t>
      </w:r>
    </w:p>
    <w:p w14:paraId="2C411586" w14:textId="2F851652" w:rsidR="00C16B86" w:rsidRPr="00C16B86" w:rsidRDefault="00C16B86">
      <w:pPr>
        <w:pStyle w:val="FootnoteText"/>
        <w:rPr>
          <w:lang w:val="en-GB"/>
        </w:rPr>
      </w:pPr>
    </w:p>
  </w:footnote>
  <w:footnote w:id="36">
    <w:p w14:paraId="0BF2D287" w14:textId="77777777" w:rsidR="00C16B86" w:rsidRPr="00C16B86" w:rsidRDefault="00C16B86" w:rsidP="00C16B86">
      <w:pPr>
        <w:pStyle w:val="FootnoteText"/>
        <w:rPr>
          <w:lang w:val="en-GB"/>
        </w:rPr>
      </w:pPr>
      <w:r>
        <w:rPr>
          <w:rStyle w:val="FootnoteReference"/>
        </w:rPr>
        <w:footnoteRef/>
      </w:r>
      <w:r>
        <w:t xml:space="preserve"> </w:t>
      </w:r>
      <w:r w:rsidRPr="00C16B86">
        <w:rPr>
          <w:lang w:val="en-GB"/>
        </w:rPr>
        <w:t xml:space="preserve">Lazarou, E., &amp; Littlehale, M. (2016). </w:t>
      </w:r>
      <w:r w:rsidRPr="00C16B86">
        <w:rPr>
          <w:i/>
          <w:iCs/>
          <w:lang w:val="en-GB"/>
        </w:rPr>
        <w:t>Briefing EU-NATO cooperation and European defence after the Warsaw Summit</w:t>
      </w:r>
      <w:r w:rsidRPr="00C16B86">
        <w:rPr>
          <w:lang w:val="en-GB"/>
        </w:rPr>
        <w:t>. https://www.europarl.europa.eu/RegData/etudes/BRIE/2016/595855/EPRS_BRI(2016)595855_EN.pdf</w:t>
      </w:r>
    </w:p>
    <w:p w14:paraId="6A2A7570" w14:textId="7D832C87" w:rsidR="00C16B86" w:rsidRPr="00C16B86" w:rsidRDefault="00C16B86">
      <w:pPr>
        <w:pStyle w:val="FootnoteText"/>
        <w:rPr>
          <w:lang w:val="en-GB"/>
        </w:rPr>
      </w:pPr>
    </w:p>
  </w:footnote>
  <w:footnote w:id="37">
    <w:p w14:paraId="6B8DDB91" w14:textId="77777777" w:rsidR="00C16B86" w:rsidRPr="00C16B86" w:rsidRDefault="00C16B86" w:rsidP="00C16B86">
      <w:pPr>
        <w:pStyle w:val="FootnoteText"/>
        <w:rPr>
          <w:lang w:val="en-GB"/>
        </w:rPr>
      </w:pPr>
      <w:r>
        <w:rPr>
          <w:rStyle w:val="FootnoteReference"/>
        </w:rPr>
        <w:footnoteRef/>
      </w:r>
      <w:r>
        <w:t xml:space="preserve"> </w:t>
      </w:r>
      <w:r w:rsidRPr="00C16B86">
        <w:rPr>
          <w:lang w:val="en-GB"/>
        </w:rPr>
        <w:t xml:space="preserve">European Parliament. (2018). </w:t>
      </w:r>
      <w:r w:rsidRPr="00C16B86">
        <w:rPr>
          <w:i/>
          <w:iCs/>
          <w:lang w:val="en-GB"/>
        </w:rPr>
        <w:t>EU and NATO cooperation to expand to new areas, including counter-terror; military mobility; women, peace and security | EEAS Website</w:t>
      </w:r>
      <w:r w:rsidRPr="00C16B86">
        <w:rPr>
          <w:lang w:val="en-GB"/>
        </w:rPr>
        <w:t>. Www.eeas.europa.eu. https://www.eeas.europa.eu/node/36854_en</w:t>
      </w:r>
    </w:p>
    <w:p w14:paraId="690B4CC0" w14:textId="3C2D4289" w:rsidR="00C16B86" w:rsidRPr="00C16B86" w:rsidRDefault="00C16B86">
      <w:pPr>
        <w:pStyle w:val="FootnoteText"/>
        <w:rPr>
          <w:lang w:val="en-GB"/>
        </w:rPr>
      </w:pPr>
    </w:p>
  </w:footnote>
  <w:footnote w:id="38">
    <w:p w14:paraId="67728100" w14:textId="77777777" w:rsidR="00C16B86" w:rsidRPr="00C16B86" w:rsidRDefault="00C16B86" w:rsidP="00C16B86">
      <w:pPr>
        <w:pStyle w:val="FootnoteText"/>
        <w:rPr>
          <w:lang w:val="en-GB"/>
        </w:rPr>
      </w:pPr>
      <w:r>
        <w:rPr>
          <w:rStyle w:val="FootnoteReference"/>
        </w:rPr>
        <w:footnoteRef/>
      </w:r>
      <w:r>
        <w:t xml:space="preserve"> </w:t>
      </w:r>
      <w:r w:rsidRPr="00C16B86">
        <w:rPr>
          <w:lang w:val="en-GB"/>
        </w:rPr>
        <w:t xml:space="preserve">FISZER, Józef M. (2023). THE GENESIS OF THE MAASTRICHT TREATY AND ITS IMPORTANCE FOR THE EUROPEAN INTEGRATION AND SECURITY. </w:t>
      </w:r>
      <w:proofErr w:type="spellStart"/>
      <w:r w:rsidRPr="00C16B86">
        <w:rPr>
          <w:i/>
          <w:iCs/>
          <w:lang w:val="en-GB"/>
        </w:rPr>
        <w:t>Politeja</w:t>
      </w:r>
      <w:proofErr w:type="spellEnd"/>
      <w:r w:rsidRPr="00C16B86">
        <w:rPr>
          <w:lang w:val="en-GB"/>
        </w:rPr>
        <w:t xml:space="preserve">, </w:t>
      </w:r>
      <w:r w:rsidRPr="00C16B86">
        <w:rPr>
          <w:i/>
          <w:iCs/>
          <w:lang w:val="en-GB"/>
        </w:rPr>
        <w:t>87</w:t>
      </w:r>
      <w:r w:rsidRPr="00C16B86">
        <w:rPr>
          <w:lang w:val="en-GB"/>
        </w:rPr>
        <w:t>, 5–24. JSTOR. https://doi.org/10.2307/27327667</w:t>
      </w:r>
    </w:p>
    <w:p w14:paraId="4754018D" w14:textId="2ECBC753" w:rsidR="00C16B86" w:rsidRPr="00C16B86" w:rsidRDefault="00C16B86">
      <w:pPr>
        <w:pStyle w:val="FootnoteText"/>
        <w:rPr>
          <w:lang w:val="en-GB"/>
        </w:rPr>
      </w:pPr>
    </w:p>
  </w:footnote>
  <w:footnote w:id="39">
    <w:p w14:paraId="3B1670E1" w14:textId="77777777" w:rsidR="00C16B86" w:rsidRPr="00C16B86" w:rsidRDefault="00C16B86" w:rsidP="00C16B86">
      <w:pPr>
        <w:pStyle w:val="FootnoteText"/>
        <w:rPr>
          <w:lang w:val="en-GB"/>
        </w:rPr>
      </w:pPr>
      <w:r>
        <w:rPr>
          <w:rStyle w:val="FootnoteReference"/>
        </w:rPr>
        <w:footnoteRef/>
      </w:r>
      <w:r>
        <w:t xml:space="preserve"> </w:t>
      </w:r>
      <w:r w:rsidRPr="00C16B86">
        <w:rPr>
          <w:lang w:val="en-GB"/>
        </w:rPr>
        <w:t xml:space="preserve">EUR-Lex. (2009). </w:t>
      </w:r>
      <w:r w:rsidRPr="00C16B86">
        <w:rPr>
          <w:i/>
          <w:iCs/>
          <w:lang w:val="en-GB"/>
        </w:rPr>
        <w:t xml:space="preserve">EUR-Lex - </w:t>
      </w:r>
      <w:proofErr w:type="spellStart"/>
      <w:r w:rsidRPr="00C16B86">
        <w:rPr>
          <w:i/>
          <w:iCs/>
          <w:lang w:val="en-GB"/>
        </w:rPr>
        <w:t>mutual_defence</w:t>
      </w:r>
      <w:proofErr w:type="spellEnd"/>
      <w:r w:rsidRPr="00C16B86">
        <w:rPr>
          <w:i/>
          <w:iCs/>
          <w:lang w:val="en-GB"/>
        </w:rPr>
        <w:t xml:space="preserve"> - EN - EUR-Lex</w:t>
      </w:r>
      <w:r w:rsidRPr="00C16B86">
        <w:rPr>
          <w:lang w:val="en-GB"/>
        </w:rPr>
        <w:t>. Eur-Lex.europa.eu. https://eur-lex.europa.eu/EN/legal-content/glossary/mutual-defence-clause.html</w:t>
      </w:r>
    </w:p>
    <w:p w14:paraId="294F0305" w14:textId="66F52DB8" w:rsidR="00C16B86" w:rsidRPr="00C16B86" w:rsidRDefault="00C16B86">
      <w:pPr>
        <w:pStyle w:val="FootnoteText"/>
        <w:rPr>
          <w:lang w:val="en-GB"/>
        </w:rPr>
      </w:pPr>
    </w:p>
  </w:footnote>
  <w:footnote w:id="40">
    <w:p w14:paraId="4039D9A8" w14:textId="468A9250" w:rsidR="003E0324" w:rsidRPr="003E0324" w:rsidRDefault="003E0324">
      <w:pPr>
        <w:pStyle w:val="FootnoteText"/>
        <w:rPr>
          <w:lang w:val="en-GB"/>
        </w:rPr>
      </w:pPr>
      <w:r>
        <w:rPr>
          <w:rStyle w:val="FootnoteReference"/>
        </w:rPr>
        <w:footnoteRef/>
      </w:r>
      <w:r>
        <w:t xml:space="preserve"> </w:t>
      </w:r>
      <w:r w:rsidRPr="003E0324">
        <w:t>Bruce Jones, Jeffrey Feltman, and Will Moreland, “Competitive Multilateralism: Adapting Institutions to Meet the New Geopolitical Environment,” The Brookings Institution, September 2019, https://www.brookings.edu/wp-content/uploads/2019/ 09/FP_20190918_competitive_multilateralism_FINAL.pdf.</w:t>
      </w:r>
    </w:p>
  </w:footnote>
  <w:footnote w:id="41">
    <w:p w14:paraId="52EBE9A8" w14:textId="7A365F3C" w:rsidR="003E0324" w:rsidRPr="003E0324" w:rsidRDefault="003E0324">
      <w:pPr>
        <w:pStyle w:val="FootnoteText"/>
      </w:pPr>
      <w:r>
        <w:rPr>
          <w:rStyle w:val="FootnoteReference"/>
        </w:rPr>
        <w:footnoteRef/>
      </w:r>
      <w:r>
        <w:t xml:space="preserve"> Пак там</w:t>
      </w:r>
    </w:p>
  </w:footnote>
  <w:footnote w:id="42">
    <w:p w14:paraId="5D56DDE9" w14:textId="4FA0F399" w:rsidR="003E0324" w:rsidRPr="003E0324" w:rsidRDefault="003E0324">
      <w:pPr>
        <w:pStyle w:val="FootnoteText"/>
        <w:rPr>
          <w:lang w:val="en-GB"/>
        </w:rPr>
      </w:pPr>
      <w:r>
        <w:rPr>
          <w:rStyle w:val="FootnoteReference"/>
        </w:rPr>
        <w:footnoteRef/>
      </w:r>
      <w:r>
        <w:t xml:space="preserve"> Пак там</w:t>
      </w:r>
    </w:p>
  </w:footnote>
  <w:footnote w:id="43">
    <w:p w14:paraId="6C7D6198" w14:textId="171C0086" w:rsidR="003E0324" w:rsidRDefault="003E0324">
      <w:pPr>
        <w:pStyle w:val="FootnoteText"/>
      </w:pPr>
      <w:r>
        <w:rPr>
          <w:rStyle w:val="FootnoteReference"/>
        </w:rPr>
        <w:footnoteRef/>
      </w:r>
      <w:r>
        <w:t xml:space="preserve"> Пак там</w:t>
      </w:r>
    </w:p>
  </w:footnote>
  <w:footnote w:id="44">
    <w:p w14:paraId="27F86DE4" w14:textId="4BC2AEC0" w:rsidR="003E0324" w:rsidRDefault="003E0324">
      <w:pPr>
        <w:pStyle w:val="FootnoteText"/>
      </w:pPr>
      <w:r>
        <w:rPr>
          <w:rStyle w:val="FootnoteReference"/>
        </w:rPr>
        <w:footnoteRef/>
      </w:r>
      <w:r>
        <w:t xml:space="preserve"> </w:t>
      </w:r>
      <w:proofErr w:type="spellStart"/>
      <w:r w:rsidRPr="003E0324">
        <w:rPr>
          <w:lang w:val="en-GB"/>
        </w:rPr>
        <w:t>Poptchev</w:t>
      </w:r>
      <w:proofErr w:type="spellEnd"/>
      <w:r w:rsidRPr="003E0324">
        <w:rPr>
          <w:lang w:val="en-GB"/>
        </w:rPr>
        <w:t xml:space="preserve">, P. (2020). NATO-EU Cooperation in Cybersecurity and Cyber Defence Offers Unrivalled Advantages. </w:t>
      </w:r>
      <w:r w:rsidRPr="003E0324">
        <w:rPr>
          <w:i/>
          <w:iCs/>
          <w:lang w:val="en-GB"/>
        </w:rPr>
        <w:t>Information &amp; Security: An International Journal</w:t>
      </w:r>
      <w:r w:rsidRPr="003E0324">
        <w:rPr>
          <w:lang w:val="en-GB"/>
        </w:rPr>
        <w:t xml:space="preserve">, </w:t>
      </w:r>
      <w:r w:rsidRPr="003E0324">
        <w:rPr>
          <w:i/>
          <w:iCs/>
          <w:lang w:val="en-GB"/>
        </w:rPr>
        <w:t>45</w:t>
      </w:r>
      <w:r w:rsidRPr="003E0324">
        <w:rPr>
          <w:lang w:val="en-GB"/>
        </w:rPr>
        <w:t>, 35–55. https://doi.org/10.11610/isij.4503</w:t>
      </w:r>
    </w:p>
  </w:footnote>
  <w:footnote w:id="45">
    <w:p w14:paraId="4865F93C" w14:textId="0FE47E01" w:rsidR="003E0324" w:rsidRDefault="003E0324">
      <w:pPr>
        <w:pStyle w:val="FootnoteText"/>
      </w:pPr>
      <w:r>
        <w:rPr>
          <w:rStyle w:val="FootnoteReference"/>
        </w:rPr>
        <w:footnoteRef/>
      </w:r>
      <w:r>
        <w:t xml:space="preserve"> Пак там</w:t>
      </w:r>
    </w:p>
  </w:footnote>
  <w:footnote w:id="46">
    <w:p w14:paraId="2ECB17ED" w14:textId="48AF46D0" w:rsidR="003E0324" w:rsidRDefault="003E0324">
      <w:pPr>
        <w:pStyle w:val="FootnoteText"/>
      </w:pPr>
      <w:r>
        <w:rPr>
          <w:rStyle w:val="FootnoteReference"/>
        </w:rPr>
        <w:footnoteRef/>
      </w:r>
      <w:r>
        <w:t xml:space="preserve"> </w:t>
      </w:r>
      <w:r w:rsidRPr="003E0324">
        <w:t>Susan Page, Jason Lalljee, and Jeanine Santucci, “Who’s Gonna Make the Debate Stage?” POLITICO, 28 August, 2019, https://www.politico.com/newsletters/playbook/2019/08/28/whos-gonna-make-the-debate-stage-473330.</w:t>
      </w:r>
    </w:p>
  </w:footnote>
  <w:footnote w:id="47">
    <w:p w14:paraId="24C479BE" w14:textId="6E26FBE0" w:rsidR="003E0324" w:rsidRDefault="003E0324">
      <w:pPr>
        <w:pStyle w:val="FootnoteText"/>
      </w:pPr>
      <w:r>
        <w:rPr>
          <w:rStyle w:val="FootnoteReference"/>
        </w:rPr>
        <w:footnoteRef/>
      </w:r>
      <w:r>
        <w:t xml:space="preserve"> </w:t>
      </w:r>
      <w:r w:rsidRPr="003E0324">
        <w:t>Susan Page, Jason Lalljee, and Jeanine Santucci, “Who’s Gonna Make the Debate Stage?” POLITICO, 28 August, 2019, https://www.politico.com/newsletters/playbook/2019/08/28/whos-gonna-make-the-debate-stage-473330.</w:t>
      </w:r>
    </w:p>
  </w:footnote>
  <w:footnote w:id="48">
    <w:p w14:paraId="534D2D9E" w14:textId="58E8C4D7" w:rsidR="003E0324" w:rsidRDefault="003E0324">
      <w:pPr>
        <w:pStyle w:val="FootnoteText"/>
      </w:pPr>
      <w:r>
        <w:rPr>
          <w:rStyle w:val="FootnoteReference"/>
        </w:rPr>
        <w:footnoteRef/>
      </w:r>
      <w:r>
        <w:t xml:space="preserve"> </w:t>
      </w:r>
      <w:r w:rsidRPr="003E0324">
        <w:t>“Securing the Edge: Surveying the Vulnerabilities in the Federal Government’s Internet of Things,” Research report, Government Business Council, Brocade Communications System, January 2017, https://www.cybersecobservatory.com/wp-content/uploads/2017/05/security-at-edge.pdf</w:t>
      </w:r>
    </w:p>
  </w:footnote>
  <w:footnote w:id="49">
    <w:p w14:paraId="28435C1F" w14:textId="7284E32D" w:rsidR="003E0324" w:rsidRDefault="003E0324">
      <w:pPr>
        <w:pStyle w:val="FootnoteText"/>
      </w:pPr>
      <w:r>
        <w:rPr>
          <w:rStyle w:val="FootnoteReference"/>
        </w:rPr>
        <w:footnoteRef/>
      </w:r>
      <w:r>
        <w:t xml:space="preserve"> </w:t>
      </w:r>
      <w:r w:rsidRPr="003E0324">
        <w:t>“Securing the Edge: Surveying the Vulnerabilities in the Federal Government’s Internet of Things,” Research report, Government Business Council, Brocade Communications System, January 2017, https://www.cybersecobservatory.com/wp-content/uploads/2017/05/security-at-edge.pdf</w:t>
      </w:r>
    </w:p>
  </w:footnote>
  <w:footnote w:id="50">
    <w:p w14:paraId="72F045B6" w14:textId="77777777" w:rsidR="003E0324" w:rsidRPr="003E0324" w:rsidRDefault="003E0324" w:rsidP="003E0324">
      <w:pPr>
        <w:pStyle w:val="FootnoteText"/>
        <w:rPr>
          <w:lang w:val="en-GB"/>
        </w:rPr>
      </w:pPr>
      <w:r>
        <w:rPr>
          <w:rStyle w:val="FootnoteReference"/>
        </w:rPr>
        <w:footnoteRef/>
      </w:r>
      <w:r>
        <w:t xml:space="preserve"> </w:t>
      </w:r>
      <w:proofErr w:type="spellStart"/>
      <w:r w:rsidRPr="003E0324">
        <w:rPr>
          <w:lang w:val="en-GB"/>
        </w:rPr>
        <w:t>Poptchev</w:t>
      </w:r>
      <w:proofErr w:type="spellEnd"/>
      <w:r w:rsidRPr="003E0324">
        <w:rPr>
          <w:lang w:val="en-GB"/>
        </w:rPr>
        <w:t xml:space="preserve">, P. (2020). NATO-EU Cooperation in Cybersecurity and Cyber Defence Offers Unrivalled Advantages. </w:t>
      </w:r>
      <w:r w:rsidRPr="003E0324">
        <w:rPr>
          <w:i/>
          <w:iCs/>
          <w:lang w:val="en-GB"/>
        </w:rPr>
        <w:t>Information &amp; Security: An International Journal</w:t>
      </w:r>
      <w:r w:rsidRPr="003E0324">
        <w:rPr>
          <w:lang w:val="en-GB"/>
        </w:rPr>
        <w:t xml:space="preserve">, </w:t>
      </w:r>
      <w:r w:rsidRPr="003E0324">
        <w:rPr>
          <w:i/>
          <w:iCs/>
          <w:lang w:val="en-GB"/>
        </w:rPr>
        <w:t>45</w:t>
      </w:r>
      <w:r w:rsidRPr="003E0324">
        <w:rPr>
          <w:lang w:val="en-GB"/>
        </w:rPr>
        <w:t>, 35–55. https://doi.org/10.11610/isij.4503</w:t>
      </w:r>
    </w:p>
    <w:p w14:paraId="0FE4084F" w14:textId="06AF4E2F" w:rsidR="003E0324" w:rsidRDefault="003E0324">
      <w:pPr>
        <w:pStyle w:val="FootnoteText"/>
      </w:pPr>
    </w:p>
  </w:footnote>
  <w:footnote w:id="51">
    <w:p w14:paraId="6F4BE0C7" w14:textId="51AB9A7B" w:rsidR="003E0324" w:rsidRDefault="003E0324">
      <w:pPr>
        <w:pStyle w:val="FootnoteText"/>
      </w:pPr>
      <w:r>
        <w:rPr>
          <w:rStyle w:val="FootnoteReference"/>
        </w:rPr>
        <w:footnoteRef/>
      </w:r>
      <w:r>
        <w:t xml:space="preserve"> </w:t>
      </w:r>
      <w:r w:rsidRPr="003E0324">
        <w:rPr>
          <w:lang w:val="en-GB"/>
        </w:rPr>
        <w:t xml:space="preserve">Fitzgerald, A. (2024, November 28). </w:t>
      </w:r>
      <w:r w:rsidRPr="003E0324">
        <w:rPr>
          <w:i/>
          <w:iCs/>
          <w:lang w:val="en-GB"/>
        </w:rPr>
        <w:t>Understanding EU Cybersecurity: History, Regulations, and Certifications</w:t>
      </w:r>
      <w:r w:rsidRPr="003E0324">
        <w:rPr>
          <w:lang w:val="en-GB"/>
        </w:rPr>
        <w:t xml:space="preserve">. </w:t>
      </w:r>
      <w:proofErr w:type="spellStart"/>
      <w:r w:rsidRPr="003E0324">
        <w:rPr>
          <w:lang w:val="en-GB"/>
        </w:rPr>
        <w:t>Secureframe</w:t>
      </w:r>
      <w:proofErr w:type="spellEnd"/>
      <w:r w:rsidRPr="003E0324">
        <w:rPr>
          <w:lang w:val="en-GB"/>
        </w:rPr>
        <w:t>. https://secureframe.com/blog/eu-cybersecurity</w:t>
      </w:r>
    </w:p>
  </w:footnote>
  <w:footnote w:id="52">
    <w:p w14:paraId="5037EDA6" w14:textId="663D1DC2" w:rsidR="003E0324" w:rsidRDefault="003E0324">
      <w:pPr>
        <w:pStyle w:val="FootnoteText"/>
      </w:pPr>
      <w:r>
        <w:rPr>
          <w:rStyle w:val="FootnoteReference"/>
        </w:rPr>
        <w:footnoteRef/>
      </w:r>
      <w:r>
        <w:t xml:space="preserve"> Пак там</w:t>
      </w:r>
    </w:p>
  </w:footnote>
  <w:footnote w:id="53">
    <w:p w14:paraId="4FECA03D" w14:textId="1F2B6FFF" w:rsidR="003E0324" w:rsidRDefault="003E0324">
      <w:pPr>
        <w:pStyle w:val="FootnoteText"/>
      </w:pPr>
      <w:r>
        <w:rPr>
          <w:rStyle w:val="FootnoteReference"/>
        </w:rPr>
        <w:footnoteRef/>
      </w:r>
      <w:r>
        <w:t xml:space="preserve"> Пак там</w:t>
      </w:r>
    </w:p>
  </w:footnote>
  <w:footnote w:id="54">
    <w:p w14:paraId="4E37D350" w14:textId="5B860EA8" w:rsidR="003E0324" w:rsidRDefault="003E0324">
      <w:pPr>
        <w:pStyle w:val="FootnoteText"/>
      </w:pPr>
      <w:r>
        <w:rPr>
          <w:rStyle w:val="FootnoteReference"/>
        </w:rPr>
        <w:footnoteRef/>
      </w:r>
      <w:r>
        <w:t xml:space="preserve"> </w:t>
      </w:r>
      <w:r w:rsidRPr="003E0324">
        <w:t>Tom Wheeler, “Moving from ‘Secret Sauce’ to Open Standards for 5G,” Brookings Global Eye, February 18, 2020, https://globaleye.online/moving-from-secret-sauceto-open-standards-for-5g-brookings/.</w:t>
      </w:r>
    </w:p>
  </w:footnote>
  <w:footnote w:id="55">
    <w:p w14:paraId="16CE2D1F" w14:textId="5AAAE783" w:rsidR="003E0324" w:rsidRDefault="003E0324">
      <w:pPr>
        <w:pStyle w:val="FootnoteText"/>
      </w:pPr>
      <w:r>
        <w:rPr>
          <w:rStyle w:val="FootnoteReference"/>
        </w:rPr>
        <w:footnoteRef/>
      </w:r>
      <w:r>
        <w:t xml:space="preserve"> Пак там</w:t>
      </w:r>
    </w:p>
  </w:footnote>
  <w:footnote w:id="56">
    <w:p w14:paraId="7F95883B" w14:textId="60E34A2E" w:rsidR="003E0324" w:rsidRDefault="003E0324">
      <w:pPr>
        <w:pStyle w:val="FootnoteText"/>
      </w:pPr>
      <w:r>
        <w:rPr>
          <w:rStyle w:val="FootnoteReference"/>
        </w:rPr>
        <w:footnoteRef/>
      </w:r>
      <w:r>
        <w:t xml:space="preserve"> Пак там</w:t>
      </w:r>
    </w:p>
  </w:footnote>
  <w:footnote w:id="57">
    <w:p w14:paraId="71997BCE" w14:textId="77777777" w:rsidR="004D0F59" w:rsidRPr="004D0F59" w:rsidRDefault="004D0F59" w:rsidP="004D0F59">
      <w:pPr>
        <w:pStyle w:val="FootnoteText"/>
        <w:rPr>
          <w:lang w:val="en-GB"/>
        </w:rPr>
      </w:pPr>
      <w:r>
        <w:rPr>
          <w:rStyle w:val="FootnoteReference"/>
        </w:rPr>
        <w:footnoteRef/>
      </w:r>
      <w:r>
        <w:t xml:space="preserve"> </w:t>
      </w:r>
      <w:r w:rsidRPr="004D0F59">
        <w:rPr>
          <w:lang w:val="en-GB"/>
        </w:rPr>
        <w:t xml:space="preserve">NATO. (2010, November 19). </w:t>
      </w:r>
      <w:r w:rsidRPr="004D0F59">
        <w:rPr>
          <w:i/>
          <w:iCs/>
          <w:lang w:val="en-GB"/>
        </w:rPr>
        <w:t>Strategic Concept 2010</w:t>
      </w:r>
      <w:r w:rsidRPr="004D0F59">
        <w:rPr>
          <w:lang w:val="en-GB"/>
        </w:rPr>
        <w:t>. NATO. https://www.nato.int/cps/en/natohq/topics_82705.htm</w:t>
      </w:r>
    </w:p>
    <w:p w14:paraId="3A405A0B" w14:textId="282F7337" w:rsidR="004D0F59" w:rsidRDefault="004D0F59">
      <w:pPr>
        <w:pStyle w:val="FootnoteText"/>
      </w:pPr>
    </w:p>
  </w:footnote>
  <w:footnote w:id="58">
    <w:p w14:paraId="2CB17E18" w14:textId="2DC95927" w:rsidR="004D0F59" w:rsidRDefault="004D0F59">
      <w:pPr>
        <w:pStyle w:val="FootnoteText"/>
      </w:pPr>
      <w:r>
        <w:rPr>
          <w:rStyle w:val="FootnoteReference"/>
        </w:rPr>
        <w:footnoteRef/>
      </w:r>
      <w:r>
        <w:t xml:space="preserve"> </w:t>
      </w:r>
      <w:r w:rsidRPr="004D0F59">
        <w:t>Frederic Lemieux, “How to Tackle Cybersecurity Risks More Effectively,” Georgetown University, School of Continuing Studies, September 17, 2018, https://scs.georgetown.edu/news-and-events/article/7329/how-tackle-cybersecurity-risks-more-effectively.</w:t>
      </w:r>
    </w:p>
  </w:footnote>
  <w:footnote w:id="59">
    <w:p w14:paraId="4612D683" w14:textId="77777777" w:rsidR="004D0F59" w:rsidRPr="004D0F59" w:rsidRDefault="004D0F59" w:rsidP="004D0F59">
      <w:pPr>
        <w:pStyle w:val="FootnoteText"/>
        <w:rPr>
          <w:lang w:val="en-GB"/>
        </w:rPr>
      </w:pPr>
      <w:r>
        <w:rPr>
          <w:rStyle w:val="FootnoteReference"/>
        </w:rPr>
        <w:footnoteRef/>
      </w:r>
      <w:r>
        <w:t xml:space="preserve"> </w:t>
      </w:r>
      <w:proofErr w:type="spellStart"/>
      <w:r w:rsidRPr="004D0F59">
        <w:rPr>
          <w:lang w:val="en-GB"/>
        </w:rPr>
        <w:t>Poptchev</w:t>
      </w:r>
      <w:proofErr w:type="spellEnd"/>
      <w:r w:rsidRPr="004D0F59">
        <w:rPr>
          <w:lang w:val="en-GB"/>
        </w:rPr>
        <w:t xml:space="preserve">, P. (2020). NATO-EU Cooperation in Cybersecurity and Cyber Defence Offers Unrivalled Advantages. </w:t>
      </w:r>
      <w:r w:rsidRPr="004D0F59">
        <w:rPr>
          <w:i/>
          <w:iCs/>
          <w:lang w:val="en-GB"/>
        </w:rPr>
        <w:t>Information &amp; Security: An International Journal</w:t>
      </w:r>
      <w:r w:rsidRPr="004D0F59">
        <w:rPr>
          <w:lang w:val="en-GB"/>
        </w:rPr>
        <w:t xml:space="preserve">, </w:t>
      </w:r>
      <w:r w:rsidRPr="004D0F59">
        <w:rPr>
          <w:i/>
          <w:iCs/>
          <w:lang w:val="en-GB"/>
        </w:rPr>
        <w:t>45</w:t>
      </w:r>
      <w:r w:rsidRPr="004D0F59">
        <w:rPr>
          <w:lang w:val="en-GB"/>
        </w:rPr>
        <w:t>, 35–55. https://doi.org/10.11610/isij.4503</w:t>
      </w:r>
    </w:p>
    <w:p w14:paraId="25F86D83" w14:textId="5BBC38D4" w:rsidR="004D0F59" w:rsidRDefault="004D0F59">
      <w:pPr>
        <w:pStyle w:val="FootnoteText"/>
      </w:pPr>
    </w:p>
  </w:footnote>
  <w:footnote w:id="60">
    <w:p w14:paraId="417BE080" w14:textId="23D338AA" w:rsidR="004D0F59" w:rsidRDefault="004D0F59">
      <w:pPr>
        <w:pStyle w:val="FootnoteText"/>
      </w:pPr>
      <w:r>
        <w:rPr>
          <w:rStyle w:val="FootnoteReference"/>
        </w:rPr>
        <w:footnoteRef/>
      </w:r>
      <w:r>
        <w:t xml:space="preserve"> </w:t>
      </w:r>
      <w:proofErr w:type="spellStart"/>
      <w:r w:rsidRPr="004D0F59">
        <w:rPr>
          <w:lang w:val="en-GB"/>
        </w:rPr>
        <w:t>Filipec</w:t>
      </w:r>
      <w:proofErr w:type="spellEnd"/>
      <w:r w:rsidRPr="004D0F59">
        <w:rPr>
          <w:lang w:val="en-GB"/>
        </w:rPr>
        <w:t xml:space="preserve">, O. (2023). </w:t>
      </w:r>
      <w:r w:rsidRPr="004D0F59">
        <w:rPr>
          <w:i/>
          <w:iCs/>
          <w:lang w:val="en-GB"/>
        </w:rPr>
        <w:t>The Cooperation Between EU and NATO in Response to Hybrid Threats. A Retrospective Analysis from the Institutionalist Perspective</w:t>
      </w:r>
      <w:r w:rsidRPr="004D0F59">
        <w:rPr>
          <w:lang w:val="en-GB"/>
        </w:rPr>
        <w:t>. 27–55. https://doi.org/10.34135/sjps.230102</w:t>
      </w:r>
    </w:p>
  </w:footnote>
  <w:footnote w:id="61">
    <w:p w14:paraId="4048E07E" w14:textId="41E9078B" w:rsidR="004D0F59" w:rsidRDefault="004D0F59">
      <w:pPr>
        <w:pStyle w:val="FootnoteText"/>
      </w:pPr>
      <w:r>
        <w:rPr>
          <w:rStyle w:val="FootnoteReference"/>
        </w:rPr>
        <w:footnoteRef/>
      </w:r>
      <w:r>
        <w:t xml:space="preserve"> Пак там</w:t>
      </w:r>
    </w:p>
  </w:footnote>
  <w:footnote w:id="62">
    <w:p w14:paraId="05F025AB" w14:textId="5A43C78F" w:rsidR="004D0F59" w:rsidRDefault="004D0F59">
      <w:pPr>
        <w:pStyle w:val="FootnoteText"/>
      </w:pPr>
      <w:r>
        <w:rPr>
          <w:rStyle w:val="FootnoteReference"/>
        </w:rPr>
        <w:footnoteRef/>
      </w:r>
      <w:r>
        <w:t xml:space="preserve"> </w:t>
      </w:r>
      <w:r w:rsidRPr="004D0F59">
        <w:rPr>
          <w:lang w:val="en-GB"/>
        </w:rPr>
        <w:t xml:space="preserve">Seker, E., &amp; </w:t>
      </w:r>
      <w:proofErr w:type="spellStart"/>
      <w:r w:rsidRPr="004D0F59">
        <w:rPr>
          <w:lang w:val="en-GB"/>
        </w:rPr>
        <w:t>Ozbenli</w:t>
      </w:r>
      <w:proofErr w:type="spellEnd"/>
      <w:r w:rsidRPr="004D0F59">
        <w:rPr>
          <w:lang w:val="en-GB"/>
        </w:rPr>
        <w:t xml:space="preserve">, H. H. (2018). The Concept of Cyber Defence Exercises (CDX): Planning, Execution, Evaluation. </w:t>
      </w:r>
      <w:r w:rsidRPr="004D0F59">
        <w:rPr>
          <w:i/>
          <w:iCs/>
          <w:lang w:val="en-GB"/>
        </w:rPr>
        <w:t>2018 International Conference on Cyber Security and Protection of Digital Services (Cyber Security)</w:t>
      </w:r>
      <w:r w:rsidRPr="004D0F59">
        <w:rPr>
          <w:lang w:val="en-GB"/>
        </w:rPr>
        <w:t>. https://doi.org/10.1109/cybersecpods.2018.8560673</w:t>
      </w:r>
    </w:p>
  </w:footnote>
  <w:footnote w:id="63">
    <w:p w14:paraId="3D6FBA07" w14:textId="77777777" w:rsidR="004D0F59" w:rsidRPr="004D0F59" w:rsidRDefault="004D0F59" w:rsidP="004D0F59">
      <w:pPr>
        <w:pStyle w:val="FootnoteText"/>
        <w:rPr>
          <w:lang w:val="en-GB"/>
        </w:rPr>
      </w:pPr>
      <w:r>
        <w:rPr>
          <w:rStyle w:val="FootnoteReference"/>
        </w:rPr>
        <w:footnoteRef/>
      </w:r>
      <w:r>
        <w:t xml:space="preserve"> </w:t>
      </w:r>
      <w:r w:rsidRPr="004D0F59">
        <w:rPr>
          <w:lang w:val="en-GB"/>
        </w:rPr>
        <w:t xml:space="preserve">European Commission. (2022). </w:t>
      </w:r>
      <w:r w:rsidRPr="004D0F59">
        <w:rPr>
          <w:i/>
          <w:iCs/>
          <w:lang w:val="en-GB"/>
        </w:rPr>
        <w:t>The Critical Entities Resilience Directive (CER)</w:t>
      </w:r>
      <w:r w:rsidRPr="004D0F59">
        <w:rPr>
          <w:lang w:val="en-GB"/>
        </w:rPr>
        <w:t>. Www.critical-Entities-Resilience-Directive.com. https://www.critical-entities-resilience-directive.com/</w:t>
      </w:r>
    </w:p>
    <w:p w14:paraId="6BE1290B" w14:textId="02406D12" w:rsidR="004D0F59" w:rsidRDefault="004D0F59">
      <w:pPr>
        <w:pStyle w:val="FootnoteText"/>
      </w:pPr>
    </w:p>
  </w:footnote>
  <w:footnote w:id="64">
    <w:p w14:paraId="3E75DCA3" w14:textId="610B1AC7" w:rsidR="00C33C4C" w:rsidRDefault="00C33C4C">
      <w:pPr>
        <w:pStyle w:val="FootnoteText"/>
      </w:pPr>
      <w:r>
        <w:rPr>
          <w:rStyle w:val="FootnoteReference"/>
        </w:rPr>
        <w:footnoteRef/>
      </w:r>
      <w:r>
        <w:t xml:space="preserve"> </w:t>
      </w:r>
      <w:r w:rsidRPr="00C33C4C">
        <w:t>Standish, Reid (2017-10-03). "Finland opens a new center to fight 'hybrid threats' from Russia and beyond"</w:t>
      </w:r>
      <w:r>
        <w:t>.</w:t>
      </w:r>
      <w:r w:rsidRPr="00C33C4C">
        <w:t xml:space="preserve"> https://foreignpolicy.com/2018/01/18/inside-a-european-center-to-combat-russias-hybrid-warfare/</w:t>
      </w:r>
    </w:p>
  </w:footnote>
  <w:footnote w:id="65">
    <w:p w14:paraId="18ECD110" w14:textId="74A97F56" w:rsidR="00C33C4C" w:rsidRDefault="00C33C4C" w:rsidP="00C33C4C">
      <w:pPr>
        <w:pStyle w:val="FootnoteText"/>
      </w:pPr>
      <w:r>
        <w:rPr>
          <w:rStyle w:val="FootnoteReference"/>
        </w:rPr>
        <w:footnoteRef/>
      </w:r>
      <w:r>
        <w:t xml:space="preserve"> Robin Emmott, “NATO Cyber Command to Be Fully Operational in 2023,” Reuters, October 16, 2018.</w:t>
      </w:r>
      <w:r w:rsidRPr="00C33C4C">
        <w:t xml:space="preserve"> https://www.reuters.com/article/technology/nato-cyber-command-to-be-fully-operational-in-2023-idUSKCN1MQ20O/</w:t>
      </w:r>
    </w:p>
  </w:footnote>
  <w:footnote w:id="66">
    <w:p w14:paraId="48233455" w14:textId="6407020B" w:rsidR="00C33C4C" w:rsidRDefault="00C33C4C">
      <w:pPr>
        <w:pStyle w:val="FootnoteText"/>
      </w:pPr>
      <w:r>
        <w:rPr>
          <w:rStyle w:val="FootnoteReference"/>
        </w:rPr>
        <w:footnoteRef/>
      </w:r>
      <w:r>
        <w:t xml:space="preserve"> </w:t>
      </w:r>
      <w:r w:rsidRPr="00C33C4C">
        <w:t>Poptchev, P. (2020). NATO-EU Cooperation in Cybersecurity and Cyber Defence Offers Unrivalled Advantages. Information &amp; Security: An International Journal, 45, 35–55. https://doi.org/10.11610/isij.4503</w:t>
      </w:r>
    </w:p>
  </w:footnote>
  <w:footnote w:id="67">
    <w:p w14:paraId="4F13E110" w14:textId="4299BFD6" w:rsidR="00C33C4C" w:rsidRDefault="00C33C4C">
      <w:pPr>
        <w:pStyle w:val="FootnoteText"/>
      </w:pPr>
      <w:r>
        <w:rPr>
          <w:rStyle w:val="FootnoteReference"/>
        </w:rPr>
        <w:footnoteRef/>
      </w:r>
      <w:r>
        <w:t xml:space="preserve"> Пак там</w:t>
      </w:r>
    </w:p>
  </w:footnote>
  <w:footnote w:id="68">
    <w:p w14:paraId="70981840" w14:textId="6EA232FE" w:rsidR="00C33C4C" w:rsidRDefault="00C33C4C">
      <w:pPr>
        <w:pStyle w:val="FootnoteText"/>
      </w:pPr>
      <w:r>
        <w:rPr>
          <w:rStyle w:val="FootnoteReference"/>
        </w:rPr>
        <w:footnoteRef/>
      </w:r>
      <w:r>
        <w:t xml:space="preserve"> </w:t>
      </w:r>
      <w:r w:rsidRPr="00C33C4C">
        <w:t>Bruce Jones, Jeffrey Feltman, and Will Moreland, “Competitive Multilateralism: Adapting Institutions to Meet the New Geopolitical Environment,” The Brookings Institution, September 2019, https://www.brookings.edu/wp-content/uploads/2019/ 09/FP_20190918_competitive_multilateralism_FINAL.pdf.</w:t>
      </w:r>
    </w:p>
  </w:footnote>
  <w:footnote w:id="69">
    <w:p w14:paraId="297FCC46" w14:textId="14763858" w:rsidR="00C33C4C" w:rsidRDefault="00C33C4C">
      <w:pPr>
        <w:pStyle w:val="FootnoteText"/>
      </w:pPr>
      <w:r>
        <w:rPr>
          <w:rStyle w:val="FootnoteReference"/>
        </w:rPr>
        <w:footnoteRef/>
      </w:r>
      <w:r>
        <w:t xml:space="preserve"> </w:t>
      </w:r>
      <w:r w:rsidRPr="00C33C4C">
        <w:t>Frederic Lemieux, “How to Tackle Cybersecurity Risks More Effectively,” Georgetown University, School of Continuing Studies, September 17, 2018, https://scs.georgetown.edu/news-and-events/article/7329/how-tackle-cybersecurity-risks-more-effectively.</w:t>
      </w:r>
    </w:p>
  </w:footnote>
  <w:footnote w:id="70">
    <w:p w14:paraId="1BF95839" w14:textId="77777777" w:rsidR="00C33C4C" w:rsidRPr="00C33C4C" w:rsidRDefault="00C33C4C" w:rsidP="00C33C4C">
      <w:pPr>
        <w:pStyle w:val="FootnoteText"/>
        <w:rPr>
          <w:lang w:val="en-GB"/>
        </w:rPr>
      </w:pPr>
      <w:r>
        <w:rPr>
          <w:rStyle w:val="FootnoteReference"/>
        </w:rPr>
        <w:footnoteRef/>
      </w:r>
      <w:r>
        <w:t xml:space="preserve"> </w:t>
      </w:r>
      <w:proofErr w:type="spellStart"/>
      <w:r w:rsidRPr="00C33C4C">
        <w:rPr>
          <w:lang w:val="en-GB"/>
        </w:rPr>
        <w:t>Poptchev</w:t>
      </w:r>
      <w:proofErr w:type="spellEnd"/>
      <w:r w:rsidRPr="00C33C4C">
        <w:rPr>
          <w:lang w:val="en-GB"/>
        </w:rPr>
        <w:t xml:space="preserve">, P. (2020). NATO-EU Cooperation in Cybersecurity and Cyber Defence Offers Unrivalled Advantages. </w:t>
      </w:r>
      <w:r w:rsidRPr="00C33C4C">
        <w:rPr>
          <w:i/>
          <w:iCs/>
          <w:lang w:val="en-GB"/>
        </w:rPr>
        <w:t>Information &amp; Security: An International Journal</w:t>
      </w:r>
      <w:r w:rsidRPr="00C33C4C">
        <w:rPr>
          <w:lang w:val="en-GB"/>
        </w:rPr>
        <w:t xml:space="preserve">, </w:t>
      </w:r>
      <w:r w:rsidRPr="00C33C4C">
        <w:rPr>
          <w:i/>
          <w:iCs/>
          <w:lang w:val="en-GB"/>
        </w:rPr>
        <w:t>45</w:t>
      </w:r>
      <w:r w:rsidRPr="00C33C4C">
        <w:rPr>
          <w:lang w:val="en-GB"/>
        </w:rPr>
        <w:t>, 35–55. https://doi.org/10.11610/isij.4503</w:t>
      </w:r>
    </w:p>
    <w:p w14:paraId="368B06BB" w14:textId="47BA555A" w:rsidR="00C33C4C" w:rsidRDefault="00C33C4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0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3D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D02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2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857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D63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C7AC2"/>
    <w:multiLevelType w:val="multilevel"/>
    <w:tmpl w:val="90D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35E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96F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531653">
    <w:abstractNumId w:val="0"/>
  </w:num>
  <w:num w:numId="2" w16cid:durableId="254366824">
    <w:abstractNumId w:val="5"/>
  </w:num>
  <w:num w:numId="3" w16cid:durableId="627320550">
    <w:abstractNumId w:val="1"/>
  </w:num>
  <w:num w:numId="4" w16cid:durableId="1179008541">
    <w:abstractNumId w:val="7"/>
  </w:num>
  <w:num w:numId="5" w16cid:durableId="1979544">
    <w:abstractNumId w:val="2"/>
  </w:num>
  <w:num w:numId="6" w16cid:durableId="1070277027">
    <w:abstractNumId w:val="4"/>
  </w:num>
  <w:num w:numId="7" w16cid:durableId="1136139280">
    <w:abstractNumId w:val="3"/>
  </w:num>
  <w:num w:numId="8" w16cid:durableId="1216816157">
    <w:abstractNumId w:val="8"/>
  </w:num>
  <w:num w:numId="9" w16cid:durableId="970748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FD"/>
    <w:rsid w:val="000434BC"/>
    <w:rsid w:val="000A1B95"/>
    <w:rsid w:val="000B3C68"/>
    <w:rsid w:val="000E59E2"/>
    <w:rsid w:val="00167195"/>
    <w:rsid w:val="002E54E1"/>
    <w:rsid w:val="003118EC"/>
    <w:rsid w:val="00386326"/>
    <w:rsid w:val="00387E76"/>
    <w:rsid w:val="00394C82"/>
    <w:rsid w:val="003A6894"/>
    <w:rsid w:val="003E0324"/>
    <w:rsid w:val="00406EFD"/>
    <w:rsid w:val="004D0F59"/>
    <w:rsid w:val="00511797"/>
    <w:rsid w:val="0053087C"/>
    <w:rsid w:val="005342DA"/>
    <w:rsid w:val="00587FFB"/>
    <w:rsid w:val="005D475A"/>
    <w:rsid w:val="00624851"/>
    <w:rsid w:val="007E70E2"/>
    <w:rsid w:val="00812F0D"/>
    <w:rsid w:val="00823FF9"/>
    <w:rsid w:val="00840CFA"/>
    <w:rsid w:val="008A2697"/>
    <w:rsid w:val="008D7ADB"/>
    <w:rsid w:val="008F63C1"/>
    <w:rsid w:val="00926278"/>
    <w:rsid w:val="00941439"/>
    <w:rsid w:val="00946895"/>
    <w:rsid w:val="009D2037"/>
    <w:rsid w:val="00A73FD7"/>
    <w:rsid w:val="00AD644C"/>
    <w:rsid w:val="00B77705"/>
    <w:rsid w:val="00B97684"/>
    <w:rsid w:val="00BF69A5"/>
    <w:rsid w:val="00C16B86"/>
    <w:rsid w:val="00C33C4C"/>
    <w:rsid w:val="00C4570E"/>
    <w:rsid w:val="00C80544"/>
    <w:rsid w:val="00CD0302"/>
    <w:rsid w:val="00D72290"/>
    <w:rsid w:val="00D80BEE"/>
    <w:rsid w:val="00D83287"/>
    <w:rsid w:val="00D944C9"/>
    <w:rsid w:val="00E73B36"/>
    <w:rsid w:val="00E803B3"/>
    <w:rsid w:val="00FE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2183"/>
  <w15:chartTrackingRefBased/>
  <w15:docId w15:val="{D57ADD80-C149-D94C-AE88-544B6F41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uiPriority w:val="9"/>
    <w:qFormat/>
    <w:rsid w:val="00406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06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06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FD"/>
    <w:rPr>
      <w:rFonts w:eastAsiaTheme="majorEastAsia" w:cstheme="majorBidi"/>
      <w:color w:val="272727" w:themeColor="text1" w:themeTint="D8"/>
    </w:rPr>
  </w:style>
  <w:style w:type="paragraph" w:styleId="Title">
    <w:name w:val="Title"/>
    <w:basedOn w:val="Normal"/>
    <w:next w:val="Normal"/>
    <w:link w:val="TitleChar"/>
    <w:uiPriority w:val="10"/>
    <w:qFormat/>
    <w:rsid w:val="00406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FD"/>
    <w:pPr>
      <w:spacing w:before="160"/>
      <w:jc w:val="center"/>
    </w:pPr>
    <w:rPr>
      <w:i/>
      <w:iCs/>
      <w:color w:val="404040" w:themeColor="text1" w:themeTint="BF"/>
    </w:rPr>
  </w:style>
  <w:style w:type="character" w:customStyle="1" w:styleId="QuoteChar">
    <w:name w:val="Quote Char"/>
    <w:basedOn w:val="DefaultParagraphFont"/>
    <w:link w:val="Quote"/>
    <w:uiPriority w:val="29"/>
    <w:rsid w:val="00406EFD"/>
    <w:rPr>
      <w:i/>
      <w:iCs/>
      <w:color w:val="404040" w:themeColor="text1" w:themeTint="BF"/>
    </w:rPr>
  </w:style>
  <w:style w:type="paragraph" w:styleId="ListParagraph">
    <w:name w:val="List Paragraph"/>
    <w:basedOn w:val="Normal"/>
    <w:uiPriority w:val="34"/>
    <w:qFormat/>
    <w:rsid w:val="00406EFD"/>
    <w:pPr>
      <w:ind w:left="720"/>
      <w:contextualSpacing/>
    </w:pPr>
  </w:style>
  <w:style w:type="character" w:styleId="IntenseEmphasis">
    <w:name w:val="Intense Emphasis"/>
    <w:basedOn w:val="DefaultParagraphFont"/>
    <w:uiPriority w:val="21"/>
    <w:qFormat/>
    <w:rsid w:val="00406EFD"/>
    <w:rPr>
      <w:i/>
      <w:iCs/>
      <w:color w:val="2F5496" w:themeColor="accent1" w:themeShade="BF"/>
    </w:rPr>
  </w:style>
  <w:style w:type="paragraph" w:styleId="IntenseQuote">
    <w:name w:val="Intense Quote"/>
    <w:basedOn w:val="Normal"/>
    <w:next w:val="Normal"/>
    <w:link w:val="IntenseQuoteChar"/>
    <w:uiPriority w:val="30"/>
    <w:qFormat/>
    <w:rsid w:val="00406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EFD"/>
    <w:rPr>
      <w:i/>
      <w:iCs/>
      <w:color w:val="2F5496" w:themeColor="accent1" w:themeShade="BF"/>
    </w:rPr>
  </w:style>
  <w:style w:type="character" w:styleId="IntenseReference">
    <w:name w:val="Intense Reference"/>
    <w:basedOn w:val="DefaultParagraphFont"/>
    <w:uiPriority w:val="32"/>
    <w:qFormat/>
    <w:rsid w:val="00406EFD"/>
    <w:rPr>
      <w:b/>
      <w:bCs/>
      <w:smallCaps/>
      <w:color w:val="2F5496" w:themeColor="accent1" w:themeShade="BF"/>
      <w:spacing w:val="5"/>
    </w:rPr>
  </w:style>
  <w:style w:type="character" w:styleId="Strong">
    <w:name w:val="Strong"/>
    <w:basedOn w:val="DefaultParagraphFont"/>
    <w:uiPriority w:val="22"/>
    <w:qFormat/>
    <w:rsid w:val="00406EFD"/>
    <w:rPr>
      <w:b/>
      <w:bCs/>
    </w:rPr>
  </w:style>
  <w:style w:type="paragraph" w:styleId="FootnoteText">
    <w:name w:val="footnote text"/>
    <w:basedOn w:val="Normal"/>
    <w:link w:val="FootnoteTextChar"/>
    <w:uiPriority w:val="99"/>
    <w:semiHidden/>
    <w:unhideWhenUsed/>
    <w:rsid w:val="00587FFB"/>
    <w:pPr>
      <w:spacing w:after="0" w:line="240" w:lineRule="auto"/>
    </w:pPr>
    <w:rPr>
      <w:rFonts w:eastAsiaTheme="minorHAnsi"/>
      <w:kern w:val="0"/>
      <w:sz w:val="20"/>
      <w:szCs w:val="20"/>
      <w14:ligatures w14:val="none"/>
    </w:rPr>
  </w:style>
  <w:style w:type="character" w:customStyle="1" w:styleId="FootnoteTextChar">
    <w:name w:val="Footnote Text Char"/>
    <w:basedOn w:val="DefaultParagraphFont"/>
    <w:link w:val="FootnoteText"/>
    <w:uiPriority w:val="99"/>
    <w:semiHidden/>
    <w:rsid w:val="00587FFB"/>
    <w:rPr>
      <w:rFonts w:eastAsiaTheme="minorHAnsi"/>
      <w:kern w:val="0"/>
      <w:sz w:val="20"/>
      <w:szCs w:val="20"/>
      <w:lang w:val="bg-BG"/>
      <w14:ligatures w14:val="none"/>
    </w:rPr>
  </w:style>
  <w:style w:type="character" w:styleId="FootnoteReference">
    <w:name w:val="footnote reference"/>
    <w:basedOn w:val="DefaultParagraphFont"/>
    <w:uiPriority w:val="99"/>
    <w:semiHidden/>
    <w:unhideWhenUsed/>
    <w:rsid w:val="00587FFB"/>
    <w:rPr>
      <w:vertAlign w:val="superscript"/>
    </w:rPr>
  </w:style>
  <w:style w:type="paragraph" w:styleId="NormalWeb">
    <w:name w:val="Normal (Web)"/>
    <w:basedOn w:val="Normal"/>
    <w:uiPriority w:val="99"/>
    <w:semiHidden/>
    <w:unhideWhenUsed/>
    <w:rsid w:val="00FE02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436">
      <w:bodyDiv w:val="1"/>
      <w:marLeft w:val="0"/>
      <w:marRight w:val="0"/>
      <w:marTop w:val="0"/>
      <w:marBottom w:val="0"/>
      <w:divBdr>
        <w:top w:val="none" w:sz="0" w:space="0" w:color="auto"/>
        <w:left w:val="none" w:sz="0" w:space="0" w:color="auto"/>
        <w:bottom w:val="none" w:sz="0" w:space="0" w:color="auto"/>
        <w:right w:val="none" w:sz="0" w:space="0" w:color="auto"/>
      </w:divBdr>
    </w:div>
    <w:div w:id="28342300">
      <w:bodyDiv w:val="1"/>
      <w:marLeft w:val="0"/>
      <w:marRight w:val="0"/>
      <w:marTop w:val="0"/>
      <w:marBottom w:val="0"/>
      <w:divBdr>
        <w:top w:val="none" w:sz="0" w:space="0" w:color="auto"/>
        <w:left w:val="none" w:sz="0" w:space="0" w:color="auto"/>
        <w:bottom w:val="none" w:sz="0" w:space="0" w:color="auto"/>
        <w:right w:val="none" w:sz="0" w:space="0" w:color="auto"/>
      </w:divBdr>
      <w:divsChild>
        <w:div w:id="1068379579">
          <w:marLeft w:val="-720"/>
          <w:marRight w:val="0"/>
          <w:marTop w:val="0"/>
          <w:marBottom w:val="0"/>
          <w:divBdr>
            <w:top w:val="none" w:sz="0" w:space="0" w:color="auto"/>
            <w:left w:val="none" w:sz="0" w:space="0" w:color="auto"/>
            <w:bottom w:val="none" w:sz="0" w:space="0" w:color="auto"/>
            <w:right w:val="none" w:sz="0" w:space="0" w:color="auto"/>
          </w:divBdr>
        </w:div>
      </w:divsChild>
    </w:div>
    <w:div w:id="29377488">
      <w:bodyDiv w:val="1"/>
      <w:marLeft w:val="0"/>
      <w:marRight w:val="0"/>
      <w:marTop w:val="0"/>
      <w:marBottom w:val="0"/>
      <w:divBdr>
        <w:top w:val="none" w:sz="0" w:space="0" w:color="auto"/>
        <w:left w:val="none" w:sz="0" w:space="0" w:color="auto"/>
        <w:bottom w:val="none" w:sz="0" w:space="0" w:color="auto"/>
        <w:right w:val="none" w:sz="0" w:space="0" w:color="auto"/>
      </w:divBdr>
    </w:div>
    <w:div w:id="42682613">
      <w:bodyDiv w:val="1"/>
      <w:marLeft w:val="0"/>
      <w:marRight w:val="0"/>
      <w:marTop w:val="0"/>
      <w:marBottom w:val="0"/>
      <w:divBdr>
        <w:top w:val="none" w:sz="0" w:space="0" w:color="auto"/>
        <w:left w:val="none" w:sz="0" w:space="0" w:color="auto"/>
        <w:bottom w:val="none" w:sz="0" w:space="0" w:color="auto"/>
        <w:right w:val="none" w:sz="0" w:space="0" w:color="auto"/>
      </w:divBdr>
      <w:divsChild>
        <w:div w:id="495338254">
          <w:marLeft w:val="-720"/>
          <w:marRight w:val="0"/>
          <w:marTop w:val="0"/>
          <w:marBottom w:val="0"/>
          <w:divBdr>
            <w:top w:val="none" w:sz="0" w:space="0" w:color="auto"/>
            <w:left w:val="none" w:sz="0" w:space="0" w:color="auto"/>
            <w:bottom w:val="none" w:sz="0" w:space="0" w:color="auto"/>
            <w:right w:val="none" w:sz="0" w:space="0" w:color="auto"/>
          </w:divBdr>
        </w:div>
      </w:divsChild>
    </w:div>
    <w:div w:id="60255434">
      <w:bodyDiv w:val="1"/>
      <w:marLeft w:val="0"/>
      <w:marRight w:val="0"/>
      <w:marTop w:val="0"/>
      <w:marBottom w:val="0"/>
      <w:divBdr>
        <w:top w:val="none" w:sz="0" w:space="0" w:color="auto"/>
        <w:left w:val="none" w:sz="0" w:space="0" w:color="auto"/>
        <w:bottom w:val="none" w:sz="0" w:space="0" w:color="auto"/>
        <w:right w:val="none" w:sz="0" w:space="0" w:color="auto"/>
      </w:divBdr>
    </w:div>
    <w:div w:id="124200000">
      <w:bodyDiv w:val="1"/>
      <w:marLeft w:val="0"/>
      <w:marRight w:val="0"/>
      <w:marTop w:val="0"/>
      <w:marBottom w:val="0"/>
      <w:divBdr>
        <w:top w:val="none" w:sz="0" w:space="0" w:color="auto"/>
        <w:left w:val="none" w:sz="0" w:space="0" w:color="auto"/>
        <w:bottom w:val="none" w:sz="0" w:space="0" w:color="auto"/>
        <w:right w:val="none" w:sz="0" w:space="0" w:color="auto"/>
      </w:divBdr>
    </w:div>
    <w:div w:id="124737710">
      <w:bodyDiv w:val="1"/>
      <w:marLeft w:val="0"/>
      <w:marRight w:val="0"/>
      <w:marTop w:val="0"/>
      <w:marBottom w:val="0"/>
      <w:divBdr>
        <w:top w:val="none" w:sz="0" w:space="0" w:color="auto"/>
        <w:left w:val="none" w:sz="0" w:space="0" w:color="auto"/>
        <w:bottom w:val="none" w:sz="0" w:space="0" w:color="auto"/>
        <w:right w:val="none" w:sz="0" w:space="0" w:color="auto"/>
      </w:divBdr>
    </w:div>
    <w:div w:id="128060507">
      <w:bodyDiv w:val="1"/>
      <w:marLeft w:val="0"/>
      <w:marRight w:val="0"/>
      <w:marTop w:val="0"/>
      <w:marBottom w:val="0"/>
      <w:divBdr>
        <w:top w:val="none" w:sz="0" w:space="0" w:color="auto"/>
        <w:left w:val="none" w:sz="0" w:space="0" w:color="auto"/>
        <w:bottom w:val="none" w:sz="0" w:space="0" w:color="auto"/>
        <w:right w:val="none" w:sz="0" w:space="0" w:color="auto"/>
      </w:divBdr>
    </w:div>
    <w:div w:id="168642108">
      <w:bodyDiv w:val="1"/>
      <w:marLeft w:val="0"/>
      <w:marRight w:val="0"/>
      <w:marTop w:val="0"/>
      <w:marBottom w:val="0"/>
      <w:divBdr>
        <w:top w:val="none" w:sz="0" w:space="0" w:color="auto"/>
        <w:left w:val="none" w:sz="0" w:space="0" w:color="auto"/>
        <w:bottom w:val="none" w:sz="0" w:space="0" w:color="auto"/>
        <w:right w:val="none" w:sz="0" w:space="0" w:color="auto"/>
      </w:divBdr>
    </w:div>
    <w:div w:id="169417703">
      <w:bodyDiv w:val="1"/>
      <w:marLeft w:val="0"/>
      <w:marRight w:val="0"/>
      <w:marTop w:val="0"/>
      <w:marBottom w:val="0"/>
      <w:divBdr>
        <w:top w:val="none" w:sz="0" w:space="0" w:color="auto"/>
        <w:left w:val="none" w:sz="0" w:space="0" w:color="auto"/>
        <w:bottom w:val="none" w:sz="0" w:space="0" w:color="auto"/>
        <w:right w:val="none" w:sz="0" w:space="0" w:color="auto"/>
      </w:divBdr>
    </w:div>
    <w:div w:id="174274739">
      <w:bodyDiv w:val="1"/>
      <w:marLeft w:val="0"/>
      <w:marRight w:val="0"/>
      <w:marTop w:val="0"/>
      <w:marBottom w:val="0"/>
      <w:divBdr>
        <w:top w:val="none" w:sz="0" w:space="0" w:color="auto"/>
        <w:left w:val="none" w:sz="0" w:space="0" w:color="auto"/>
        <w:bottom w:val="none" w:sz="0" w:space="0" w:color="auto"/>
        <w:right w:val="none" w:sz="0" w:space="0" w:color="auto"/>
      </w:divBdr>
    </w:div>
    <w:div w:id="188493594">
      <w:bodyDiv w:val="1"/>
      <w:marLeft w:val="0"/>
      <w:marRight w:val="0"/>
      <w:marTop w:val="0"/>
      <w:marBottom w:val="0"/>
      <w:divBdr>
        <w:top w:val="none" w:sz="0" w:space="0" w:color="auto"/>
        <w:left w:val="none" w:sz="0" w:space="0" w:color="auto"/>
        <w:bottom w:val="none" w:sz="0" w:space="0" w:color="auto"/>
        <w:right w:val="none" w:sz="0" w:space="0" w:color="auto"/>
      </w:divBdr>
    </w:div>
    <w:div w:id="215164191">
      <w:bodyDiv w:val="1"/>
      <w:marLeft w:val="0"/>
      <w:marRight w:val="0"/>
      <w:marTop w:val="0"/>
      <w:marBottom w:val="0"/>
      <w:divBdr>
        <w:top w:val="none" w:sz="0" w:space="0" w:color="auto"/>
        <w:left w:val="none" w:sz="0" w:space="0" w:color="auto"/>
        <w:bottom w:val="none" w:sz="0" w:space="0" w:color="auto"/>
        <w:right w:val="none" w:sz="0" w:space="0" w:color="auto"/>
      </w:divBdr>
    </w:div>
    <w:div w:id="225802475">
      <w:bodyDiv w:val="1"/>
      <w:marLeft w:val="0"/>
      <w:marRight w:val="0"/>
      <w:marTop w:val="0"/>
      <w:marBottom w:val="0"/>
      <w:divBdr>
        <w:top w:val="none" w:sz="0" w:space="0" w:color="auto"/>
        <w:left w:val="none" w:sz="0" w:space="0" w:color="auto"/>
        <w:bottom w:val="none" w:sz="0" w:space="0" w:color="auto"/>
        <w:right w:val="none" w:sz="0" w:space="0" w:color="auto"/>
      </w:divBdr>
      <w:divsChild>
        <w:div w:id="1817917211">
          <w:marLeft w:val="-720"/>
          <w:marRight w:val="0"/>
          <w:marTop w:val="0"/>
          <w:marBottom w:val="0"/>
          <w:divBdr>
            <w:top w:val="none" w:sz="0" w:space="0" w:color="auto"/>
            <w:left w:val="none" w:sz="0" w:space="0" w:color="auto"/>
            <w:bottom w:val="none" w:sz="0" w:space="0" w:color="auto"/>
            <w:right w:val="none" w:sz="0" w:space="0" w:color="auto"/>
          </w:divBdr>
        </w:div>
      </w:divsChild>
    </w:div>
    <w:div w:id="283586008">
      <w:bodyDiv w:val="1"/>
      <w:marLeft w:val="0"/>
      <w:marRight w:val="0"/>
      <w:marTop w:val="0"/>
      <w:marBottom w:val="0"/>
      <w:divBdr>
        <w:top w:val="none" w:sz="0" w:space="0" w:color="auto"/>
        <w:left w:val="none" w:sz="0" w:space="0" w:color="auto"/>
        <w:bottom w:val="none" w:sz="0" w:space="0" w:color="auto"/>
        <w:right w:val="none" w:sz="0" w:space="0" w:color="auto"/>
      </w:divBdr>
    </w:div>
    <w:div w:id="286856893">
      <w:bodyDiv w:val="1"/>
      <w:marLeft w:val="0"/>
      <w:marRight w:val="0"/>
      <w:marTop w:val="0"/>
      <w:marBottom w:val="0"/>
      <w:divBdr>
        <w:top w:val="none" w:sz="0" w:space="0" w:color="auto"/>
        <w:left w:val="none" w:sz="0" w:space="0" w:color="auto"/>
        <w:bottom w:val="none" w:sz="0" w:space="0" w:color="auto"/>
        <w:right w:val="none" w:sz="0" w:space="0" w:color="auto"/>
      </w:divBdr>
    </w:div>
    <w:div w:id="287131731">
      <w:bodyDiv w:val="1"/>
      <w:marLeft w:val="0"/>
      <w:marRight w:val="0"/>
      <w:marTop w:val="0"/>
      <w:marBottom w:val="0"/>
      <w:divBdr>
        <w:top w:val="none" w:sz="0" w:space="0" w:color="auto"/>
        <w:left w:val="none" w:sz="0" w:space="0" w:color="auto"/>
        <w:bottom w:val="none" w:sz="0" w:space="0" w:color="auto"/>
        <w:right w:val="none" w:sz="0" w:space="0" w:color="auto"/>
      </w:divBdr>
    </w:div>
    <w:div w:id="304238204">
      <w:bodyDiv w:val="1"/>
      <w:marLeft w:val="0"/>
      <w:marRight w:val="0"/>
      <w:marTop w:val="0"/>
      <w:marBottom w:val="0"/>
      <w:divBdr>
        <w:top w:val="none" w:sz="0" w:space="0" w:color="auto"/>
        <w:left w:val="none" w:sz="0" w:space="0" w:color="auto"/>
        <w:bottom w:val="none" w:sz="0" w:space="0" w:color="auto"/>
        <w:right w:val="none" w:sz="0" w:space="0" w:color="auto"/>
      </w:divBdr>
      <w:divsChild>
        <w:div w:id="665548782">
          <w:marLeft w:val="-720"/>
          <w:marRight w:val="0"/>
          <w:marTop w:val="0"/>
          <w:marBottom w:val="0"/>
          <w:divBdr>
            <w:top w:val="none" w:sz="0" w:space="0" w:color="auto"/>
            <w:left w:val="none" w:sz="0" w:space="0" w:color="auto"/>
            <w:bottom w:val="none" w:sz="0" w:space="0" w:color="auto"/>
            <w:right w:val="none" w:sz="0" w:space="0" w:color="auto"/>
          </w:divBdr>
        </w:div>
      </w:divsChild>
    </w:div>
    <w:div w:id="305091493">
      <w:bodyDiv w:val="1"/>
      <w:marLeft w:val="0"/>
      <w:marRight w:val="0"/>
      <w:marTop w:val="0"/>
      <w:marBottom w:val="0"/>
      <w:divBdr>
        <w:top w:val="none" w:sz="0" w:space="0" w:color="auto"/>
        <w:left w:val="none" w:sz="0" w:space="0" w:color="auto"/>
        <w:bottom w:val="none" w:sz="0" w:space="0" w:color="auto"/>
        <w:right w:val="none" w:sz="0" w:space="0" w:color="auto"/>
      </w:divBdr>
      <w:divsChild>
        <w:div w:id="856652505">
          <w:marLeft w:val="-720"/>
          <w:marRight w:val="0"/>
          <w:marTop w:val="0"/>
          <w:marBottom w:val="0"/>
          <w:divBdr>
            <w:top w:val="none" w:sz="0" w:space="0" w:color="auto"/>
            <w:left w:val="none" w:sz="0" w:space="0" w:color="auto"/>
            <w:bottom w:val="none" w:sz="0" w:space="0" w:color="auto"/>
            <w:right w:val="none" w:sz="0" w:space="0" w:color="auto"/>
          </w:divBdr>
        </w:div>
      </w:divsChild>
    </w:div>
    <w:div w:id="400103509">
      <w:bodyDiv w:val="1"/>
      <w:marLeft w:val="0"/>
      <w:marRight w:val="0"/>
      <w:marTop w:val="0"/>
      <w:marBottom w:val="0"/>
      <w:divBdr>
        <w:top w:val="none" w:sz="0" w:space="0" w:color="auto"/>
        <w:left w:val="none" w:sz="0" w:space="0" w:color="auto"/>
        <w:bottom w:val="none" w:sz="0" w:space="0" w:color="auto"/>
        <w:right w:val="none" w:sz="0" w:space="0" w:color="auto"/>
      </w:divBdr>
    </w:div>
    <w:div w:id="420221536">
      <w:bodyDiv w:val="1"/>
      <w:marLeft w:val="0"/>
      <w:marRight w:val="0"/>
      <w:marTop w:val="0"/>
      <w:marBottom w:val="0"/>
      <w:divBdr>
        <w:top w:val="none" w:sz="0" w:space="0" w:color="auto"/>
        <w:left w:val="none" w:sz="0" w:space="0" w:color="auto"/>
        <w:bottom w:val="none" w:sz="0" w:space="0" w:color="auto"/>
        <w:right w:val="none" w:sz="0" w:space="0" w:color="auto"/>
      </w:divBdr>
    </w:div>
    <w:div w:id="422997456">
      <w:bodyDiv w:val="1"/>
      <w:marLeft w:val="0"/>
      <w:marRight w:val="0"/>
      <w:marTop w:val="0"/>
      <w:marBottom w:val="0"/>
      <w:divBdr>
        <w:top w:val="none" w:sz="0" w:space="0" w:color="auto"/>
        <w:left w:val="none" w:sz="0" w:space="0" w:color="auto"/>
        <w:bottom w:val="none" w:sz="0" w:space="0" w:color="auto"/>
        <w:right w:val="none" w:sz="0" w:space="0" w:color="auto"/>
      </w:divBdr>
    </w:div>
    <w:div w:id="440343600">
      <w:bodyDiv w:val="1"/>
      <w:marLeft w:val="0"/>
      <w:marRight w:val="0"/>
      <w:marTop w:val="0"/>
      <w:marBottom w:val="0"/>
      <w:divBdr>
        <w:top w:val="none" w:sz="0" w:space="0" w:color="auto"/>
        <w:left w:val="none" w:sz="0" w:space="0" w:color="auto"/>
        <w:bottom w:val="none" w:sz="0" w:space="0" w:color="auto"/>
        <w:right w:val="none" w:sz="0" w:space="0" w:color="auto"/>
      </w:divBdr>
      <w:divsChild>
        <w:div w:id="33502302">
          <w:marLeft w:val="-720"/>
          <w:marRight w:val="0"/>
          <w:marTop w:val="0"/>
          <w:marBottom w:val="0"/>
          <w:divBdr>
            <w:top w:val="none" w:sz="0" w:space="0" w:color="auto"/>
            <w:left w:val="none" w:sz="0" w:space="0" w:color="auto"/>
            <w:bottom w:val="none" w:sz="0" w:space="0" w:color="auto"/>
            <w:right w:val="none" w:sz="0" w:space="0" w:color="auto"/>
          </w:divBdr>
        </w:div>
      </w:divsChild>
    </w:div>
    <w:div w:id="485707041">
      <w:bodyDiv w:val="1"/>
      <w:marLeft w:val="0"/>
      <w:marRight w:val="0"/>
      <w:marTop w:val="0"/>
      <w:marBottom w:val="0"/>
      <w:divBdr>
        <w:top w:val="none" w:sz="0" w:space="0" w:color="auto"/>
        <w:left w:val="none" w:sz="0" w:space="0" w:color="auto"/>
        <w:bottom w:val="none" w:sz="0" w:space="0" w:color="auto"/>
        <w:right w:val="none" w:sz="0" w:space="0" w:color="auto"/>
      </w:divBdr>
    </w:div>
    <w:div w:id="495338926">
      <w:bodyDiv w:val="1"/>
      <w:marLeft w:val="0"/>
      <w:marRight w:val="0"/>
      <w:marTop w:val="0"/>
      <w:marBottom w:val="0"/>
      <w:divBdr>
        <w:top w:val="none" w:sz="0" w:space="0" w:color="auto"/>
        <w:left w:val="none" w:sz="0" w:space="0" w:color="auto"/>
        <w:bottom w:val="none" w:sz="0" w:space="0" w:color="auto"/>
        <w:right w:val="none" w:sz="0" w:space="0" w:color="auto"/>
      </w:divBdr>
      <w:divsChild>
        <w:div w:id="1272011116">
          <w:marLeft w:val="-720"/>
          <w:marRight w:val="0"/>
          <w:marTop w:val="0"/>
          <w:marBottom w:val="0"/>
          <w:divBdr>
            <w:top w:val="none" w:sz="0" w:space="0" w:color="auto"/>
            <w:left w:val="none" w:sz="0" w:space="0" w:color="auto"/>
            <w:bottom w:val="none" w:sz="0" w:space="0" w:color="auto"/>
            <w:right w:val="none" w:sz="0" w:space="0" w:color="auto"/>
          </w:divBdr>
        </w:div>
      </w:divsChild>
    </w:div>
    <w:div w:id="499661392">
      <w:bodyDiv w:val="1"/>
      <w:marLeft w:val="0"/>
      <w:marRight w:val="0"/>
      <w:marTop w:val="0"/>
      <w:marBottom w:val="0"/>
      <w:divBdr>
        <w:top w:val="none" w:sz="0" w:space="0" w:color="auto"/>
        <w:left w:val="none" w:sz="0" w:space="0" w:color="auto"/>
        <w:bottom w:val="none" w:sz="0" w:space="0" w:color="auto"/>
        <w:right w:val="none" w:sz="0" w:space="0" w:color="auto"/>
      </w:divBdr>
      <w:divsChild>
        <w:div w:id="856850141">
          <w:marLeft w:val="-72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2084139317">
          <w:marLeft w:val="-720"/>
          <w:marRight w:val="0"/>
          <w:marTop w:val="0"/>
          <w:marBottom w:val="0"/>
          <w:divBdr>
            <w:top w:val="none" w:sz="0" w:space="0" w:color="auto"/>
            <w:left w:val="none" w:sz="0" w:space="0" w:color="auto"/>
            <w:bottom w:val="none" w:sz="0" w:space="0" w:color="auto"/>
            <w:right w:val="none" w:sz="0" w:space="0" w:color="auto"/>
          </w:divBdr>
        </w:div>
      </w:divsChild>
    </w:div>
    <w:div w:id="581187725">
      <w:bodyDiv w:val="1"/>
      <w:marLeft w:val="0"/>
      <w:marRight w:val="0"/>
      <w:marTop w:val="0"/>
      <w:marBottom w:val="0"/>
      <w:divBdr>
        <w:top w:val="none" w:sz="0" w:space="0" w:color="auto"/>
        <w:left w:val="none" w:sz="0" w:space="0" w:color="auto"/>
        <w:bottom w:val="none" w:sz="0" w:space="0" w:color="auto"/>
        <w:right w:val="none" w:sz="0" w:space="0" w:color="auto"/>
      </w:divBdr>
    </w:div>
    <w:div w:id="600719251">
      <w:bodyDiv w:val="1"/>
      <w:marLeft w:val="0"/>
      <w:marRight w:val="0"/>
      <w:marTop w:val="0"/>
      <w:marBottom w:val="0"/>
      <w:divBdr>
        <w:top w:val="none" w:sz="0" w:space="0" w:color="auto"/>
        <w:left w:val="none" w:sz="0" w:space="0" w:color="auto"/>
        <w:bottom w:val="none" w:sz="0" w:space="0" w:color="auto"/>
        <w:right w:val="none" w:sz="0" w:space="0" w:color="auto"/>
      </w:divBdr>
    </w:div>
    <w:div w:id="602304768">
      <w:bodyDiv w:val="1"/>
      <w:marLeft w:val="0"/>
      <w:marRight w:val="0"/>
      <w:marTop w:val="0"/>
      <w:marBottom w:val="0"/>
      <w:divBdr>
        <w:top w:val="none" w:sz="0" w:space="0" w:color="auto"/>
        <w:left w:val="none" w:sz="0" w:space="0" w:color="auto"/>
        <w:bottom w:val="none" w:sz="0" w:space="0" w:color="auto"/>
        <w:right w:val="none" w:sz="0" w:space="0" w:color="auto"/>
      </w:divBdr>
    </w:div>
    <w:div w:id="627466763">
      <w:bodyDiv w:val="1"/>
      <w:marLeft w:val="0"/>
      <w:marRight w:val="0"/>
      <w:marTop w:val="0"/>
      <w:marBottom w:val="0"/>
      <w:divBdr>
        <w:top w:val="none" w:sz="0" w:space="0" w:color="auto"/>
        <w:left w:val="none" w:sz="0" w:space="0" w:color="auto"/>
        <w:bottom w:val="none" w:sz="0" w:space="0" w:color="auto"/>
        <w:right w:val="none" w:sz="0" w:space="0" w:color="auto"/>
      </w:divBdr>
      <w:divsChild>
        <w:div w:id="489685013">
          <w:marLeft w:val="0"/>
          <w:marRight w:val="0"/>
          <w:marTop w:val="0"/>
          <w:marBottom w:val="0"/>
          <w:divBdr>
            <w:top w:val="none" w:sz="0" w:space="0" w:color="auto"/>
            <w:left w:val="none" w:sz="0" w:space="0" w:color="auto"/>
            <w:bottom w:val="none" w:sz="0" w:space="0" w:color="auto"/>
            <w:right w:val="none" w:sz="0" w:space="0" w:color="auto"/>
          </w:divBdr>
          <w:divsChild>
            <w:div w:id="1390611628">
              <w:marLeft w:val="0"/>
              <w:marRight w:val="0"/>
              <w:marTop w:val="0"/>
              <w:marBottom w:val="0"/>
              <w:divBdr>
                <w:top w:val="none" w:sz="0" w:space="0" w:color="auto"/>
                <w:left w:val="none" w:sz="0" w:space="0" w:color="auto"/>
                <w:bottom w:val="none" w:sz="0" w:space="0" w:color="auto"/>
                <w:right w:val="none" w:sz="0" w:space="0" w:color="auto"/>
              </w:divBdr>
              <w:divsChild>
                <w:div w:id="1507597079">
                  <w:marLeft w:val="0"/>
                  <w:marRight w:val="0"/>
                  <w:marTop w:val="0"/>
                  <w:marBottom w:val="0"/>
                  <w:divBdr>
                    <w:top w:val="none" w:sz="0" w:space="0" w:color="auto"/>
                    <w:left w:val="none" w:sz="0" w:space="0" w:color="auto"/>
                    <w:bottom w:val="none" w:sz="0" w:space="0" w:color="auto"/>
                    <w:right w:val="none" w:sz="0" w:space="0" w:color="auto"/>
                  </w:divBdr>
                  <w:divsChild>
                    <w:div w:id="673067040">
                      <w:marLeft w:val="0"/>
                      <w:marRight w:val="0"/>
                      <w:marTop w:val="0"/>
                      <w:marBottom w:val="0"/>
                      <w:divBdr>
                        <w:top w:val="none" w:sz="0" w:space="0" w:color="auto"/>
                        <w:left w:val="none" w:sz="0" w:space="0" w:color="auto"/>
                        <w:bottom w:val="none" w:sz="0" w:space="0" w:color="auto"/>
                        <w:right w:val="none" w:sz="0" w:space="0" w:color="auto"/>
                      </w:divBdr>
                      <w:divsChild>
                        <w:div w:id="260144162">
                          <w:marLeft w:val="0"/>
                          <w:marRight w:val="0"/>
                          <w:marTop w:val="0"/>
                          <w:marBottom w:val="0"/>
                          <w:divBdr>
                            <w:top w:val="none" w:sz="0" w:space="0" w:color="auto"/>
                            <w:left w:val="none" w:sz="0" w:space="0" w:color="auto"/>
                            <w:bottom w:val="none" w:sz="0" w:space="0" w:color="auto"/>
                            <w:right w:val="none" w:sz="0" w:space="0" w:color="auto"/>
                          </w:divBdr>
                          <w:divsChild>
                            <w:div w:id="1234243752">
                              <w:marLeft w:val="0"/>
                              <w:marRight w:val="0"/>
                              <w:marTop w:val="0"/>
                              <w:marBottom w:val="0"/>
                              <w:divBdr>
                                <w:top w:val="none" w:sz="0" w:space="0" w:color="auto"/>
                                <w:left w:val="none" w:sz="0" w:space="0" w:color="auto"/>
                                <w:bottom w:val="none" w:sz="0" w:space="0" w:color="auto"/>
                                <w:right w:val="none" w:sz="0" w:space="0" w:color="auto"/>
                              </w:divBdr>
                              <w:divsChild>
                                <w:div w:id="483082099">
                                  <w:marLeft w:val="0"/>
                                  <w:marRight w:val="0"/>
                                  <w:marTop w:val="0"/>
                                  <w:marBottom w:val="0"/>
                                  <w:divBdr>
                                    <w:top w:val="none" w:sz="0" w:space="0" w:color="auto"/>
                                    <w:left w:val="none" w:sz="0" w:space="0" w:color="auto"/>
                                    <w:bottom w:val="none" w:sz="0" w:space="0" w:color="auto"/>
                                    <w:right w:val="none" w:sz="0" w:space="0" w:color="auto"/>
                                  </w:divBdr>
                                  <w:divsChild>
                                    <w:div w:id="4838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8049">
                          <w:marLeft w:val="0"/>
                          <w:marRight w:val="0"/>
                          <w:marTop w:val="0"/>
                          <w:marBottom w:val="0"/>
                          <w:divBdr>
                            <w:top w:val="none" w:sz="0" w:space="0" w:color="auto"/>
                            <w:left w:val="none" w:sz="0" w:space="0" w:color="auto"/>
                            <w:bottom w:val="none" w:sz="0" w:space="0" w:color="auto"/>
                            <w:right w:val="none" w:sz="0" w:space="0" w:color="auto"/>
                          </w:divBdr>
                          <w:divsChild>
                            <w:div w:id="223376771">
                              <w:marLeft w:val="0"/>
                              <w:marRight w:val="0"/>
                              <w:marTop w:val="0"/>
                              <w:marBottom w:val="0"/>
                              <w:divBdr>
                                <w:top w:val="none" w:sz="0" w:space="0" w:color="auto"/>
                                <w:left w:val="none" w:sz="0" w:space="0" w:color="auto"/>
                                <w:bottom w:val="none" w:sz="0" w:space="0" w:color="auto"/>
                                <w:right w:val="none" w:sz="0" w:space="0" w:color="auto"/>
                              </w:divBdr>
                              <w:divsChild>
                                <w:div w:id="1479154353">
                                  <w:marLeft w:val="0"/>
                                  <w:marRight w:val="0"/>
                                  <w:marTop w:val="0"/>
                                  <w:marBottom w:val="0"/>
                                  <w:divBdr>
                                    <w:top w:val="none" w:sz="0" w:space="0" w:color="auto"/>
                                    <w:left w:val="none" w:sz="0" w:space="0" w:color="auto"/>
                                    <w:bottom w:val="none" w:sz="0" w:space="0" w:color="auto"/>
                                    <w:right w:val="none" w:sz="0" w:space="0" w:color="auto"/>
                                  </w:divBdr>
                                  <w:divsChild>
                                    <w:div w:id="11531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822079">
      <w:bodyDiv w:val="1"/>
      <w:marLeft w:val="0"/>
      <w:marRight w:val="0"/>
      <w:marTop w:val="0"/>
      <w:marBottom w:val="0"/>
      <w:divBdr>
        <w:top w:val="none" w:sz="0" w:space="0" w:color="auto"/>
        <w:left w:val="none" w:sz="0" w:space="0" w:color="auto"/>
        <w:bottom w:val="none" w:sz="0" w:space="0" w:color="auto"/>
        <w:right w:val="none" w:sz="0" w:space="0" w:color="auto"/>
      </w:divBdr>
      <w:divsChild>
        <w:div w:id="352659136">
          <w:marLeft w:val="-720"/>
          <w:marRight w:val="0"/>
          <w:marTop w:val="0"/>
          <w:marBottom w:val="0"/>
          <w:divBdr>
            <w:top w:val="none" w:sz="0" w:space="0" w:color="auto"/>
            <w:left w:val="none" w:sz="0" w:space="0" w:color="auto"/>
            <w:bottom w:val="none" w:sz="0" w:space="0" w:color="auto"/>
            <w:right w:val="none" w:sz="0" w:space="0" w:color="auto"/>
          </w:divBdr>
        </w:div>
      </w:divsChild>
    </w:div>
    <w:div w:id="721102853">
      <w:bodyDiv w:val="1"/>
      <w:marLeft w:val="0"/>
      <w:marRight w:val="0"/>
      <w:marTop w:val="0"/>
      <w:marBottom w:val="0"/>
      <w:divBdr>
        <w:top w:val="none" w:sz="0" w:space="0" w:color="auto"/>
        <w:left w:val="none" w:sz="0" w:space="0" w:color="auto"/>
        <w:bottom w:val="none" w:sz="0" w:space="0" w:color="auto"/>
        <w:right w:val="none" w:sz="0" w:space="0" w:color="auto"/>
      </w:divBdr>
    </w:div>
    <w:div w:id="825780988">
      <w:bodyDiv w:val="1"/>
      <w:marLeft w:val="0"/>
      <w:marRight w:val="0"/>
      <w:marTop w:val="0"/>
      <w:marBottom w:val="0"/>
      <w:divBdr>
        <w:top w:val="none" w:sz="0" w:space="0" w:color="auto"/>
        <w:left w:val="none" w:sz="0" w:space="0" w:color="auto"/>
        <w:bottom w:val="none" w:sz="0" w:space="0" w:color="auto"/>
        <w:right w:val="none" w:sz="0" w:space="0" w:color="auto"/>
      </w:divBdr>
    </w:div>
    <w:div w:id="845285995">
      <w:bodyDiv w:val="1"/>
      <w:marLeft w:val="0"/>
      <w:marRight w:val="0"/>
      <w:marTop w:val="0"/>
      <w:marBottom w:val="0"/>
      <w:divBdr>
        <w:top w:val="none" w:sz="0" w:space="0" w:color="auto"/>
        <w:left w:val="none" w:sz="0" w:space="0" w:color="auto"/>
        <w:bottom w:val="none" w:sz="0" w:space="0" w:color="auto"/>
        <w:right w:val="none" w:sz="0" w:space="0" w:color="auto"/>
      </w:divBdr>
    </w:div>
    <w:div w:id="850337078">
      <w:bodyDiv w:val="1"/>
      <w:marLeft w:val="0"/>
      <w:marRight w:val="0"/>
      <w:marTop w:val="0"/>
      <w:marBottom w:val="0"/>
      <w:divBdr>
        <w:top w:val="none" w:sz="0" w:space="0" w:color="auto"/>
        <w:left w:val="none" w:sz="0" w:space="0" w:color="auto"/>
        <w:bottom w:val="none" w:sz="0" w:space="0" w:color="auto"/>
        <w:right w:val="none" w:sz="0" w:space="0" w:color="auto"/>
      </w:divBdr>
    </w:div>
    <w:div w:id="929393824">
      <w:bodyDiv w:val="1"/>
      <w:marLeft w:val="0"/>
      <w:marRight w:val="0"/>
      <w:marTop w:val="0"/>
      <w:marBottom w:val="0"/>
      <w:divBdr>
        <w:top w:val="none" w:sz="0" w:space="0" w:color="auto"/>
        <w:left w:val="none" w:sz="0" w:space="0" w:color="auto"/>
        <w:bottom w:val="none" w:sz="0" w:space="0" w:color="auto"/>
        <w:right w:val="none" w:sz="0" w:space="0" w:color="auto"/>
      </w:divBdr>
    </w:div>
    <w:div w:id="931668132">
      <w:bodyDiv w:val="1"/>
      <w:marLeft w:val="0"/>
      <w:marRight w:val="0"/>
      <w:marTop w:val="0"/>
      <w:marBottom w:val="0"/>
      <w:divBdr>
        <w:top w:val="none" w:sz="0" w:space="0" w:color="auto"/>
        <w:left w:val="none" w:sz="0" w:space="0" w:color="auto"/>
        <w:bottom w:val="none" w:sz="0" w:space="0" w:color="auto"/>
        <w:right w:val="none" w:sz="0" w:space="0" w:color="auto"/>
      </w:divBdr>
    </w:div>
    <w:div w:id="943072233">
      <w:bodyDiv w:val="1"/>
      <w:marLeft w:val="0"/>
      <w:marRight w:val="0"/>
      <w:marTop w:val="0"/>
      <w:marBottom w:val="0"/>
      <w:divBdr>
        <w:top w:val="none" w:sz="0" w:space="0" w:color="auto"/>
        <w:left w:val="none" w:sz="0" w:space="0" w:color="auto"/>
        <w:bottom w:val="none" w:sz="0" w:space="0" w:color="auto"/>
        <w:right w:val="none" w:sz="0" w:space="0" w:color="auto"/>
      </w:divBdr>
    </w:div>
    <w:div w:id="961308837">
      <w:bodyDiv w:val="1"/>
      <w:marLeft w:val="0"/>
      <w:marRight w:val="0"/>
      <w:marTop w:val="0"/>
      <w:marBottom w:val="0"/>
      <w:divBdr>
        <w:top w:val="none" w:sz="0" w:space="0" w:color="auto"/>
        <w:left w:val="none" w:sz="0" w:space="0" w:color="auto"/>
        <w:bottom w:val="none" w:sz="0" w:space="0" w:color="auto"/>
        <w:right w:val="none" w:sz="0" w:space="0" w:color="auto"/>
      </w:divBdr>
    </w:div>
    <w:div w:id="983510792">
      <w:bodyDiv w:val="1"/>
      <w:marLeft w:val="0"/>
      <w:marRight w:val="0"/>
      <w:marTop w:val="0"/>
      <w:marBottom w:val="0"/>
      <w:divBdr>
        <w:top w:val="none" w:sz="0" w:space="0" w:color="auto"/>
        <w:left w:val="none" w:sz="0" w:space="0" w:color="auto"/>
        <w:bottom w:val="none" w:sz="0" w:space="0" w:color="auto"/>
        <w:right w:val="none" w:sz="0" w:space="0" w:color="auto"/>
      </w:divBdr>
    </w:div>
    <w:div w:id="987053412">
      <w:bodyDiv w:val="1"/>
      <w:marLeft w:val="0"/>
      <w:marRight w:val="0"/>
      <w:marTop w:val="0"/>
      <w:marBottom w:val="0"/>
      <w:divBdr>
        <w:top w:val="none" w:sz="0" w:space="0" w:color="auto"/>
        <w:left w:val="none" w:sz="0" w:space="0" w:color="auto"/>
        <w:bottom w:val="none" w:sz="0" w:space="0" w:color="auto"/>
        <w:right w:val="none" w:sz="0" w:space="0" w:color="auto"/>
      </w:divBdr>
    </w:div>
    <w:div w:id="1031884407">
      <w:bodyDiv w:val="1"/>
      <w:marLeft w:val="0"/>
      <w:marRight w:val="0"/>
      <w:marTop w:val="0"/>
      <w:marBottom w:val="0"/>
      <w:divBdr>
        <w:top w:val="none" w:sz="0" w:space="0" w:color="auto"/>
        <w:left w:val="none" w:sz="0" w:space="0" w:color="auto"/>
        <w:bottom w:val="none" w:sz="0" w:space="0" w:color="auto"/>
        <w:right w:val="none" w:sz="0" w:space="0" w:color="auto"/>
      </w:divBdr>
      <w:divsChild>
        <w:div w:id="1164393281">
          <w:marLeft w:val="-720"/>
          <w:marRight w:val="0"/>
          <w:marTop w:val="0"/>
          <w:marBottom w:val="0"/>
          <w:divBdr>
            <w:top w:val="none" w:sz="0" w:space="0" w:color="auto"/>
            <w:left w:val="none" w:sz="0" w:space="0" w:color="auto"/>
            <w:bottom w:val="none" w:sz="0" w:space="0" w:color="auto"/>
            <w:right w:val="none" w:sz="0" w:space="0" w:color="auto"/>
          </w:divBdr>
        </w:div>
      </w:divsChild>
    </w:div>
    <w:div w:id="1052581742">
      <w:bodyDiv w:val="1"/>
      <w:marLeft w:val="0"/>
      <w:marRight w:val="0"/>
      <w:marTop w:val="0"/>
      <w:marBottom w:val="0"/>
      <w:divBdr>
        <w:top w:val="none" w:sz="0" w:space="0" w:color="auto"/>
        <w:left w:val="none" w:sz="0" w:space="0" w:color="auto"/>
        <w:bottom w:val="none" w:sz="0" w:space="0" w:color="auto"/>
        <w:right w:val="none" w:sz="0" w:space="0" w:color="auto"/>
      </w:divBdr>
      <w:divsChild>
        <w:div w:id="1158035475">
          <w:marLeft w:val="-720"/>
          <w:marRight w:val="0"/>
          <w:marTop w:val="0"/>
          <w:marBottom w:val="0"/>
          <w:divBdr>
            <w:top w:val="none" w:sz="0" w:space="0" w:color="auto"/>
            <w:left w:val="none" w:sz="0" w:space="0" w:color="auto"/>
            <w:bottom w:val="none" w:sz="0" w:space="0" w:color="auto"/>
            <w:right w:val="none" w:sz="0" w:space="0" w:color="auto"/>
          </w:divBdr>
        </w:div>
      </w:divsChild>
    </w:div>
    <w:div w:id="1101953370">
      <w:bodyDiv w:val="1"/>
      <w:marLeft w:val="0"/>
      <w:marRight w:val="0"/>
      <w:marTop w:val="0"/>
      <w:marBottom w:val="0"/>
      <w:divBdr>
        <w:top w:val="none" w:sz="0" w:space="0" w:color="auto"/>
        <w:left w:val="none" w:sz="0" w:space="0" w:color="auto"/>
        <w:bottom w:val="none" w:sz="0" w:space="0" w:color="auto"/>
        <w:right w:val="none" w:sz="0" w:space="0" w:color="auto"/>
      </w:divBdr>
    </w:div>
    <w:div w:id="1119684116">
      <w:bodyDiv w:val="1"/>
      <w:marLeft w:val="0"/>
      <w:marRight w:val="0"/>
      <w:marTop w:val="0"/>
      <w:marBottom w:val="0"/>
      <w:divBdr>
        <w:top w:val="none" w:sz="0" w:space="0" w:color="auto"/>
        <w:left w:val="none" w:sz="0" w:space="0" w:color="auto"/>
        <w:bottom w:val="none" w:sz="0" w:space="0" w:color="auto"/>
        <w:right w:val="none" w:sz="0" w:space="0" w:color="auto"/>
      </w:divBdr>
    </w:div>
    <w:div w:id="1149516150">
      <w:bodyDiv w:val="1"/>
      <w:marLeft w:val="0"/>
      <w:marRight w:val="0"/>
      <w:marTop w:val="0"/>
      <w:marBottom w:val="0"/>
      <w:divBdr>
        <w:top w:val="none" w:sz="0" w:space="0" w:color="auto"/>
        <w:left w:val="none" w:sz="0" w:space="0" w:color="auto"/>
        <w:bottom w:val="none" w:sz="0" w:space="0" w:color="auto"/>
        <w:right w:val="none" w:sz="0" w:space="0" w:color="auto"/>
      </w:divBdr>
    </w:div>
    <w:div w:id="1166746148">
      <w:bodyDiv w:val="1"/>
      <w:marLeft w:val="0"/>
      <w:marRight w:val="0"/>
      <w:marTop w:val="0"/>
      <w:marBottom w:val="0"/>
      <w:divBdr>
        <w:top w:val="none" w:sz="0" w:space="0" w:color="auto"/>
        <w:left w:val="none" w:sz="0" w:space="0" w:color="auto"/>
        <w:bottom w:val="none" w:sz="0" w:space="0" w:color="auto"/>
        <w:right w:val="none" w:sz="0" w:space="0" w:color="auto"/>
      </w:divBdr>
    </w:div>
    <w:div w:id="1167405148">
      <w:bodyDiv w:val="1"/>
      <w:marLeft w:val="0"/>
      <w:marRight w:val="0"/>
      <w:marTop w:val="0"/>
      <w:marBottom w:val="0"/>
      <w:divBdr>
        <w:top w:val="none" w:sz="0" w:space="0" w:color="auto"/>
        <w:left w:val="none" w:sz="0" w:space="0" w:color="auto"/>
        <w:bottom w:val="none" w:sz="0" w:space="0" w:color="auto"/>
        <w:right w:val="none" w:sz="0" w:space="0" w:color="auto"/>
      </w:divBdr>
    </w:div>
    <w:div w:id="1182937541">
      <w:bodyDiv w:val="1"/>
      <w:marLeft w:val="0"/>
      <w:marRight w:val="0"/>
      <w:marTop w:val="0"/>
      <w:marBottom w:val="0"/>
      <w:divBdr>
        <w:top w:val="none" w:sz="0" w:space="0" w:color="auto"/>
        <w:left w:val="none" w:sz="0" w:space="0" w:color="auto"/>
        <w:bottom w:val="none" w:sz="0" w:space="0" w:color="auto"/>
        <w:right w:val="none" w:sz="0" w:space="0" w:color="auto"/>
      </w:divBdr>
    </w:div>
    <w:div w:id="1222012065">
      <w:bodyDiv w:val="1"/>
      <w:marLeft w:val="0"/>
      <w:marRight w:val="0"/>
      <w:marTop w:val="0"/>
      <w:marBottom w:val="0"/>
      <w:divBdr>
        <w:top w:val="none" w:sz="0" w:space="0" w:color="auto"/>
        <w:left w:val="none" w:sz="0" w:space="0" w:color="auto"/>
        <w:bottom w:val="none" w:sz="0" w:space="0" w:color="auto"/>
        <w:right w:val="none" w:sz="0" w:space="0" w:color="auto"/>
      </w:divBdr>
      <w:divsChild>
        <w:div w:id="767893785">
          <w:marLeft w:val="-720"/>
          <w:marRight w:val="0"/>
          <w:marTop w:val="0"/>
          <w:marBottom w:val="0"/>
          <w:divBdr>
            <w:top w:val="none" w:sz="0" w:space="0" w:color="auto"/>
            <w:left w:val="none" w:sz="0" w:space="0" w:color="auto"/>
            <w:bottom w:val="none" w:sz="0" w:space="0" w:color="auto"/>
            <w:right w:val="none" w:sz="0" w:space="0" w:color="auto"/>
          </w:divBdr>
        </w:div>
      </w:divsChild>
    </w:div>
    <w:div w:id="1234971973">
      <w:bodyDiv w:val="1"/>
      <w:marLeft w:val="0"/>
      <w:marRight w:val="0"/>
      <w:marTop w:val="0"/>
      <w:marBottom w:val="0"/>
      <w:divBdr>
        <w:top w:val="none" w:sz="0" w:space="0" w:color="auto"/>
        <w:left w:val="none" w:sz="0" w:space="0" w:color="auto"/>
        <w:bottom w:val="none" w:sz="0" w:space="0" w:color="auto"/>
        <w:right w:val="none" w:sz="0" w:space="0" w:color="auto"/>
      </w:divBdr>
      <w:divsChild>
        <w:div w:id="1818447849">
          <w:marLeft w:val="-720"/>
          <w:marRight w:val="0"/>
          <w:marTop w:val="0"/>
          <w:marBottom w:val="0"/>
          <w:divBdr>
            <w:top w:val="none" w:sz="0" w:space="0" w:color="auto"/>
            <w:left w:val="none" w:sz="0" w:space="0" w:color="auto"/>
            <w:bottom w:val="none" w:sz="0" w:space="0" w:color="auto"/>
            <w:right w:val="none" w:sz="0" w:space="0" w:color="auto"/>
          </w:divBdr>
        </w:div>
      </w:divsChild>
    </w:div>
    <w:div w:id="1244031389">
      <w:bodyDiv w:val="1"/>
      <w:marLeft w:val="0"/>
      <w:marRight w:val="0"/>
      <w:marTop w:val="0"/>
      <w:marBottom w:val="0"/>
      <w:divBdr>
        <w:top w:val="none" w:sz="0" w:space="0" w:color="auto"/>
        <w:left w:val="none" w:sz="0" w:space="0" w:color="auto"/>
        <w:bottom w:val="none" w:sz="0" w:space="0" w:color="auto"/>
        <w:right w:val="none" w:sz="0" w:space="0" w:color="auto"/>
      </w:divBdr>
    </w:div>
    <w:div w:id="1246307143">
      <w:bodyDiv w:val="1"/>
      <w:marLeft w:val="0"/>
      <w:marRight w:val="0"/>
      <w:marTop w:val="0"/>
      <w:marBottom w:val="0"/>
      <w:divBdr>
        <w:top w:val="none" w:sz="0" w:space="0" w:color="auto"/>
        <w:left w:val="none" w:sz="0" w:space="0" w:color="auto"/>
        <w:bottom w:val="none" w:sz="0" w:space="0" w:color="auto"/>
        <w:right w:val="none" w:sz="0" w:space="0" w:color="auto"/>
      </w:divBdr>
    </w:div>
    <w:div w:id="1320616949">
      <w:bodyDiv w:val="1"/>
      <w:marLeft w:val="0"/>
      <w:marRight w:val="0"/>
      <w:marTop w:val="0"/>
      <w:marBottom w:val="0"/>
      <w:divBdr>
        <w:top w:val="none" w:sz="0" w:space="0" w:color="auto"/>
        <w:left w:val="none" w:sz="0" w:space="0" w:color="auto"/>
        <w:bottom w:val="none" w:sz="0" w:space="0" w:color="auto"/>
        <w:right w:val="none" w:sz="0" w:space="0" w:color="auto"/>
      </w:divBdr>
    </w:div>
    <w:div w:id="1337919434">
      <w:bodyDiv w:val="1"/>
      <w:marLeft w:val="0"/>
      <w:marRight w:val="0"/>
      <w:marTop w:val="0"/>
      <w:marBottom w:val="0"/>
      <w:divBdr>
        <w:top w:val="none" w:sz="0" w:space="0" w:color="auto"/>
        <w:left w:val="none" w:sz="0" w:space="0" w:color="auto"/>
        <w:bottom w:val="none" w:sz="0" w:space="0" w:color="auto"/>
        <w:right w:val="none" w:sz="0" w:space="0" w:color="auto"/>
      </w:divBdr>
      <w:divsChild>
        <w:div w:id="959065353">
          <w:marLeft w:val="-720"/>
          <w:marRight w:val="0"/>
          <w:marTop w:val="0"/>
          <w:marBottom w:val="0"/>
          <w:divBdr>
            <w:top w:val="none" w:sz="0" w:space="0" w:color="auto"/>
            <w:left w:val="none" w:sz="0" w:space="0" w:color="auto"/>
            <w:bottom w:val="none" w:sz="0" w:space="0" w:color="auto"/>
            <w:right w:val="none" w:sz="0" w:space="0" w:color="auto"/>
          </w:divBdr>
        </w:div>
      </w:divsChild>
    </w:div>
    <w:div w:id="1415930909">
      <w:bodyDiv w:val="1"/>
      <w:marLeft w:val="0"/>
      <w:marRight w:val="0"/>
      <w:marTop w:val="0"/>
      <w:marBottom w:val="0"/>
      <w:divBdr>
        <w:top w:val="none" w:sz="0" w:space="0" w:color="auto"/>
        <w:left w:val="none" w:sz="0" w:space="0" w:color="auto"/>
        <w:bottom w:val="none" w:sz="0" w:space="0" w:color="auto"/>
        <w:right w:val="none" w:sz="0" w:space="0" w:color="auto"/>
      </w:divBdr>
    </w:div>
    <w:div w:id="1433477421">
      <w:bodyDiv w:val="1"/>
      <w:marLeft w:val="0"/>
      <w:marRight w:val="0"/>
      <w:marTop w:val="0"/>
      <w:marBottom w:val="0"/>
      <w:divBdr>
        <w:top w:val="none" w:sz="0" w:space="0" w:color="auto"/>
        <w:left w:val="none" w:sz="0" w:space="0" w:color="auto"/>
        <w:bottom w:val="none" w:sz="0" w:space="0" w:color="auto"/>
        <w:right w:val="none" w:sz="0" w:space="0" w:color="auto"/>
      </w:divBdr>
    </w:div>
    <w:div w:id="1482192430">
      <w:bodyDiv w:val="1"/>
      <w:marLeft w:val="0"/>
      <w:marRight w:val="0"/>
      <w:marTop w:val="0"/>
      <w:marBottom w:val="0"/>
      <w:divBdr>
        <w:top w:val="none" w:sz="0" w:space="0" w:color="auto"/>
        <w:left w:val="none" w:sz="0" w:space="0" w:color="auto"/>
        <w:bottom w:val="none" w:sz="0" w:space="0" w:color="auto"/>
        <w:right w:val="none" w:sz="0" w:space="0" w:color="auto"/>
      </w:divBdr>
    </w:div>
    <w:div w:id="1482887535">
      <w:bodyDiv w:val="1"/>
      <w:marLeft w:val="0"/>
      <w:marRight w:val="0"/>
      <w:marTop w:val="0"/>
      <w:marBottom w:val="0"/>
      <w:divBdr>
        <w:top w:val="none" w:sz="0" w:space="0" w:color="auto"/>
        <w:left w:val="none" w:sz="0" w:space="0" w:color="auto"/>
        <w:bottom w:val="none" w:sz="0" w:space="0" w:color="auto"/>
        <w:right w:val="none" w:sz="0" w:space="0" w:color="auto"/>
      </w:divBdr>
      <w:divsChild>
        <w:div w:id="1179461847">
          <w:marLeft w:val="-720"/>
          <w:marRight w:val="0"/>
          <w:marTop w:val="0"/>
          <w:marBottom w:val="0"/>
          <w:divBdr>
            <w:top w:val="none" w:sz="0" w:space="0" w:color="auto"/>
            <w:left w:val="none" w:sz="0" w:space="0" w:color="auto"/>
            <w:bottom w:val="none" w:sz="0" w:space="0" w:color="auto"/>
            <w:right w:val="none" w:sz="0" w:space="0" w:color="auto"/>
          </w:divBdr>
        </w:div>
      </w:divsChild>
    </w:div>
    <w:div w:id="1546134787">
      <w:bodyDiv w:val="1"/>
      <w:marLeft w:val="0"/>
      <w:marRight w:val="0"/>
      <w:marTop w:val="0"/>
      <w:marBottom w:val="0"/>
      <w:divBdr>
        <w:top w:val="none" w:sz="0" w:space="0" w:color="auto"/>
        <w:left w:val="none" w:sz="0" w:space="0" w:color="auto"/>
        <w:bottom w:val="none" w:sz="0" w:space="0" w:color="auto"/>
        <w:right w:val="none" w:sz="0" w:space="0" w:color="auto"/>
      </w:divBdr>
      <w:divsChild>
        <w:div w:id="1354915045">
          <w:marLeft w:val="-720"/>
          <w:marRight w:val="0"/>
          <w:marTop w:val="0"/>
          <w:marBottom w:val="0"/>
          <w:divBdr>
            <w:top w:val="none" w:sz="0" w:space="0" w:color="auto"/>
            <w:left w:val="none" w:sz="0" w:space="0" w:color="auto"/>
            <w:bottom w:val="none" w:sz="0" w:space="0" w:color="auto"/>
            <w:right w:val="none" w:sz="0" w:space="0" w:color="auto"/>
          </w:divBdr>
        </w:div>
      </w:divsChild>
    </w:div>
    <w:div w:id="1672753901">
      <w:bodyDiv w:val="1"/>
      <w:marLeft w:val="0"/>
      <w:marRight w:val="0"/>
      <w:marTop w:val="0"/>
      <w:marBottom w:val="0"/>
      <w:divBdr>
        <w:top w:val="none" w:sz="0" w:space="0" w:color="auto"/>
        <w:left w:val="none" w:sz="0" w:space="0" w:color="auto"/>
        <w:bottom w:val="none" w:sz="0" w:space="0" w:color="auto"/>
        <w:right w:val="none" w:sz="0" w:space="0" w:color="auto"/>
      </w:divBdr>
      <w:divsChild>
        <w:div w:id="560601990">
          <w:marLeft w:val="-720"/>
          <w:marRight w:val="0"/>
          <w:marTop w:val="0"/>
          <w:marBottom w:val="0"/>
          <w:divBdr>
            <w:top w:val="none" w:sz="0" w:space="0" w:color="auto"/>
            <w:left w:val="none" w:sz="0" w:space="0" w:color="auto"/>
            <w:bottom w:val="none" w:sz="0" w:space="0" w:color="auto"/>
            <w:right w:val="none" w:sz="0" w:space="0" w:color="auto"/>
          </w:divBdr>
        </w:div>
      </w:divsChild>
    </w:div>
    <w:div w:id="1692295854">
      <w:bodyDiv w:val="1"/>
      <w:marLeft w:val="0"/>
      <w:marRight w:val="0"/>
      <w:marTop w:val="0"/>
      <w:marBottom w:val="0"/>
      <w:divBdr>
        <w:top w:val="none" w:sz="0" w:space="0" w:color="auto"/>
        <w:left w:val="none" w:sz="0" w:space="0" w:color="auto"/>
        <w:bottom w:val="none" w:sz="0" w:space="0" w:color="auto"/>
        <w:right w:val="none" w:sz="0" w:space="0" w:color="auto"/>
      </w:divBdr>
      <w:divsChild>
        <w:div w:id="485098142">
          <w:marLeft w:val="-720"/>
          <w:marRight w:val="0"/>
          <w:marTop w:val="0"/>
          <w:marBottom w:val="0"/>
          <w:divBdr>
            <w:top w:val="none" w:sz="0" w:space="0" w:color="auto"/>
            <w:left w:val="none" w:sz="0" w:space="0" w:color="auto"/>
            <w:bottom w:val="none" w:sz="0" w:space="0" w:color="auto"/>
            <w:right w:val="none" w:sz="0" w:space="0" w:color="auto"/>
          </w:divBdr>
        </w:div>
      </w:divsChild>
    </w:div>
    <w:div w:id="1720980073">
      <w:bodyDiv w:val="1"/>
      <w:marLeft w:val="0"/>
      <w:marRight w:val="0"/>
      <w:marTop w:val="0"/>
      <w:marBottom w:val="0"/>
      <w:divBdr>
        <w:top w:val="none" w:sz="0" w:space="0" w:color="auto"/>
        <w:left w:val="none" w:sz="0" w:space="0" w:color="auto"/>
        <w:bottom w:val="none" w:sz="0" w:space="0" w:color="auto"/>
        <w:right w:val="none" w:sz="0" w:space="0" w:color="auto"/>
      </w:divBdr>
      <w:divsChild>
        <w:div w:id="1592161431">
          <w:marLeft w:val="-720"/>
          <w:marRight w:val="0"/>
          <w:marTop w:val="0"/>
          <w:marBottom w:val="0"/>
          <w:divBdr>
            <w:top w:val="none" w:sz="0" w:space="0" w:color="auto"/>
            <w:left w:val="none" w:sz="0" w:space="0" w:color="auto"/>
            <w:bottom w:val="none" w:sz="0" w:space="0" w:color="auto"/>
            <w:right w:val="none" w:sz="0" w:space="0" w:color="auto"/>
          </w:divBdr>
        </w:div>
      </w:divsChild>
    </w:div>
    <w:div w:id="1739129932">
      <w:bodyDiv w:val="1"/>
      <w:marLeft w:val="0"/>
      <w:marRight w:val="0"/>
      <w:marTop w:val="0"/>
      <w:marBottom w:val="0"/>
      <w:divBdr>
        <w:top w:val="none" w:sz="0" w:space="0" w:color="auto"/>
        <w:left w:val="none" w:sz="0" w:space="0" w:color="auto"/>
        <w:bottom w:val="none" w:sz="0" w:space="0" w:color="auto"/>
        <w:right w:val="none" w:sz="0" w:space="0" w:color="auto"/>
      </w:divBdr>
      <w:divsChild>
        <w:div w:id="1916282648">
          <w:marLeft w:val="-720"/>
          <w:marRight w:val="0"/>
          <w:marTop w:val="0"/>
          <w:marBottom w:val="0"/>
          <w:divBdr>
            <w:top w:val="none" w:sz="0" w:space="0" w:color="auto"/>
            <w:left w:val="none" w:sz="0" w:space="0" w:color="auto"/>
            <w:bottom w:val="none" w:sz="0" w:space="0" w:color="auto"/>
            <w:right w:val="none" w:sz="0" w:space="0" w:color="auto"/>
          </w:divBdr>
        </w:div>
      </w:divsChild>
    </w:div>
    <w:div w:id="1756438309">
      <w:bodyDiv w:val="1"/>
      <w:marLeft w:val="0"/>
      <w:marRight w:val="0"/>
      <w:marTop w:val="0"/>
      <w:marBottom w:val="0"/>
      <w:divBdr>
        <w:top w:val="none" w:sz="0" w:space="0" w:color="auto"/>
        <w:left w:val="none" w:sz="0" w:space="0" w:color="auto"/>
        <w:bottom w:val="none" w:sz="0" w:space="0" w:color="auto"/>
        <w:right w:val="none" w:sz="0" w:space="0" w:color="auto"/>
      </w:divBdr>
    </w:div>
    <w:div w:id="1771047125">
      <w:bodyDiv w:val="1"/>
      <w:marLeft w:val="0"/>
      <w:marRight w:val="0"/>
      <w:marTop w:val="0"/>
      <w:marBottom w:val="0"/>
      <w:divBdr>
        <w:top w:val="none" w:sz="0" w:space="0" w:color="auto"/>
        <w:left w:val="none" w:sz="0" w:space="0" w:color="auto"/>
        <w:bottom w:val="none" w:sz="0" w:space="0" w:color="auto"/>
        <w:right w:val="none" w:sz="0" w:space="0" w:color="auto"/>
      </w:divBdr>
    </w:div>
    <w:div w:id="1778717481">
      <w:bodyDiv w:val="1"/>
      <w:marLeft w:val="0"/>
      <w:marRight w:val="0"/>
      <w:marTop w:val="0"/>
      <w:marBottom w:val="0"/>
      <w:divBdr>
        <w:top w:val="none" w:sz="0" w:space="0" w:color="auto"/>
        <w:left w:val="none" w:sz="0" w:space="0" w:color="auto"/>
        <w:bottom w:val="none" w:sz="0" w:space="0" w:color="auto"/>
        <w:right w:val="none" w:sz="0" w:space="0" w:color="auto"/>
      </w:divBdr>
      <w:divsChild>
        <w:div w:id="564920670">
          <w:marLeft w:val="-720"/>
          <w:marRight w:val="0"/>
          <w:marTop w:val="0"/>
          <w:marBottom w:val="0"/>
          <w:divBdr>
            <w:top w:val="none" w:sz="0" w:space="0" w:color="auto"/>
            <w:left w:val="none" w:sz="0" w:space="0" w:color="auto"/>
            <w:bottom w:val="none" w:sz="0" w:space="0" w:color="auto"/>
            <w:right w:val="none" w:sz="0" w:space="0" w:color="auto"/>
          </w:divBdr>
        </w:div>
      </w:divsChild>
    </w:div>
    <w:div w:id="1798521367">
      <w:bodyDiv w:val="1"/>
      <w:marLeft w:val="0"/>
      <w:marRight w:val="0"/>
      <w:marTop w:val="0"/>
      <w:marBottom w:val="0"/>
      <w:divBdr>
        <w:top w:val="none" w:sz="0" w:space="0" w:color="auto"/>
        <w:left w:val="none" w:sz="0" w:space="0" w:color="auto"/>
        <w:bottom w:val="none" w:sz="0" w:space="0" w:color="auto"/>
        <w:right w:val="none" w:sz="0" w:space="0" w:color="auto"/>
      </w:divBdr>
    </w:div>
    <w:div w:id="1808039786">
      <w:bodyDiv w:val="1"/>
      <w:marLeft w:val="0"/>
      <w:marRight w:val="0"/>
      <w:marTop w:val="0"/>
      <w:marBottom w:val="0"/>
      <w:divBdr>
        <w:top w:val="none" w:sz="0" w:space="0" w:color="auto"/>
        <w:left w:val="none" w:sz="0" w:space="0" w:color="auto"/>
        <w:bottom w:val="none" w:sz="0" w:space="0" w:color="auto"/>
        <w:right w:val="none" w:sz="0" w:space="0" w:color="auto"/>
      </w:divBdr>
    </w:div>
    <w:div w:id="1827668422">
      <w:bodyDiv w:val="1"/>
      <w:marLeft w:val="0"/>
      <w:marRight w:val="0"/>
      <w:marTop w:val="0"/>
      <w:marBottom w:val="0"/>
      <w:divBdr>
        <w:top w:val="none" w:sz="0" w:space="0" w:color="auto"/>
        <w:left w:val="none" w:sz="0" w:space="0" w:color="auto"/>
        <w:bottom w:val="none" w:sz="0" w:space="0" w:color="auto"/>
        <w:right w:val="none" w:sz="0" w:space="0" w:color="auto"/>
      </w:divBdr>
    </w:div>
    <w:div w:id="1832871469">
      <w:bodyDiv w:val="1"/>
      <w:marLeft w:val="0"/>
      <w:marRight w:val="0"/>
      <w:marTop w:val="0"/>
      <w:marBottom w:val="0"/>
      <w:divBdr>
        <w:top w:val="none" w:sz="0" w:space="0" w:color="auto"/>
        <w:left w:val="none" w:sz="0" w:space="0" w:color="auto"/>
        <w:bottom w:val="none" w:sz="0" w:space="0" w:color="auto"/>
        <w:right w:val="none" w:sz="0" w:space="0" w:color="auto"/>
      </w:divBdr>
    </w:div>
    <w:div w:id="1837919103">
      <w:bodyDiv w:val="1"/>
      <w:marLeft w:val="0"/>
      <w:marRight w:val="0"/>
      <w:marTop w:val="0"/>
      <w:marBottom w:val="0"/>
      <w:divBdr>
        <w:top w:val="none" w:sz="0" w:space="0" w:color="auto"/>
        <w:left w:val="none" w:sz="0" w:space="0" w:color="auto"/>
        <w:bottom w:val="none" w:sz="0" w:space="0" w:color="auto"/>
        <w:right w:val="none" w:sz="0" w:space="0" w:color="auto"/>
      </w:divBdr>
      <w:divsChild>
        <w:div w:id="2143500908">
          <w:marLeft w:val="-720"/>
          <w:marRight w:val="0"/>
          <w:marTop w:val="0"/>
          <w:marBottom w:val="0"/>
          <w:divBdr>
            <w:top w:val="none" w:sz="0" w:space="0" w:color="auto"/>
            <w:left w:val="none" w:sz="0" w:space="0" w:color="auto"/>
            <w:bottom w:val="none" w:sz="0" w:space="0" w:color="auto"/>
            <w:right w:val="none" w:sz="0" w:space="0" w:color="auto"/>
          </w:divBdr>
        </w:div>
      </w:divsChild>
    </w:div>
    <w:div w:id="1907909138">
      <w:bodyDiv w:val="1"/>
      <w:marLeft w:val="0"/>
      <w:marRight w:val="0"/>
      <w:marTop w:val="0"/>
      <w:marBottom w:val="0"/>
      <w:divBdr>
        <w:top w:val="none" w:sz="0" w:space="0" w:color="auto"/>
        <w:left w:val="none" w:sz="0" w:space="0" w:color="auto"/>
        <w:bottom w:val="none" w:sz="0" w:space="0" w:color="auto"/>
        <w:right w:val="none" w:sz="0" w:space="0" w:color="auto"/>
      </w:divBdr>
      <w:divsChild>
        <w:div w:id="943655473">
          <w:marLeft w:val="-720"/>
          <w:marRight w:val="0"/>
          <w:marTop w:val="0"/>
          <w:marBottom w:val="0"/>
          <w:divBdr>
            <w:top w:val="none" w:sz="0" w:space="0" w:color="auto"/>
            <w:left w:val="none" w:sz="0" w:space="0" w:color="auto"/>
            <w:bottom w:val="none" w:sz="0" w:space="0" w:color="auto"/>
            <w:right w:val="none" w:sz="0" w:space="0" w:color="auto"/>
          </w:divBdr>
        </w:div>
      </w:divsChild>
    </w:div>
    <w:div w:id="1989819865">
      <w:bodyDiv w:val="1"/>
      <w:marLeft w:val="0"/>
      <w:marRight w:val="0"/>
      <w:marTop w:val="0"/>
      <w:marBottom w:val="0"/>
      <w:divBdr>
        <w:top w:val="none" w:sz="0" w:space="0" w:color="auto"/>
        <w:left w:val="none" w:sz="0" w:space="0" w:color="auto"/>
        <w:bottom w:val="none" w:sz="0" w:space="0" w:color="auto"/>
        <w:right w:val="none" w:sz="0" w:space="0" w:color="auto"/>
      </w:divBdr>
      <w:divsChild>
        <w:div w:id="2059010365">
          <w:marLeft w:val="-720"/>
          <w:marRight w:val="0"/>
          <w:marTop w:val="0"/>
          <w:marBottom w:val="0"/>
          <w:divBdr>
            <w:top w:val="none" w:sz="0" w:space="0" w:color="auto"/>
            <w:left w:val="none" w:sz="0" w:space="0" w:color="auto"/>
            <w:bottom w:val="none" w:sz="0" w:space="0" w:color="auto"/>
            <w:right w:val="none" w:sz="0" w:space="0" w:color="auto"/>
          </w:divBdr>
        </w:div>
      </w:divsChild>
    </w:div>
    <w:div w:id="2083217295">
      <w:bodyDiv w:val="1"/>
      <w:marLeft w:val="0"/>
      <w:marRight w:val="0"/>
      <w:marTop w:val="0"/>
      <w:marBottom w:val="0"/>
      <w:divBdr>
        <w:top w:val="none" w:sz="0" w:space="0" w:color="auto"/>
        <w:left w:val="none" w:sz="0" w:space="0" w:color="auto"/>
        <w:bottom w:val="none" w:sz="0" w:space="0" w:color="auto"/>
        <w:right w:val="none" w:sz="0" w:space="0" w:color="auto"/>
      </w:divBdr>
    </w:div>
    <w:div w:id="2093695783">
      <w:bodyDiv w:val="1"/>
      <w:marLeft w:val="0"/>
      <w:marRight w:val="0"/>
      <w:marTop w:val="0"/>
      <w:marBottom w:val="0"/>
      <w:divBdr>
        <w:top w:val="none" w:sz="0" w:space="0" w:color="auto"/>
        <w:left w:val="none" w:sz="0" w:space="0" w:color="auto"/>
        <w:bottom w:val="none" w:sz="0" w:space="0" w:color="auto"/>
        <w:right w:val="none" w:sz="0" w:space="0" w:color="auto"/>
      </w:divBdr>
      <w:divsChild>
        <w:div w:id="1813864368">
          <w:marLeft w:val="-720"/>
          <w:marRight w:val="0"/>
          <w:marTop w:val="0"/>
          <w:marBottom w:val="0"/>
          <w:divBdr>
            <w:top w:val="none" w:sz="0" w:space="0" w:color="auto"/>
            <w:left w:val="none" w:sz="0" w:space="0" w:color="auto"/>
            <w:bottom w:val="none" w:sz="0" w:space="0" w:color="auto"/>
            <w:right w:val="none" w:sz="0" w:space="0" w:color="auto"/>
          </w:divBdr>
        </w:div>
      </w:divsChild>
    </w:div>
    <w:div w:id="2099212042">
      <w:bodyDiv w:val="1"/>
      <w:marLeft w:val="0"/>
      <w:marRight w:val="0"/>
      <w:marTop w:val="0"/>
      <w:marBottom w:val="0"/>
      <w:divBdr>
        <w:top w:val="none" w:sz="0" w:space="0" w:color="auto"/>
        <w:left w:val="none" w:sz="0" w:space="0" w:color="auto"/>
        <w:bottom w:val="none" w:sz="0" w:space="0" w:color="auto"/>
        <w:right w:val="none" w:sz="0" w:space="0" w:color="auto"/>
      </w:divBdr>
    </w:div>
    <w:div w:id="2099401162">
      <w:bodyDiv w:val="1"/>
      <w:marLeft w:val="0"/>
      <w:marRight w:val="0"/>
      <w:marTop w:val="0"/>
      <w:marBottom w:val="0"/>
      <w:divBdr>
        <w:top w:val="none" w:sz="0" w:space="0" w:color="auto"/>
        <w:left w:val="none" w:sz="0" w:space="0" w:color="auto"/>
        <w:bottom w:val="none" w:sz="0" w:space="0" w:color="auto"/>
        <w:right w:val="none" w:sz="0" w:space="0" w:color="auto"/>
      </w:divBdr>
    </w:div>
    <w:div w:id="2101020427">
      <w:bodyDiv w:val="1"/>
      <w:marLeft w:val="0"/>
      <w:marRight w:val="0"/>
      <w:marTop w:val="0"/>
      <w:marBottom w:val="0"/>
      <w:divBdr>
        <w:top w:val="none" w:sz="0" w:space="0" w:color="auto"/>
        <w:left w:val="none" w:sz="0" w:space="0" w:color="auto"/>
        <w:bottom w:val="none" w:sz="0" w:space="0" w:color="auto"/>
        <w:right w:val="none" w:sz="0" w:space="0" w:color="auto"/>
      </w:divBdr>
      <w:divsChild>
        <w:div w:id="2100439276">
          <w:marLeft w:val="-720"/>
          <w:marRight w:val="0"/>
          <w:marTop w:val="0"/>
          <w:marBottom w:val="0"/>
          <w:divBdr>
            <w:top w:val="none" w:sz="0" w:space="0" w:color="auto"/>
            <w:left w:val="none" w:sz="0" w:space="0" w:color="auto"/>
            <w:bottom w:val="none" w:sz="0" w:space="0" w:color="auto"/>
            <w:right w:val="none" w:sz="0" w:space="0" w:color="auto"/>
          </w:divBdr>
        </w:div>
      </w:divsChild>
    </w:div>
    <w:div w:id="21077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1C34-8C5F-4E11-BADF-DFBA83E6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84</Pages>
  <Words>24092</Words>
  <Characters>137326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Jovanovska</dc:creator>
  <cp:keywords/>
  <dc:description/>
  <cp:lastModifiedBy>Word User</cp:lastModifiedBy>
  <cp:revision>13</cp:revision>
  <dcterms:created xsi:type="dcterms:W3CDTF">2025-03-06T06:57:00Z</dcterms:created>
  <dcterms:modified xsi:type="dcterms:W3CDTF">2025-06-23T05:11:00Z</dcterms:modified>
</cp:coreProperties>
</file>