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F56E" w14:textId="0D78B943" w:rsidR="002D1B7D" w:rsidRPr="003E1F48" w:rsidRDefault="00A1042F" w:rsidP="00A1042F">
      <w:pPr>
        <w:spacing w:line="360" w:lineRule="auto"/>
        <w:jc w:val="center"/>
        <w:rPr>
          <w:rFonts w:ascii="Times New Roman" w:hAnsi="Times New Roman" w:cs="Times New Roman"/>
          <w:sz w:val="24"/>
          <w:szCs w:val="24"/>
        </w:rPr>
      </w:pPr>
      <w:r w:rsidRPr="003E1F48">
        <w:rPr>
          <w:rFonts w:ascii="Times New Roman" w:hAnsi="Times New Roman" w:cs="Times New Roman"/>
          <w:sz w:val="24"/>
          <w:szCs w:val="24"/>
        </w:rPr>
        <w:t>Постпандемичният пазар на труда и икономическите детерминанти на младежката трудова неактивност: сравнителен анализ на България, Хърватска и Нидерландия (2020–2024)</w:t>
      </w:r>
    </w:p>
    <w:p w14:paraId="0DFD8C0D" w14:textId="52F276CF" w:rsidR="00A1042F" w:rsidRPr="003E1F48" w:rsidRDefault="00A1042F" w:rsidP="003B1ACC">
      <w:pPr>
        <w:spacing w:line="240" w:lineRule="auto"/>
        <w:rPr>
          <w:rFonts w:ascii="Times New Roman" w:hAnsi="Times New Roman" w:cs="Times New Roman"/>
          <w:sz w:val="24"/>
          <w:szCs w:val="24"/>
        </w:rPr>
      </w:pPr>
      <w:r w:rsidRPr="003E1F48">
        <w:rPr>
          <w:rFonts w:ascii="Times New Roman" w:hAnsi="Times New Roman" w:cs="Times New Roman"/>
          <w:sz w:val="24"/>
          <w:szCs w:val="24"/>
        </w:rPr>
        <w:br w:type="page"/>
      </w:r>
    </w:p>
    <w:p w14:paraId="5A0C5480" w14:textId="3392B544" w:rsidR="00D26F56" w:rsidRDefault="00D26F56" w:rsidP="003B1ACC">
      <w:pPr>
        <w:spacing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Съдържание</w:t>
      </w:r>
    </w:p>
    <w:p w14:paraId="2A8D62B0" w14:textId="6E718AE6" w:rsidR="00D26F56" w:rsidRDefault="00D26F56"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Увод</w:t>
      </w:r>
      <w:r w:rsidR="00DE5240">
        <w:rPr>
          <w:rFonts w:ascii="Times New Roman" w:hAnsi="Times New Roman" w:cs="Times New Roman"/>
          <w:b/>
          <w:bCs/>
          <w:sz w:val="24"/>
          <w:szCs w:val="24"/>
        </w:rPr>
        <w:t>.....................................................................................................................................3</w:t>
      </w:r>
    </w:p>
    <w:p w14:paraId="0BC8C35E" w14:textId="147E263E" w:rsidR="00D26F56" w:rsidRPr="00D26F56" w:rsidRDefault="00D26F56" w:rsidP="003B1ACC">
      <w:pPr>
        <w:spacing w:line="240" w:lineRule="auto"/>
        <w:ind w:firstLine="708"/>
        <w:jc w:val="both"/>
        <w:rPr>
          <w:rFonts w:ascii="Times New Roman" w:hAnsi="Times New Roman" w:cs="Times New Roman"/>
          <w:b/>
          <w:bCs/>
          <w:sz w:val="24"/>
          <w:szCs w:val="24"/>
        </w:rPr>
      </w:pPr>
      <w:r w:rsidRPr="00D26F56">
        <w:rPr>
          <w:rFonts w:ascii="Times New Roman" w:hAnsi="Times New Roman" w:cs="Times New Roman"/>
          <w:b/>
          <w:bCs/>
          <w:sz w:val="24"/>
          <w:szCs w:val="24"/>
        </w:rPr>
        <w:t>Първа глава. Теоретични аспекти на младежката трудова неактивност в постпандемичния пазар на труда</w:t>
      </w:r>
      <w:r w:rsidR="00DE5240">
        <w:rPr>
          <w:rFonts w:ascii="Times New Roman" w:hAnsi="Times New Roman" w:cs="Times New Roman"/>
          <w:b/>
          <w:bCs/>
          <w:sz w:val="24"/>
          <w:szCs w:val="24"/>
        </w:rPr>
        <w:t>............................................................................................10</w:t>
      </w:r>
    </w:p>
    <w:p w14:paraId="3205D8EF" w14:textId="71B0BD4E" w:rsidR="00D26F56"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D26F56" w:rsidRPr="00D26F56">
        <w:rPr>
          <w:rFonts w:ascii="Times New Roman" w:hAnsi="Times New Roman" w:cs="Times New Roman"/>
          <w:b/>
          <w:bCs/>
          <w:sz w:val="24"/>
          <w:szCs w:val="24"/>
        </w:rPr>
        <w:t>1. Същност и икономически интерпретации на младежката трудова неактивност</w:t>
      </w:r>
      <w:r w:rsidR="00DE5240">
        <w:rPr>
          <w:rFonts w:ascii="Times New Roman" w:hAnsi="Times New Roman" w:cs="Times New Roman"/>
          <w:b/>
          <w:bCs/>
          <w:sz w:val="24"/>
          <w:szCs w:val="24"/>
        </w:rPr>
        <w:t>.................................................................................................................................10</w:t>
      </w:r>
    </w:p>
    <w:p w14:paraId="057667DC" w14:textId="08C31C26" w:rsidR="00D26F56"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D26F56" w:rsidRPr="00D26F56">
        <w:rPr>
          <w:rFonts w:ascii="Times New Roman" w:hAnsi="Times New Roman" w:cs="Times New Roman"/>
          <w:b/>
          <w:bCs/>
          <w:sz w:val="24"/>
          <w:szCs w:val="24"/>
        </w:rPr>
        <w:t>2. Икономически и институционални детерминанти на младежката трудова неактивност</w:t>
      </w:r>
      <w:r w:rsidR="00DE5240">
        <w:rPr>
          <w:rFonts w:ascii="Times New Roman" w:hAnsi="Times New Roman" w:cs="Times New Roman"/>
          <w:b/>
          <w:bCs/>
          <w:sz w:val="24"/>
          <w:szCs w:val="24"/>
        </w:rPr>
        <w:t>.................................................................................................................................14</w:t>
      </w:r>
    </w:p>
    <w:p w14:paraId="533A7EE3" w14:textId="3DA737E4" w:rsidR="00D26F56"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D26F56" w:rsidRPr="00D26F56">
        <w:rPr>
          <w:rFonts w:ascii="Times New Roman" w:hAnsi="Times New Roman" w:cs="Times New Roman"/>
          <w:b/>
          <w:bCs/>
          <w:sz w:val="24"/>
          <w:szCs w:val="24"/>
        </w:rPr>
        <w:t>3. Постпандемичният пазар на труда и структурните предизвикателства пред младите хора</w:t>
      </w:r>
      <w:r w:rsidR="00DE5240">
        <w:rPr>
          <w:rFonts w:ascii="Times New Roman" w:hAnsi="Times New Roman" w:cs="Times New Roman"/>
          <w:b/>
          <w:bCs/>
          <w:sz w:val="24"/>
          <w:szCs w:val="24"/>
        </w:rPr>
        <w:t>...............................................................................................................................21</w:t>
      </w:r>
    </w:p>
    <w:p w14:paraId="774E5886" w14:textId="418FCE1D" w:rsid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1.4. Европейски и национални политики за ограничаване на младежката трудова неактивност</w:t>
      </w:r>
      <w:r w:rsidR="00DE5240">
        <w:rPr>
          <w:rFonts w:ascii="Times New Roman" w:hAnsi="Times New Roman" w:cs="Times New Roman"/>
          <w:b/>
          <w:bCs/>
          <w:sz w:val="24"/>
          <w:szCs w:val="24"/>
        </w:rPr>
        <w:t>.................................................................................................................25</w:t>
      </w:r>
    </w:p>
    <w:p w14:paraId="233A01BE" w14:textId="140B3436" w:rsidR="003B1ACC" w:rsidRP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Втора глава. Сравнителен анализ на PESTEL профилите по държави: България, Хърватска и Нидерландия</w:t>
      </w:r>
      <w:r w:rsidR="00DE5240">
        <w:rPr>
          <w:rFonts w:ascii="Times New Roman" w:hAnsi="Times New Roman" w:cs="Times New Roman"/>
          <w:b/>
          <w:bCs/>
          <w:sz w:val="24"/>
          <w:szCs w:val="24"/>
        </w:rPr>
        <w:t>.............................................</w:t>
      </w:r>
      <w:r w:rsidR="008E6D76">
        <w:rPr>
          <w:rFonts w:ascii="Times New Roman" w:hAnsi="Times New Roman" w:cs="Times New Roman"/>
          <w:b/>
          <w:bCs/>
          <w:sz w:val="24"/>
          <w:szCs w:val="24"/>
        </w:rPr>
        <w:t>.</w:t>
      </w:r>
      <w:r w:rsidR="00DE5240">
        <w:rPr>
          <w:rFonts w:ascii="Times New Roman" w:hAnsi="Times New Roman" w:cs="Times New Roman"/>
          <w:b/>
          <w:bCs/>
          <w:sz w:val="24"/>
          <w:szCs w:val="24"/>
        </w:rPr>
        <w:t>......................................32</w:t>
      </w:r>
    </w:p>
    <w:p w14:paraId="6E4BCEA6" w14:textId="1A165EA1" w:rsid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 xml:space="preserve">2.1. </w:t>
      </w:r>
      <w:bookmarkStart w:id="0" w:name="_Hlk213134386"/>
      <w:r w:rsidRPr="003B1ACC">
        <w:rPr>
          <w:rFonts w:ascii="Times New Roman" w:hAnsi="Times New Roman" w:cs="Times New Roman"/>
          <w:b/>
          <w:bCs/>
          <w:sz w:val="24"/>
          <w:szCs w:val="24"/>
        </w:rPr>
        <w:t xml:space="preserve">PESTEL профил на </w:t>
      </w:r>
      <w:bookmarkEnd w:id="0"/>
      <w:r w:rsidRPr="003B1ACC">
        <w:rPr>
          <w:rFonts w:ascii="Times New Roman" w:hAnsi="Times New Roman" w:cs="Times New Roman"/>
          <w:b/>
          <w:bCs/>
          <w:sz w:val="24"/>
          <w:szCs w:val="24"/>
        </w:rPr>
        <w:t>България</w:t>
      </w:r>
      <w:r w:rsidR="00DE5240">
        <w:rPr>
          <w:rFonts w:ascii="Times New Roman" w:hAnsi="Times New Roman" w:cs="Times New Roman"/>
          <w:b/>
          <w:bCs/>
          <w:sz w:val="24"/>
          <w:szCs w:val="24"/>
        </w:rPr>
        <w:t>...............................................................................32</w:t>
      </w:r>
    </w:p>
    <w:p w14:paraId="32D7D6E1" w14:textId="62A65217" w:rsidR="003B1ACC"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3B1ACC">
        <w:rPr>
          <w:rFonts w:ascii="Times New Roman" w:hAnsi="Times New Roman" w:cs="Times New Roman"/>
          <w:b/>
          <w:bCs/>
          <w:sz w:val="24"/>
          <w:szCs w:val="24"/>
        </w:rPr>
        <w:t>PESTEL профил на</w:t>
      </w:r>
      <w:r>
        <w:rPr>
          <w:rFonts w:ascii="Times New Roman" w:hAnsi="Times New Roman" w:cs="Times New Roman"/>
          <w:b/>
          <w:bCs/>
          <w:sz w:val="24"/>
          <w:szCs w:val="24"/>
        </w:rPr>
        <w:t xml:space="preserve"> Хърватска</w:t>
      </w:r>
      <w:r w:rsidR="008E6D76">
        <w:rPr>
          <w:rFonts w:ascii="Times New Roman" w:hAnsi="Times New Roman" w:cs="Times New Roman"/>
          <w:b/>
          <w:bCs/>
          <w:sz w:val="24"/>
          <w:szCs w:val="24"/>
        </w:rPr>
        <w:t>.............................................................................39</w:t>
      </w:r>
    </w:p>
    <w:p w14:paraId="2A039F10" w14:textId="7927BE68" w:rsidR="003B1ACC"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3B1ACC">
        <w:rPr>
          <w:rFonts w:ascii="Times New Roman" w:hAnsi="Times New Roman" w:cs="Times New Roman"/>
          <w:b/>
          <w:bCs/>
          <w:sz w:val="24"/>
          <w:szCs w:val="24"/>
        </w:rPr>
        <w:t>PESTEL профил на</w:t>
      </w:r>
      <w:r>
        <w:rPr>
          <w:rFonts w:ascii="Times New Roman" w:hAnsi="Times New Roman" w:cs="Times New Roman"/>
          <w:b/>
          <w:bCs/>
          <w:sz w:val="24"/>
          <w:szCs w:val="24"/>
        </w:rPr>
        <w:t xml:space="preserve"> Нидерландия</w:t>
      </w:r>
      <w:r w:rsidR="008E6D76">
        <w:rPr>
          <w:rFonts w:ascii="Times New Roman" w:hAnsi="Times New Roman" w:cs="Times New Roman"/>
          <w:b/>
          <w:bCs/>
          <w:sz w:val="24"/>
          <w:szCs w:val="24"/>
        </w:rPr>
        <w:t>.........................................................................44</w:t>
      </w:r>
    </w:p>
    <w:p w14:paraId="2B23473A" w14:textId="32273F50" w:rsidR="003B1ACC"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2.4. Сравнителен анализ на </w:t>
      </w:r>
      <w:r w:rsidRPr="003B1ACC">
        <w:rPr>
          <w:rFonts w:ascii="Times New Roman" w:hAnsi="Times New Roman" w:cs="Times New Roman"/>
          <w:b/>
          <w:bCs/>
          <w:sz w:val="24"/>
          <w:szCs w:val="24"/>
        </w:rPr>
        <w:t>PESTEL профи</w:t>
      </w:r>
      <w:r>
        <w:rPr>
          <w:rFonts w:ascii="Times New Roman" w:hAnsi="Times New Roman" w:cs="Times New Roman"/>
          <w:b/>
          <w:bCs/>
          <w:sz w:val="24"/>
          <w:szCs w:val="24"/>
        </w:rPr>
        <w:t>лите  на България, Хърватска и Нидерландия</w:t>
      </w:r>
      <w:r w:rsidR="008E6D76">
        <w:rPr>
          <w:rFonts w:ascii="Times New Roman" w:hAnsi="Times New Roman" w:cs="Times New Roman"/>
          <w:b/>
          <w:bCs/>
          <w:sz w:val="24"/>
          <w:szCs w:val="24"/>
        </w:rPr>
        <w:t>...............................................................................................................................51</w:t>
      </w:r>
    </w:p>
    <w:p w14:paraId="3ADED23C" w14:textId="37B0846A" w:rsidR="003B1ACC" w:rsidRP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Трета глава. Представяне и анализ на резултатите от емпиричното изследване</w:t>
      </w:r>
      <w:r w:rsidR="008E6D76">
        <w:rPr>
          <w:rFonts w:ascii="Times New Roman" w:hAnsi="Times New Roman" w:cs="Times New Roman"/>
          <w:b/>
          <w:bCs/>
          <w:sz w:val="24"/>
          <w:szCs w:val="24"/>
        </w:rPr>
        <w:t>....................................................................................................................................56</w:t>
      </w:r>
    </w:p>
    <w:p w14:paraId="54589D4D" w14:textId="722F36F2" w:rsid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3.1. Динамика на младежката неактивност и NEET в макроикономически контекст (2020–2024)</w:t>
      </w:r>
      <w:r w:rsidR="008E6D76">
        <w:rPr>
          <w:rFonts w:ascii="Times New Roman" w:hAnsi="Times New Roman" w:cs="Times New Roman"/>
          <w:b/>
          <w:bCs/>
          <w:sz w:val="24"/>
          <w:szCs w:val="24"/>
        </w:rPr>
        <w:t>..................................................................................................................56</w:t>
      </w:r>
    </w:p>
    <w:p w14:paraId="337FE36F" w14:textId="20447E69" w:rsidR="003B1ACC" w:rsidRDefault="003B1ACC" w:rsidP="003B1ACC">
      <w:pPr>
        <w:spacing w:line="24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3.2. Зависимости между PESTEL контекст и основните икономически детерминанти на младежката трудова неактивност</w:t>
      </w:r>
      <w:r w:rsidR="008E6D76">
        <w:rPr>
          <w:rFonts w:ascii="Times New Roman" w:hAnsi="Times New Roman" w:cs="Times New Roman"/>
          <w:b/>
          <w:bCs/>
          <w:sz w:val="24"/>
          <w:szCs w:val="24"/>
        </w:rPr>
        <w:t>...........................................................71</w:t>
      </w:r>
    </w:p>
    <w:p w14:paraId="2A84D742" w14:textId="6758DA91" w:rsidR="003B1ACC"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Заключение</w:t>
      </w:r>
      <w:r w:rsidR="008E6D76">
        <w:rPr>
          <w:rFonts w:ascii="Times New Roman" w:hAnsi="Times New Roman" w:cs="Times New Roman"/>
          <w:b/>
          <w:bCs/>
          <w:sz w:val="24"/>
          <w:szCs w:val="24"/>
        </w:rPr>
        <w:t>......................................................................................................................77</w:t>
      </w:r>
    </w:p>
    <w:p w14:paraId="72187D14" w14:textId="5646B2A6" w:rsidR="003B1ACC" w:rsidRDefault="003B1ACC" w:rsidP="003B1ACC">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Библиография</w:t>
      </w:r>
      <w:r w:rsidR="008E6D76">
        <w:rPr>
          <w:rFonts w:ascii="Times New Roman" w:hAnsi="Times New Roman" w:cs="Times New Roman"/>
          <w:b/>
          <w:bCs/>
          <w:sz w:val="24"/>
          <w:szCs w:val="24"/>
        </w:rPr>
        <w:t>.................................................................................................................81</w:t>
      </w:r>
    </w:p>
    <w:p w14:paraId="474C9430" w14:textId="11093D9D" w:rsidR="00D26F56" w:rsidRDefault="00D26F56" w:rsidP="00D26F56">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AC4C3DB" w14:textId="60CD83F7" w:rsidR="00A1042F" w:rsidRPr="003E1F48" w:rsidRDefault="00A1042F" w:rsidP="00A1042F">
      <w:pPr>
        <w:spacing w:line="360" w:lineRule="auto"/>
        <w:ind w:firstLine="708"/>
        <w:jc w:val="both"/>
        <w:rPr>
          <w:rFonts w:ascii="Times New Roman" w:hAnsi="Times New Roman" w:cs="Times New Roman"/>
          <w:b/>
          <w:bCs/>
          <w:sz w:val="24"/>
          <w:szCs w:val="24"/>
        </w:rPr>
      </w:pPr>
      <w:r w:rsidRPr="003E1F48">
        <w:rPr>
          <w:rFonts w:ascii="Times New Roman" w:hAnsi="Times New Roman" w:cs="Times New Roman"/>
          <w:b/>
          <w:bCs/>
          <w:sz w:val="24"/>
          <w:szCs w:val="24"/>
        </w:rPr>
        <w:lastRenderedPageBreak/>
        <w:t>Увод</w:t>
      </w:r>
    </w:p>
    <w:p w14:paraId="7631BC51" w14:textId="7010D531" w:rsidR="002672B7" w:rsidRPr="002672B7" w:rsidRDefault="002672B7" w:rsidP="002672B7">
      <w:pPr>
        <w:spacing w:line="360" w:lineRule="auto"/>
        <w:ind w:firstLine="708"/>
        <w:jc w:val="both"/>
        <w:rPr>
          <w:rFonts w:ascii="Times New Roman" w:hAnsi="Times New Roman" w:cs="Times New Roman"/>
          <w:sz w:val="24"/>
          <w:szCs w:val="24"/>
          <w:lang w:val="en-GB"/>
        </w:rPr>
      </w:pPr>
      <w:proofErr w:type="spellStart"/>
      <w:r w:rsidRPr="002672B7">
        <w:rPr>
          <w:rFonts w:ascii="Times New Roman" w:hAnsi="Times New Roman" w:cs="Times New Roman"/>
          <w:sz w:val="24"/>
          <w:szCs w:val="24"/>
          <w:lang w:val="en-GB"/>
        </w:rPr>
        <w:t>Настоящата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теза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изследва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младежката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трудова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неактивност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като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многопластов</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социално-икономически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феномен</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пряко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отражение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върху</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растежа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производителността</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социалната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кохезия</w:t>
      </w:r>
      <w:proofErr w:type="spellEnd"/>
      <w:r>
        <w:rPr>
          <w:rFonts w:ascii="Times New Roman" w:hAnsi="Times New Roman" w:cs="Times New Roman"/>
          <w:sz w:val="24"/>
          <w:szCs w:val="24"/>
        </w:rPr>
        <w:t xml:space="preserve"> в три държави от ЕС – България, Хърватска и Нидерландия.</w:t>
      </w:r>
      <w:r w:rsidR="006A7F3D">
        <w:rPr>
          <w:rFonts w:ascii="Times New Roman" w:hAnsi="Times New Roman" w:cs="Times New Roman"/>
          <w:sz w:val="24"/>
          <w:szCs w:val="24"/>
        </w:rPr>
        <w:t xml:space="preserve">  </w:t>
      </w:r>
      <w:proofErr w:type="spellStart"/>
      <w:r w:rsidRPr="002672B7">
        <w:rPr>
          <w:rFonts w:ascii="Times New Roman" w:hAnsi="Times New Roman" w:cs="Times New Roman"/>
          <w:sz w:val="24"/>
          <w:szCs w:val="24"/>
          <w:lang w:val="en-GB"/>
        </w:rPr>
        <w:t>Изборът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r w:rsidR="006A7F3D">
        <w:rPr>
          <w:rFonts w:ascii="Times New Roman" w:hAnsi="Times New Roman" w:cs="Times New Roman"/>
          <w:sz w:val="24"/>
          <w:szCs w:val="24"/>
        </w:rPr>
        <w:t xml:space="preserve">тези страни е </w:t>
      </w:r>
      <w:proofErr w:type="spellStart"/>
      <w:r w:rsidRPr="002672B7">
        <w:rPr>
          <w:rFonts w:ascii="Times New Roman" w:hAnsi="Times New Roman" w:cs="Times New Roman"/>
          <w:sz w:val="24"/>
          <w:szCs w:val="24"/>
          <w:lang w:val="en-GB"/>
        </w:rPr>
        <w:t>обоснован</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целта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сравнят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контрастни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институционални</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секторни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модели</w:t>
      </w:r>
      <w:proofErr w:type="spellEnd"/>
      <w:r w:rsidRPr="002672B7">
        <w:rPr>
          <w:rFonts w:ascii="Times New Roman" w:hAnsi="Times New Roman" w:cs="Times New Roman"/>
          <w:sz w:val="24"/>
          <w:szCs w:val="24"/>
          <w:lang w:val="en-GB"/>
        </w:rPr>
        <w:t xml:space="preserve"> в </w:t>
      </w:r>
      <w:proofErr w:type="spellStart"/>
      <w:r w:rsidRPr="002672B7">
        <w:rPr>
          <w:rFonts w:ascii="Times New Roman" w:hAnsi="Times New Roman" w:cs="Times New Roman"/>
          <w:sz w:val="24"/>
          <w:szCs w:val="24"/>
          <w:lang w:val="en-GB"/>
        </w:rPr>
        <w:t>рамките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единен</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нормативен</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контекст</w:t>
      </w:r>
      <w:proofErr w:type="spellEnd"/>
      <w:r w:rsidRPr="002672B7">
        <w:rPr>
          <w:rFonts w:ascii="Times New Roman" w:hAnsi="Times New Roman" w:cs="Times New Roman"/>
          <w:sz w:val="24"/>
          <w:szCs w:val="24"/>
          <w:lang w:val="en-GB"/>
        </w:rPr>
        <w:t xml:space="preserve"> (ЕС), </w:t>
      </w:r>
      <w:proofErr w:type="spellStart"/>
      <w:r w:rsidRPr="002672B7">
        <w:rPr>
          <w:rFonts w:ascii="Times New Roman" w:hAnsi="Times New Roman" w:cs="Times New Roman"/>
          <w:sz w:val="24"/>
          <w:szCs w:val="24"/>
          <w:lang w:val="en-GB"/>
        </w:rPr>
        <w:t>така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че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отделят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общовалидните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контекст-специфичните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механизми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младежката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трудова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неактивност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Нидерландия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представлява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зряла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високопроизводителна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икономика</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утвърдена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система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дуално</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практико-ориентирано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професионално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образование</w:t>
      </w:r>
      <w:proofErr w:type="spellEnd"/>
      <w:r w:rsidRPr="002672B7">
        <w:rPr>
          <w:rFonts w:ascii="Times New Roman" w:hAnsi="Times New Roman" w:cs="Times New Roman"/>
          <w:sz w:val="24"/>
          <w:szCs w:val="24"/>
          <w:lang w:val="en-GB"/>
        </w:rPr>
        <w:t xml:space="preserve"> (MBO), </w:t>
      </w:r>
      <w:proofErr w:type="spellStart"/>
      <w:r w:rsidRPr="002672B7">
        <w:rPr>
          <w:rFonts w:ascii="Times New Roman" w:hAnsi="Times New Roman" w:cs="Times New Roman"/>
          <w:sz w:val="24"/>
          <w:szCs w:val="24"/>
          <w:lang w:val="en-GB"/>
        </w:rPr>
        <w:t>висока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дигитална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готовност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широко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разпространена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непълна</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почасова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заетост</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дълбоки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традиции</w:t>
      </w:r>
      <w:proofErr w:type="spellEnd"/>
      <w:r w:rsidRPr="002672B7">
        <w:rPr>
          <w:rFonts w:ascii="Times New Roman" w:hAnsi="Times New Roman" w:cs="Times New Roman"/>
          <w:sz w:val="24"/>
          <w:szCs w:val="24"/>
          <w:lang w:val="en-GB"/>
        </w:rPr>
        <w:t xml:space="preserve"> в </w:t>
      </w:r>
      <w:proofErr w:type="spellStart"/>
      <w:r w:rsidRPr="002672B7">
        <w:rPr>
          <w:rFonts w:ascii="Times New Roman" w:hAnsi="Times New Roman" w:cs="Times New Roman"/>
          <w:sz w:val="24"/>
          <w:szCs w:val="24"/>
          <w:lang w:val="en-GB"/>
        </w:rPr>
        <w:t>активните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политики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което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позволява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наблюдават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ефекти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висока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институционална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плътност</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стегнат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пазар</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труда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Хърватска</w:t>
      </w:r>
      <w:proofErr w:type="spellEnd"/>
      <w:r w:rsidRPr="002672B7">
        <w:rPr>
          <w:rFonts w:ascii="Times New Roman" w:hAnsi="Times New Roman" w:cs="Times New Roman"/>
          <w:sz w:val="24"/>
          <w:szCs w:val="24"/>
          <w:lang w:val="en-GB"/>
        </w:rPr>
        <w:t xml:space="preserve"> е </w:t>
      </w:r>
      <w:proofErr w:type="spellStart"/>
      <w:r w:rsidRPr="002672B7">
        <w:rPr>
          <w:rFonts w:ascii="Times New Roman" w:hAnsi="Times New Roman" w:cs="Times New Roman"/>
          <w:sz w:val="24"/>
          <w:szCs w:val="24"/>
          <w:lang w:val="en-GB"/>
        </w:rPr>
        <w:t>типичен</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пример</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малка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отворена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икономика</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изразена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сезонност</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висока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зависимост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контактно-интензивни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услуги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туризъм</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където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следпандемичните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колебания</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географската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двуполюсност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между</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крайбрежието</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вътрешността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тестват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устойчивостта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младежките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преходи</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ефективността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Гаранцията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България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добавя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перспектива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демографски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свиваща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икономика</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изразени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регионални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различия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по-голям</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дял</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микропредприятия</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догонваща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институционална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инфраструктура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посредничество</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обучение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което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позволява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анализират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бариерите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пред</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активизацията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ограничена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локална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търсeмост</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структурен</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недостиг</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умения</w:t>
      </w:r>
      <w:proofErr w:type="spellEnd"/>
      <w:r w:rsidRPr="002672B7">
        <w:rPr>
          <w:rFonts w:ascii="Times New Roman" w:hAnsi="Times New Roman" w:cs="Times New Roman"/>
          <w:sz w:val="24"/>
          <w:szCs w:val="24"/>
          <w:lang w:val="en-GB"/>
        </w:rPr>
        <w:t xml:space="preserve">. В </w:t>
      </w:r>
      <w:proofErr w:type="spellStart"/>
      <w:r w:rsidRPr="002672B7">
        <w:rPr>
          <w:rFonts w:ascii="Times New Roman" w:hAnsi="Times New Roman" w:cs="Times New Roman"/>
          <w:sz w:val="24"/>
          <w:szCs w:val="24"/>
          <w:lang w:val="en-GB"/>
        </w:rPr>
        <w:t>съвкупност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държави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покриват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спектър</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висока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към</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средна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институционална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капацитетност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индустрии</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висока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добавена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стойност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към</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сезонни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услуги</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зрели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към</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догонващи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трудови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пазари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това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осигурява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аналитична</w:t>
      </w:r>
      <w:proofErr w:type="spellEnd"/>
      <w:r w:rsidRPr="002672B7">
        <w:rPr>
          <w:rFonts w:ascii="Times New Roman" w:hAnsi="Times New Roman" w:cs="Times New Roman"/>
          <w:sz w:val="24"/>
          <w:szCs w:val="24"/>
          <w:lang w:val="en-GB"/>
        </w:rPr>
        <w:t xml:space="preserve"> „</w:t>
      </w:r>
      <w:proofErr w:type="spellStart"/>
      <w:proofErr w:type="gramStart"/>
      <w:r w:rsidRPr="002672B7">
        <w:rPr>
          <w:rFonts w:ascii="Times New Roman" w:hAnsi="Times New Roman" w:cs="Times New Roman"/>
          <w:sz w:val="24"/>
          <w:szCs w:val="24"/>
          <w:lang w:val="en-GB"/>
        </w:rPr>
        <w:t>триангулация</w:t>
      </w:r>
      <w:proofErr w:type="spellEnd"/>
      <w:r w:rsidRPr="002672B7">
        <w:rPr>
          <w:rFonts w:ascii="Times New Roman" w:hAnsi="Times New Roman" w:cs="Times New Roman"/>
          <w:sz w:val="24"/>
          <w:szCs w:val="24"/>
          <w:lang w:val="en-GB"/>
        </w:rPr>
        <w:t>“</w:t>
      </w:r>
      <w:proofErr w:type="gram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повишава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външната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валидност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изводите</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позволява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формулиране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диференцирани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съпоставими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препоръки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политики</w:t>
      </w:r>
      <w:proofErr w:type="spellEnd"/>
      <w:r w:rsidRPr="002672B7">
        <w:rPr>
          <w:rFonts w:ascii="Times New Roman" w:hAnsi="Times New Roman" w:cs="Times New Roman"/>
          <w:sz w:val="24"/>
          <w:szCs w:val="24"/>
          <w:lang w:val="en-GB"/>
        </w:rPr>
        <w:t>.</w:t>
      </w:r>
    </w:p>
    <w:p w14:paraId="6F05EB7B" w14:textId="347E8326" w:rsidR="002672B7" w:rsidRPr="002672B7" w:rsidRDefault="002672B7" w:rsidP="002672B7">
      <w:pPr>
        <w:spacing w:line="360" w:lineRule="auto"/>
        <w:ind w:firstLine="708"/>
        <w:jc w:val="both"/>
        <w:rPr>
          <w:rFonts w:ascii="Times New Roman" w:hAnsi="Times New Roman" w:cs="Times New Roman"/>
          <w:sz w:val="24"/>
          <w:szCs w:val="24"/>
          <w:lang w:val="en-GB"/>
        </w:rPr>
      </w:pPr>
      <w:proofErr w:type="spellStart"/>
      <w:r w:rsidRPr="002672B7">
        <w:rPr>
          <w:rFonts w:ascii="Times New Roman" w:hAnsi="Times New Roman" w:cs="Times New Roman"/>
          <w:sz w:val="24"/>
          <w:szCs w:val="24"/>
          <w:lang w:val="en-GB"/>
        </w:rPr>
        <w:t>Актуалността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темата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обуславя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постпандемичната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трансформация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пазарите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труда</w:t>
      </w:r>
      <w:proofErr w:type="spellEnd"/>
      <w:r w:rsidRPr="002672B7">
        <w:rPr>
          <w:rFonts w:ascii="Times New Roman" w:hAnsi="Times New Roman" w:cs="Times New Roman"/>
          <w:sz w:val="24"/>
          <w:szCs w:val="24"/>
          <w:lang w:val="en-GB"/>
        </w:rPr>
        <w:t xml:space="preserve"> в ЕС, </w:t>
      </w:r>
      <w:proofErr w:type="spellStart"/>
      <w:r w:rsidRPr="002672B7">
        <w:rPr>
          <w:rFonts w:ascii="Times New Roman" w:hAnsi="Times New Roman" w:cs="Times New Roman"/>
          <w:sz w:val="24"/>
          <w:szCs w:val="24"/>
          <w:lang w:val="en-GB"/>
        </w:rPr>
        <w:t>където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бързото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възстановяване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заетостта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съжителства</w:t>
      </w:r>
      <w:proofErr w:type="spellEnd"/>
      <w:r w:rsidRPr="002672B7">
        <w:rPr>
          <w:rFonts w:ascii="Times New Roman" w:hAnsi="Times New Roman" w:cs="Times New Roman"/>
          <w:sz w:val="24"/>
          <w:szCs w:val="24"/>
          <w:lang w:val="en-GB"/>
        </w:rPr>
        <w:t xml:space="preserve"> с </w:t>
      </w:r>
      <w:proofErr w:type="spellStart"/>
      <w:r w:rsidRPr="002672B7">
        <w:rPr>
          <w:rFonts w:ascii="Times New Roman" w:hAnsi="Times New Roman" w:cs="Times New Roman"/>
          <w:sz w:val="24"/>
          <w:szCs w:val="24"/>
          <w:lang w:val="en-GB"/>
        </w:rPr>
        <w:t>повишена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стегнатост</w:t>
      </w:r>
      <w:proofErr w:type="spellEnd"/>
      <w:r w:rsidRPr="002672B7">
        <w:rPr>
          <w:rFonts w:ascii="Times New Roman" w:hAnsi="Times New Roman" w:cs="Times New Roman"/>
          <w:sz w:val="24"/>
          <w:szCs w:val="24"/>
          <w:lang w:val="en-GB"/>
        </w:rPr>
        <w:t xml:space="preserve"> и с </w:t>
      </w:r>
      <w:proofErr w:type="spellStart"/>
      <w:r w:rsidRPr="002672B7">
        <w:rPr>
          <w:rFonts w:ascii="Times New Roman" w:hAnsi="Times New Roman" w:cs="Times New Roman"/>
          <w:sz w:val="24"/>
          <w:szCs w:val="24"/>
          <w:lang w:val="en-GB"/>
        </w:rPr>
        <w:t>ограничена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абсорбция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хора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без</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опит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Значимостта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изследването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се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проявява</w:t>
      </w:r>
      <w:proofErr w:type="spellEnd"/>
      <w:r w:rsidRPr="002672B7">
        <w:rPr>
          <w:rFonts w:ascii="Times New Roman" w:hAnsi="Times New Roman" w:cs="Times New Roman"/>
          <w:sz w:val="24"/>
          <w:szCs w:val="24"/>
          <w:lang w:val="en-GB"/>
        </w:rPr>
        <w:t xml:space="preserve"> в </w:t>
      </w:r>
      <w:proofErr w:type="spellStart"/>
      <w:r w:rsidRPr="002672B7">
        <w:rPr>
          <w:rFonts w:ascii="Times New Roman" w:hAnsi="Times New Roman" w:cs="Times New Roman"/>
          <w:sz w:val="24"/>
          <w:szCs w:val="24"/>
          <w:lang w:val="en-GB"/>
        </w:rPr>
        <w:t>необходимостта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надеждни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контекстно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чувствителни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политики</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които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превеждат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демографския</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потенциал</w:t>
      </w:r>
      <w:proofErr w:type="spellEnd"/>
      <w:r w:rsidRPr="002672B7">
        <w:rPr>
          <w:rFonts w:ascii="Times New Roman" w:hAnsi="Times New Roman" w:cs="Times New Roman"/>
          <w:sz w:val="24"/>
          <w:szCs w:val="24"/>
          <w:lang w:val="en-GB"/>
        </w:rPr>
        <w:t xml:space="preserve"> в </w:t>
      </w:r>
      <w:proofErr w:type="spellStart"/>
      <w:r w:rsidRPr="002672B7">
        <w:rPr>
          <w:rFonts w:ascii="Times New Roman" w:hAnsi="Times New Roman" w:cs="Times New Roman"/>
          <w:sz w:val="24"/>
          <w:szCs w:val="24"/>
          <w:lang w:val="en-GB"/>
        </w:rPr>
        <w:t>реална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заетост</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да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намаляват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риска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трайно</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изключване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на</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младежите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от</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икономическите</w:t>
      </w:r>
      <w:proofErr w:type="spellEnd"/>
      <w:r w:rsidRPr="002672B7">
        <w:rPr>
          <w:rFonts w:ascii="Times New Roman" w:hAnsi="Times New Roman" w:cs="Times New Roman"/>
          <w:sz w:val="24"/>
          <w:szCs w:val="24"/>
          <w:lang w:val="en-GB"/>
        </w:rPr>
        <w:t xml:space="preserve"> и </w:t>
      </w:r>
      <w:proofErr w:type="spellStart"/>
      <w:r w:rsidRPr="002672B7">
        <w:rPr>
          <w:rFonts w:ascii="Times New Roman" w:hAnsi="Times New Roman" w:cs="Times New Roman"/>
          <w:sz w:val="24"/>
          <w:szCs w:val="24"/>
          <w:lang w:val="en-GB"/>
        </w:rPr>
        <w:t>образователните</w:t>
      </w:r>
      <w:proofErr w:type="spellEnd"/>
      <w:r w:rsidRPr="002672B7">
        <w:rPr>
          <w:rFonts w:ascii="Times New Roman" w:hAnsi="Times New Roman" w:cs="Times New Roman"/>
          <w:sz w:val="24"/>
          <w:szCs w:val="24"/>
          <w:lang w:val="en-GB"/>
        </w:rPr>
        <w:t xml:space="preserve"> </w:t>
      </w:r>
      <w:proofErr w:type="spellStart"/>
      <w:r w:rsidRPr="002672B7">
        <w:rPr>
          <w:rFonts w:ascii="Times New Roman" w:hAnsi="Times New Roman" w:cs="Times New Roman"/>
          <w:sz w:val="24"/>
          <w:szCs w:val="24"/>
          <w:lang w:val="en-GB"/>
        </w:rPr>
        <w:t>процеси</w:t>
      </w:r>
      <w:proofErr w:type="spellEnd"/>
      <w:r w:rsidRPr="002672B7">
        <w:rPr>
          <w:rFonts w:ascii="Times New Roman" w:hAnsi="Times New Roman" w:cs="Times New Roman"/>
          <w:sz w:val="24"/>
          <w:szCs w:val="24"/>
          <w:lang w:val="en-GB"/>
        </w:rPr>
        <w:t>.</w:t>
      </w:r>
    </w:p>
    <w:p w14:paraId="660A41DE"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lastRenderedPageBreak/>
        <w:t>Целта на настоящото изследване е да се анализира влиянието на постпандемичните промени на пазара на труда върху равнището и динамиката на младежката трудова неактивност в България, Хърватска и Нидерландия за периода 2020–2024 г., като се идентифицират основните икономически и институционални детерминанти, които я обуславят. Изследването има за задача да съчетае количествен сравнителен анализ на ключови макроикономически показатели с качествена оценка чрез модела PESTEL, за да се очертаят различията в контекста и ефективността на националните политики. Чрез това се цели да се обясни как взаимодействието между икономическата среда и структурните фактори определя мотивацията и възможностите на младите хора за участие в пазара на труда в постпандемичния период.</w:t>
      </w:r>
    </w:p>
    <w:p w14:paraId="328DD4E4"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За постигането на тази цел изследването изпълнява следните задачи:</w:t>
      </w:r>
    </w:p>
    <w:p w14:paraId="062CF03F" w14:textId="77777777" w:rsidR="00D26F56" w:rsidRPr="00D26F56" w:rsidRDefault="00D26F56" w:rsidP="00D26F56">
      <w:pPr>
        <w:numPr>
          <w:ilvl w:val="0"/>
          <w:numId w:val="42"/>
        </w:numPr>
        <w:spacing w:line="360" w:lineRule="auto"/>
        <w:jc w:val="both"/>
        <w:rPr>
          <w:rFonts w:ascii="Times New Roman" w:hAnsi="Times New Roman" w:cs="Times New Roman"/>
          <w:sz w:val="24"/>
          <w:szCs w:val="24"/>
        </w:rPr>
      </w:pPr>
      <w:r w:rsidRPr="00D26F56">
        <w:rPr>
          <w:rFonts w:ascii="Times New Roman" w:hAnsi="Times New Roman" w:cs="Times New Roman"/>
          <w:sz w:val="24"/>
          <w:szCs w:val="24"/>
        </w:rPr>
        <w:t>Да се изградят PESTEL профили за България, Хърватска и Нидерландия, които да очертаят политическите, икономическите, социалните, технологичните, екологичните и правните особености, релевантни за младежката неактивност.</w:t>
      </w:r>
    </w:p>
    <w:p w14:paraId="050943F5" w14:textId="77777777" w:rsidR="00D26F56" w:rsidRPr="00D26F56" w:rsidRDefault="00D26F56" w:rsidP="00D26F56">
      <w:pPr>
        <w:numPr>
          <w:ilvl w:val="0"/>
          <w:numId w:val="42"/>
        </w:numPr>
        <w:spacing w:line="360" w:lineRule="auto"/>
        <w:jc w:val="both"/>
        <w:rPr>
          <w:rFonts w:ascii="Times New Roman" w:hAnsi="Times New Roman" w:cs="Times New Roman"/>
          <w:sz w:val="24"/>
          <w:szCs w:val="24"/>
        </w:rPr>
      </w:pPr>
      <w:r w:rsidRPr="00D26F56">
        <w:rPr>
          <w:rFonts w:ascii="Times New Roman" w:hAnsi="Times New Roman" w:cs="Times New Roman"/>
          <w:sz w:val="24"/>
          <w:szCs w:val="24"/>
        </w:rPr>
        <w:t>Да се извърши описателен и сравнителен анализ на динамиката на неактивността и NEET във времето и по държави, допълнен с ключови пазарни индикатори (реални заплати, инфлация, безработица, вакантни позиции).</w:t>
      </w:r>
    </w:p>
    <w:p w14:paraId="4F80C1C7" w14:textId="77777777" w:rsidR="00D26F56" w:rsidRPr="00D26F56" w:rsidRDefault="00D26F56" w:rsidP="00D26F56">
      <w:pPr>
        <w:numPr>
          <w:ilvl w:val="0"/>
          <w:numId w:val="42"/>
        </w:numPr>
        <w:spacing w:line="360" w:lineRule="auto"/>
        <w:jc w:val="both"/>
        <w:rPr>
          <w:rFonts w:ascii="Times New Roman" w:hAnsi="Times New Roman" w:cs="Times New Roman"/>
          <w:sz w:val="24"/>
          <w:szCs w:val="24"/>
        </w:rPr>
      </w:pPr>
      <w:r w:rsidRPr="00D26F56">
        <w:rPr>
          <w:rFonts w:ascii="Times New Roman" w:hAnsi="Times New Roman" w:cs="Times New Roman"/>
          <w:sz w:val="24"/>
          <w:szCs w:val="24"/>
        </w:rPr>
        <w:t>Да се оцени емпиричната връзка между неактивността/NEET и основните икономически детерминанти чрез парни корелации и да се синтезират изводи и насоки за политики на база резултатите и PESTEL контекста.</w:t>
      </w:r>
    </w:p>
    <w:p w14:paraId="1996DCD7"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Обект на изследването е младежката трудова неактивност в страните от Европейския съюз, разгледана конкретно чрез трите представителни случая на България, Хърватска и Нидерландия. Трите страни са избрани с оглед различията в икономическото развитие, институционалните модели и политиките на пазара на труда, които позволяват да се проследят вариациите в поведението на младите хора спрямо участието им в заетост или образование в постпандемичния период.</w:t>
      </w:r>
    </w:p>
    <w:p w14:paraId="4BA2ED03"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Предмет на изследването са икономическите и институционалните детерминанти, които влияят върху равнището и динамиката на младежката трудова неактивност през </w:t>
      </w:r>
      <w:r w:rsidRPr="00D26F56">
        <w:rPr>
          <w:rFonts w:ascii="Times New Roman" w:hAnsi="Times New Roman" w:cs="Times New Roman"/>
          <w:sz w:val="24"/>
          <w:szCs w:val="24"/>
        </w:rPr>
        <w:lastRenderedPageBreak/>
        <w:t>периода 2020–2024 г. в избраните три страни Той включва както макроикономическите фактори – доходи, инфлация, безработица, вакантни позиции и публични разходи за активни политики на пазара на труда – така и контекстуалните фактори, определени чрез PESTEL модела.</w:t>
      </w:r>
    </w:p>
    <w:p w14:paraId="446B5BD0"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Тезата, която аргументира настоящото изследване е, че след 2020 г. равнището и динамиката на младежката трудова неактивност в България, Хърватска и Нидерландия се определят преди всичко от икономически детерминанти като заплати, инфлация и безработица, а силата и посоката на тяхното въздействие се модерират съществено от институционалния и технологичния контекст, описан чрез PESTEL. В резултат държави с по-висока дигитална готовност, по-ефективни активни политики на пазара на труда и по-умерена инфлационна среда постигат по-бързо и устойчиво намаляване на младежката неактивност в постпандемичния период, независимо от началните различия в изходните нива.</w:t>
      </w:r>
    </w:p>
    <w:p w14:paraId="65AE1E97"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Тази теза стъпва върху класическите механизми на предлагане и търсене на труд, допълнени от теориите за търсене–съвпадение и човешкия капитал. Реалните заплати влияят върху резервационната заплата и стимулите за участие, инфлацията променя относителните цени и реалните доходи, а безработицата сигнализира за недостиг на търсене или несъответствие на уменията. В постпандемични условия, маркирани от шокове в търсенето и предлагането, тези икономически детерминанти се превръщат в първични двигатели на преходите между статусите „учащ“, „зает“, „безработен“ и „неактивен“. Промените в реалните заплати и инфлацията влияят директно върху решението за търсене на работа, докато равнището на безработица и динамиката на вакантните позиции формират вероятността за успешно съвпадение между млади кандидати и налични работни места.</w:t>
      </w:r>
    </w:p>
    <w:p w14:paraId="63D87380"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Ефектите на икономическите променливи обаче рядко са еднотипни между държавите, поради което институционалният и технологичният контекст действат като модератори. Активните политики на пазара на труда, обхватът и качеството на посредничеството, стажовете и обучителните програми намаляват биенето между търсене и предлагане, съкращават времето до първа заетост и ограничават обезкуражаването, което често води до неактивност. Дигиталната готовност – чрез достъп до интернет, разпространение на дистанционна работа и цифрови умения – понижава транзакционните </w:t>
      </w:r>
      <w:r w:rsidRPr="00D26F56">
        <w:rPr>
          <w:rFonts w:ascii="Times New Roman" w:hAnsi="Times New Roman" w:cs="Times New Roman"/>
          <w:sz w:val="24"/>
          <w:szCs w:val="24"/>
        </w:rPr>
        <w:lastRenderedPageBreak/>
        <w:t>разходи по търсенето на работа, увеличава географската и секторната обхватност на търсенето и отваря нови канали за вход на младите на пазара на труда. Правната рамка и предвидимостта на правилата на играта допълнително редуцират несигурността, която в противен случай повишава склонността към изтегляне от пазара.</w:t>
      </w:r>
    </w:p>
    <w:p w14:paraId="01D3DDE1"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Постпандемичният контекст усилва значението на тези модериращи параметри. В среда на ускорена инфлация реалните заплати често изостават, което може да повиши резервационната заплата спрямо предлаганите условия и да стимулира временна неактивност, особено при млади с по-нисък опит и по-висока чувствителност към качеството на работата. При наличие на ефективни активни политики този негативен канал се отслабва чрез таргетирани субсидии, обучение и посредничество, докато висока дигитална готовност компенсира локалните затваряния и секторни спадове, като подпомага преход към дистанционна и хибридна заетост. Следователно държави, които съчетават умерена инфлационна среда, адекватна индексация или растеж на реалните заплати и силни институционални механизми за активиране на младежите, имат по-висока вероятност за бързо и трайно свиване на неактивността.</w:t>
      </w:r>
    </w:p>
    <w:p w14:paraId="37F3B530"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Емпиричната литература по ефективността на активните политики на пазара на труда и по ролята на цифровизацията е консистентна с това твърдение, като отчита, че комбинацията от обучения, субсидирана заетост и качествено посредничество е най-ефективна при младежи и при преходи „училище–работа“. Изследванията върху дигиталната трансформация показват намаляване на бариерите за участие и нови възможности за вход на пазара, особено в услуги и ИКТ-сектори, които нарастват след 2020 г. В този смисъл PESTEL профилите не са само описателни, а предлагат механизъм за интерпретация на различията: политическата и правната архитектура задават инструментите, икономическата среда определя стимулите, социалните и технологичните фактори влияят върху уменията и достъпа, а екологичният преход пренасочва търсенето към нови професии, което променя вероятността за изтласкване от активност или обратно – за активиране.</w:t>
      </w:r>
    </w:p>
    <w:p w14:paraId="1B7AD1FA"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Алтернативни обяснения като чисто демографски промени или културни нагласи имат значение, но в краткия постпандемичен хоризонт трудно могат да обяснят бързите междудържавни различия без да се отчетат ценовата динамика, реалните доходи и </w:t>
      </w:r>
      <w:r w:rsidRPr="00D26F56">
        <w:rPr>
          <w:rFonts w:ascii="Times New Roman" w:hAnsi="Times New Roman" w:cs="Times New Roman"/>
          <w:sz w:val="24"/>
          <w:szCs w:val="24"/>
        </w:rPr>
        <w:lastRenderedPageBreak/>
        <w:t>институционалните отговори. Поради това тезата, че икономическите детерминанти са водещи, а институционално-технологичният контекст модерира тяхното въздействие, предлага едновременно теоретично обоснована и емпирично проверима рамка, адекватна на спецификата на периода 2020–2024 г. и на сравняваните национални модели.</w:t>
      </w:r>
    </w:p>
    <w:p w14:paraId="51D61EA3"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Настоящото изследване прилага комбиниран методологичен подход, съчетаващ качествен и количествен анализ с оглед постигане на достъпен, но аргументиран прочит на икономическите и институционалните детерминанти на младежката трудова неактивност в България, Хърватска и Нидерландия през периода 2020–2024 г. </w:t>
      </w:r>
    </w:p>
    <w:p w14:paraId="1E62439C"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Качествената част на изследването се структурира чрез модела PESTEL като аналитична рамка за систематизиране на контекстуалните фактори, които влияят върху формирането и персистентността на младежката трудова неактивност в постпандемичния период. Политическото измерение обхваща архитектурата на активните политики на пазара на труда, механизмите за субсидирана заетост и обучение, институционалната координация между служби по заетостта, образователни институции и работодателски организации, както и стабилността и последователността на политическите приоритети. Икономическото измерение включва динамиката на реалните заплати, инфлационната среда, равнището и структурата на безработицата, интензивността на свободните работни места и цикличните условия, които определят стимулите за участие на младите. Социалното измерение адресира демографските профили, образователната ангажираност, нормите и нагласите към труд и обучение, домакинските ограничения и регионалните неравенства, които влияят върху преходите между образование, заетост и неактивност. Технологичното измерение оценява степента на дигитална готовност, разпространението на дистанционна работа, наличието на базова и напреднала дигитална грамотност и достъпа до цифрова инфраструктура като канали за намаляване на входните бариери към пазара на труда. Екологичното измерение разглежда ефектите от зеления преход, появата на устойчиви индустрии и търсенето на „зелени“ умения като източник на нови заетостни ниши с потенциална привлекателност за младите. Правното измерение анализира трудовото законодателство, регулациите за стажове и дуално обучение, минималната работна заплата и стандартите за гъвкави форми на заетост, които определят сигурността и предвидимостта на трудовите отношения.</w:t>
      </w:r>
    </w:p>
    <w:p w14:paraId="3AC87CD5"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lastRenderedPageBreak/>
        <w:t>Операционализацията на PESTEL се реализира чрез систематичен преглед на стратегически документи, програмни регулации и вторични емпирични източници за всяка от трите държави, като за всяко измерение се идентифицират конкретни индикатори и качествени маркери. Аналитичната процедура включва предварителна кодировка на извадкови текстове и статистики по шестте категории, последвана от тематичен синтез, който търси повтарящи се закономерности и отклонения между България, Хърватска и Нидерландия. Получените профили се подлагат на междудържавна съпоставка с цел изведждане на контекстуални хипотези относно механизмите, чрез които политическите и институционални различия модерират икономическите детерминанти на неактивността. По този начин PESTEL не се използва само като описателен инструмент, а като рамка, която подпомага интерпретацията на количествените резултати, насочва избора на обяснителни променливи и очертава границите на валидност на изводите във всеки национален контекст.</w:t>
      </w:r>
    </w:p>
    <w:p w14:paraId="3869C3F5"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Верификацията на качествените заключения се подпомага чрез триангулация между официални статистически данни, оценки на политики и академични публикации, като се обръща внимание на проблемите на съпоставимост във времето и между страните. Ограниченията на подхода са свързани с различията в детайлността на националните източници, възможни закъснения при отчитането на ефектите от политиките и риск от нормативни промени през разглеждания период, които променят рамката на сравнение. Въпреки това, интегрираният PESTEL профил предоставя необходимия контекст за смислено свързване на наблюдаваните тенденции в неактивността и NEET с основните икономически променливи и позволява формулиране на релевантни препоръки за политики, съобразени със специфичните институционални и технологични параметри на всяка държава.</w:t>
      </w:r>
    </w:p>
    <w:p w14:paraId="4C8F59E8"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Количествената част на изследването използва съпоставими данни от Eurostat, OECD и националните статистически бази на изследваните страни за периода 2020–2024 г. Основните показатели са делът на неактивните младежи 15–29 г. и делът на NEET, а като обяснителни променливи се използват заплати, инфлация, безработица, свободни работни места и разходи за активни политики.</w:t>
      </w:r>
    </w:p>
    <w:p w14:paraId="3278F332"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Анализът включва средни стойности, темпове на изменение и графики, които показват посоката и повратните точки в динамиката. След това се търси зависимост между </w:t>
      </w:r>
      <w:r w:rsidRPr="00D26F56">
        <w:rPr>
          <w:rFonts w:ascii="Times New Roman" w:hAnsi="Times New Roman" w:cs="Times New Roman"/>
          <w:sz w:val="24"/>
          <w:szCs w:val="24"/>
        </w:rPr>
        <w:lastRenderedPageBreak/>
        <w:t>неактивност/NEET и основните икономически променливи, за да се провери има ли връзка и в каква посока. Интерпретациите се съпоставят с PESTEL профилите на страните, за да се обяснят различията в контекста.</w:t>
      </w:r>
    </w:p>
    <w:p w14:paraId="65169DCD"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Сравнителният анализ се използва за съпоставка между трите държави по ключови икономически и социални измерения, свързани с младежката неактивност, като целта е да се откроят структурни различия в пазарите на труда, особености на политиките за заетост и степени на социално-икономическо развитие. Аналитичният фокус е насочен към дела на неактивните лица във възрастовата група 15–29 години, дела на младежите, които не работят и не учат (NEET), равнището на младежката безработица, динамиката на минималната и средната работна заплата в реално изражение, публичните разходи за активни политики на пазара на труда като дял от брутния вътрешен продукт, както и към индикатори, отразяващи степента на дигитална готовност на икономиката и обществото. </w:t>
      </w:r>
    </w:p>
    <w:p w14:paraId="2FB0BD1B"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PESTEL анализът изпълнява ролята на рамков инструмент за идентифициране на макросредата, в която се формират моделите на младежка неактивност. За всяка от трите държави се разглеждат политическите инструменти и инициативи, насочени към младежка заетост и обучение, икономическите условия, отразени чрез растежа, инфлацията, равнищата на заплащане и безработица, социалните характеристики, свързани с демографската структура, образователното участие и нагласите към труд, технологичните предпоставки за дигитализация, дистанционна работа и достъп до интернет, екологичните фактори, отварящи възможности за зелена заетост, както и правната среда, включително трудовото законодателство, регулациите за стажове и минималната работна заплата. Съпоставянето на резултатите от този анализ позволява да се очертаят националните различия и да се оцени как контекстуалните фактори модерират влиянието на ключовите икономически детерминанти върху младежката активност и неактивност.</w:t>
      </w:r>
    </w:p>
    <w:p w14:paraId="2A538369" w14:textId="77777777" w:rsidR="00D26F56" w:rsidRPr="00D26F56"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 xml:space="preserve">Описателният анализ се прилага за да визуализира и количествено обобщи динамиката на младежката неактивност през периода 2020–2024 г. за всяка от разглежданите страни. За целите на началната емпирична ориентация се търси и зависимост между дела на неактивните младежи и подбрани икономически променливи, сред които минималната и средната работна заплата, нива на инфлацията и безработицата, като </w:t>
      </w:r>
      <w:r w:rsidRPr="00D26F56">
        <w:rPr>
          <w:rFonts w:ascii="Times New Roman" w:hAnsi="Times New Roman" w:cs="Times New Roman"/>
          <w:sz w:val="24"/>
          <w:szCs w:val="24"/>
        </w:rPr>
        <w:lastRenderedPageBreak/>
        <w:t xml:space="preserve">резултатите служат за хипотетично очертаване на посоките и силата на връзките, които впоследствие се интерпретират в контекста на PESTEL профилите на отделните държави. </w:t>
      </w:r>
    </w:p>
    <w:p w14:paraId="60E51B60" w14:textId="77777777" w:rsidR="00D26F56" w:rsidRPr="00D26F56" w:rsidRDefault="00D26F56" w:rsidP="00D26F56">
      <w:pPr>
        <w:spacing w:line="360" w:lineRule="auto"/>
        <w:ind w:firstLine="708"/>
        <w:jc w:val="both"/>
        <w:rPr>
          <w:rFonts w:ascii="Times New Roman" w:hAnsi="Times New Roman" w:cs="Times New Roman"/>
          <w:b/>
          <w:bCs/>
          <w:sz w:val="24"/>
          <w:szCs w:val="24"/>
        </w:rPr>
      </w:pPr>
      <w:r w:rsidRPr="00D26F56">
        <w:rPr>
          <w:rFonts w:ascii="Times New Roman" w:hAnsi="Times New Roman" w:cs="Times New Roman"/>
          <w:b/>
          <w:bCs/>
          <w:sz w:val="24"/>
          <w:szCs w:val="24"/>
        </w:rPr>
        <w:br w:type="page"/>
      </w:r>
    </w:p>
    <w:p w14:paraId="136D1FB5" w14:textId="146DD994" w:rsidR="00A1042F" w:rsidRPr="003E1F48" w:rsidRDefault="00A1042F" w:rsidP="00A1042F">
      <w:pPr>
        <w:spacing w:line="360" w:lineRule="auto"/>
        <w:ind w:firstLine="708"/>
        <w:jc w:val="both"/>
        <w:rPr>
          <w:rFonts w:ascii="Times New Roman" w:hAnsi="Times New Roman" w:cs="Times New Roman"/>
          <w:b/>
          <w:bCs/>
          <w:sz w:val="24"/>
          <w:szCs w:val="24"/>
        </w:rPr>
      </w:pPr>
      <w:bookmarkStart w:id="1" w:name="_Hlk213132874"/>
      <w:r w:rsidRPr="003E1F48">
        <w:rPr>
          <w:rFonts w:ascii="Times New Roman" w:hAnsi="Times New Roman" w:cs="Times New Roman"/>
          <w:b/>
          <w:bCs/>
          <w:sz w:val="24"/>
          <w:szCs w:val="24"/>
        </w:rPr>
        <w:lastRenderedPageBreak/>
        <w:t>Първа глава. Теоретични аспекти на младежката трудова неактивност в постпандемичния пазар на труда</w:t>
      </w:r>
    </w:p>
    <w:p w14:paraId="56FA3646" w14:textId="3537F527" w:rsidR="00A1042F" w:rsidRPr="003E1F48" w:rsidRDefault="003B1ACC" w:rsidP="00A1042F">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A1042F" w:rsidRPr="003E1F48">
        <w:rPr>
          <w:rFonts w:ascii="Times New Roman" w:hAnsi="Times New Roman" w:cs="Times New Roman"/>
          <w:b/>
          <w:bCs/>
          <w:sz w:val="24"/>
          <w:szCs w:val="24"/>
        </w:rPr>
        <w:t>1. Същност и икономически интерпретации на младежката трудова неактивност</w:t>
      </w:r>
    </w:p>
    <w:bookmarkEnd w:id="1"/>
    <w:p w14:paraId="46DEC92F" w14:textId="77777777" w:rsidR="005E1645" w:rsidRPr="003E1F48"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Младежката трудова неактивност представлява многопластово социално-икономическо явление, което отразява състоянието на лица в младежка възраст, обикновено между 15 и 29 години, които не участват нито в заетост, нито в образование или обучение</w:t>
      </w:r>
      <w:r w:rsidRPr="003E1F48">
        <w:t xml:space="preserve"> </w:t>
      </w:r>
      <w:r w:rsidRPr="003E1F48">
        <w:rPr>
          <w:rFonts w:ascii="Times New Roman" w:hAnsi="Times New Roman" w:cs="Times New Roman"/>
          <w:sz w:val="24"/>
          <w:szCs w:val="24"/>
        </w:rPr>
        <w:t>(European Centre for the Development of Professional Training (CEDEFOP), 2020)</w:t>
      </w:r>
      <w:r w:rsidRPr="005E1645">
        <w:rPr>
          <w:rFonts w:ascii="Times New Roman" w:hAnsi="Times New Roman" w:cs="Times New Roman"/>
          <w:sz w:val="24"/>
          <w:szCs w:val="24"/>
        </w:rPr>
        <w:t>. В литература</w:t>
      </w:r>
      <w:r w:rsidRPr="003E1F48">
        <w:rPr>
          <w:rFonts w:ascii="Times New Roman" w:hAnsi="Times New Roman" w:cs="Times New Roman"/>
          <w:sz w:val="24"/>
          <w:szCs w:val="24"/>
        </w:rPr>
        <w:t>ta</w:t>
      </w:r>
      <w:r w:rsidRPr="005E1645">
        <w:rPr>
          <w:rFonts w:ascii="Times New Roman" w:hAnsi="Times New Roman" w:cs="Times New Roman"/>
          <w:sz w:val="24"/>
          <w:szCs w:val="24"/>
        </w:rPr>
        <w:t xml:space="preserve"> това явление често се операционализира чрез показателя NEET (Not in Employment, Education or Training), който служи като обобщен индикатор за степента на изключване на младите хора от активните икономически и образователни процеси</w:t>
      </w:r>
      <w:r w:rsidRPr="003E1F48">
        <w:t xml:space="preserve"> </w:t>
      </w:r>
      <w:r w:rsidRPr="003E1F48">
        <w:rPr>
          <w:rFonts w:ascii="Times New Roman" w:hAnsi="Times New Roman" w:cs="Times New Roman"/>
          <w:sz w:val="24"/>
          <w:szCs w:val="24"/>
        </w:rPr>
        <w:t>(OECD, 2024)</w:t>
      </w:r>
      <w:r w:rsidRPr="005E1645">
        <w:rPr>
          <w:rFonts w:ascii="Times New Roman" w:hAnsi="Times New Roman" w:cs="Times New Roman"/>
          <w:sz w:val="24"/>
          <w:szCs w:val="24"/>
        </w:rPr>
        <w:t xml:space="preserve">. </w:t>
      </w:r>
    </w:p>
    <w:p w14:paraId="1EDB5916" w14:textId="2788F81C" w:rsidR="005E1645" w:rsidRPr="005E1645" w:rsidRDefault="005E1645" w:rsidP="005E1645">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Терминът „младежка трудова неактивност“ се различава по редица показатели от термина „младежка безработица“. </w:t>
      </w:r>
      <w:r w:rsidRPr="005E1645">
        <w:rPr>
          <w:rFonts w:ascii="Times New Roman" w:hAnsi="Times New Roman" w:cs="Times New Roman"/>
          <w:sz w:val="24"/>
          <w:szCs w:val="24"/>
        </w:rPr>
        <w:t>В съвременната икономическа и социална статистика термините „младежка безработица“ и „младежка неактивност“ (или NEET – Not in Employment, Education or Training) обозначават различни измерения на участието на младите хора в икономиката и в процесите на социална интеграция</w:t>
      </w:r>
      <w:r w:rsidRPr="003E1F48">
        <w:t xml:space="preserve"> </w:t>
      </w:r>
      <w:r w:rsidRPr="003E1F48">
        <w:rPr>
          <w:rFonts w:ascii="Times New Roman" w:hAnsi="Times New Roman" w:cs="Times New Roman"/>
          <w:sz w:val="24"/>
          <w:szCs w:val="24"/>
        </w:rPr>
        <w:t>(International Labour Organization (ILO), 2025)</w:t>
      </w:r>
      <w:r w:rsidRPr="005E1645">
        <w:rPr>
          <w:rFonts w:ascii="Times New Roman" w:hAnsi="Times New Roman" w:cs="Times New Roman"/>
          <w:sz w:val="24"/>
          <w:szCs w:val="24"/>
        </w:rPr>
        <w:t>. Макар на пръв поглед да изглеждат близки, те се различават съществено както по своята концептуална основа, така и по аналитичната стойност, която имат за разбирането на бариерите пред навлизането на младежите на пазара на труда.</w:t>
      </w:r>
    </w:p>
    <w:p w14:paraId="5FF5683F" w14:textId="4CEA03E3"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Показателят за младежка безработица отразява дела на младите хора, които нямат работа, но активно търсят такава и са готови да започнат работа веднага, ако им бъде предложена. Той се базира на класическата дефиниция на Международната организация на труда (МОТ) за безработица</w:t>
      </w:r>
      <w:r w:rsidR="00ED0B92" w:rsidRPr="003E1F48">
        <w:rPr>
          <w:rFonts w:ascii="Times New Roman" w:hAnsi="Times New Roman" w:cs="Times New Roman"/>
          <w:sz w:val="24"/>
          <w:szCs w:val="24"/>
        </w:rPr>
        <w:t>, според което безработни са лицата в работоспособна възраст, които нямат работа, активно търсят такава и са готови да започнат работа в кратък срок,</w:t>
      </w:r>
      <w:r w:rsidRPr="005E1645">
        <w:rPr>
          <w:rFonts w:ascii="Times New Roman" w:hAnsi="Times New Roman" w:cs="Times New Roman"/>
          <w:sz w:val="24"/>
          <w:szCs w:val="24"/>
        </w:rPr>
        <w:t xml:space="preserve"> и по своята същност измерва не заетостта, а активността на пазара на труда, тоест готовността на младите да участват в него</w:t>
      </w:r>
      <w:r w:rsidRPr="003E1F48">
        <w:t xml:space="preserve"> </w:t>
      </w:r>
      <w:r w:rsidRPr="003E1F48">
        <w:rPr>
          <w:rFonts w:ascii="Times New Roman" w:hAnsi="Times New Roman" w:cs="Times New Roman"/>
          <w:sz w:val="24"/>
          <w:szCs w:val="24"/>
        </w:rPr>
        <w:t>(International Labour Organization (ILO), 2025)</w:t>
      </w:r>
      <w:r w:rsidRPr="005E1645">
        <w:rPr>
          <w:rFonts w:ascii="Times New Roman" w:hAnsi="Times New Roman" w:cs="Times New Roman"/>
          <w:sz w:val="24"/>
          <w:szCs w:val="24"/>
        </w:rPr>
        <w:t xml:space="preserve">. В този смисъл високият процент на младежка безработица не винаги е отрицателен сигнал, защото може да отразява по-висока степен на търсене на работа и по-голяма ангажираност с </w:t>
      </w:r>
      <w:r w:rsidRPr="005E1645">
        <w:rPr>
          <w:rFonts w:ascii="Times New Roman" w:hAnsi="Times New Roman" w:cs="Times New Roman"/>
          <w:sz w:val="24"/>
          <w:szCs w:val="24"/>
        </w:rPr>
        <w:lastRenderedPageBreak/>
        <w:t>икономическите процеси. От друга страна, в страни или групи, където липсва достъп до социална защита и финансови ресурси, много млади хора не могат да си позволят продължително търсене на работа и отпадат от активното участие в пазара, без да бъдат включени в статистиката за безработица.</w:t>
      </w:r>
    </w:p>
    <w:p w14:paraId="64AD2F1F" w14:textId="4C5264A3"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Показателят NEET обхваща много по-широка група от лица. Той включва не само младите безработни, но и всички млади хора, които не работят, не учат и не се обучават, независимо дали търсят работа или не. Това го превръща в по-пълен и по-информативен индикатор за общата степен на социално-икономическо изключване на младежите. Докато безработицата се концентрира върху активното търсене на заетост, NEET измерва липсата на участие изобщо – както в трудовия, така и в образователния процес. В резултат на това показателят NEET е чувствителен към фактори като обезкураженост, социални бариери, семейни задължения или културни норми, които могат да възпрепятстват активността на младите жени и на младежите в селските райони.</w:t>
      </w:r>
      <w:r w:rsidR="00ED0B92" w:rsidRPr="003E1F48">
        <w:t xml:space="preserve"> </w:t>
      </w:r>
      <w:r w:rsidR="00ED0B92" w:rsidRPr="003E1F48">
        <w:rPr>
          <w:rFonts w:ascii="Times New Roman" w:hAnsi="Times New Roman" w:cs="Times New Roman"/>
          <w:sz w:val="24"/>
          <w:szCs w:val="24"/>
        </w:rPr>
        <w:t>(International Labour Organization (ILO), 2025)</w:t>
      </w:r>
    </w:p>
    <w:p w14:paraId="62F5AA3A" w14:textId="77777777"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Икономическите и социалните интерпретации на двата показателя също се различават. Младежката безработица често се използва за оценка на ефективността на пазара на труда и на икономическия растеж, докато NEET е индикатор за степента на уязвимост и риск от дългосрочно изключване. Високата младежка безработица може да сигнализира за временни пазарни сътресения, но високият дял на NEET сочи по-дълбоки структурни проблеми – липса на възможности, несъответствие между умения и търсене, дефицит на образование или социална подкрепа. Освен това, NEET се влияе от динамиката на образованието: ако участието в образованието нараства, делът на безработните може временно да се увеличи, докато делът на NEET ще намалее, защото включването в обучение или образование се разглежда като форма на активност.</w:t>
      </w:r>
    </w:p>
    <w:p w14:paraId="0590577A" w14:textId="7D9525E0"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 xml:space="preserve">От гледна точка на социалната уязвимост NEET се счита за по-надежден индикатор, тъй като отразява не само икономическото, но и социалното изключване. В контексти, където социалната защита е ограничена, само млади хора с финансовата подкрепа на семействата си могат да си позволят да бъдат безработни, докато най-бедните обикновено се оказват извън и безработицата, и образователната система. По този начин NEET обхваща </w:t>
      </w:r>
      <w:r w:rsidRPr="005E1645">
        <w:rPr>
          <w:rFonts w:ascii="Times New Roman" w:hAnsi="Times New Roman" w:cs="Times New Roman"/>
          <w:sz w:val="24"/>
          <w:szCs w:val="24"/>
        </w:rPr>
        <w:lastRenderedPageBreak/>
        <w:t>именно тези групи, които се намират в най-висок риск от дълготрайна икономическа и социална изолация</w:t>
      </w:r>
      <w:r w:rsidR="00ED0B92" w:rsidRPr="003E1F48">
        <w:t xml:space="preserve"> </w:t>
      </w:r>
      <w:r w:rsidR="00ED0B92" w:rsidRPr="003E1F48">
        <w:rPr>
          <w:rFonts w:ascii="Times New Roman" w:hAnsi="Times New Roman" w:cs="Times New Roman"/>
          <w:sz w:val="24"/>
          <w:szCs w:val="24"/>
        </w:rPr>
        <w:t>(International Labour Organization (ILO), 2025)</w:t>
      </w:r>
      <w:r w:rsidRPr="005E1645">
        <w:rPr>
          <w:rFonts w:ascii="Times New Roman" w:hAnsi="Times New Roman" w:cs="Times New Roman"/>
          <w:sz w:val="24"/>
          <w:szCs w:val="24"/>
        </w:rPr>
        <w:t>.</w:t>
      </w:r>
    </w:p>
    <w:p w14:paraId="0D78A616" w14:textId="26EB2DC4"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В съвременната международна политика показателят NEET се утвърждава като основен инструмент за измерване на напредъка към Цел 8.6 на ООН за устойчиво развитие, която цели значително намаляване на дела на младежите, които не работят, не учат и не се обучават. Тази промяна в акцента от безработица към неактивност отразява разбирането, че истинският проблем не е само липсата на работа, а изключването от икономическите и образователните процеси като цяло. Следователно разликата между двата показателя не е само статистическа, а концептуална: докато младежката безработица описва динамиката на активното търсене на работа, NEET измерва степента на социално-икономическо включване и достъп до възможности – тоест „измерва това, което наистина има значение“</w:t>
      </w:r>
      <w:r w:rsidR="00ED0B92" w:rsidRPr="003E1F48">
        <w:rPr>
          <w:rFonts w:ascii="Times New Roman" w:hAnsi="Times New Roman" w:cs="Times New Roman"/>
          <w:sz w:val="24"/>
          <w:szCs w:val="24"/>
        </w:rPr>
        <w:t>(International Labour Organization (ILO), 2025)</w:t>
      </w:r>
      <w:r w:rsidRPr="005E1645">
        <w:rPr>
          <w:rFonts w:ascii="Times New Roman" w:hAnsi="Times New Roman" w:cs="Times New Roman"/>
          <w:sz w:val="24"/>
          <w:szCs w:val="24"/>
        </w:rPr>
        <w:t>.</w:t>
      </w:r>
    </w:p>
    <w:p w14:paraId="019FE44D" w14:textId="42D7C15F"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Същността на младежката трудова неактивност обединява както индивидуални, така и структурни измерения. От една страна, тя се свързва с особеностите на прехода между образователната система и пазара на труда, с несъответствията между уменията на младите и изискванията на работодателите, както и с ограничените възможности за първа заетост. От друга страна, неактивността е функция на по-широки макроикономически и институционални контексти, които определят степента на икономическа сигурност, социална подкрепа и достъп до качествени възможности за трудова реализация</w:t>
      </w:r>
      <w:r w:rsidR="00ED0B92" w:rsidRPr="003E1F48">
        <w:t xml:space="preserve"> </w:t>
      </w:r>
      <w:r w:rsidR="00ED0B92" w:rsidRPr="003E1F48">
        <w:rPr>
          <w:rFonts w:ascii="Times New Roman" w:hAnsi="Times New Roman" w:cs="Times New Roman"/>
          <w:sz w:val="24"/>
          <w:szCs w:val="24"/>
        </w:rPr>
        <w:t>(Rahmani et al., 2024)</w:t>
      </w:r>
      <w:r w:rsidRPr="005E1645">
        <w:rPr>
          <w:rFonts w:ascii="Times New Roman" w:hAnsi="Times New Roman" w:cs="Times New Roman"/>
          <w:sz w:val="24"/>
          <w:szCs w:val="24"/>
        </w:rPr>
        <w:t>.</w:t>
      </w:r>
    </w:p>
    <w:p w14:paraId="6E05FE90" w14:textId="1DA9AE5F"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Икономическите интерпретации на младежката трудова неактивност обикновено се движат между два основни аналитични подхода – неокласическия и институционалния</w:t>
      </w:r>
      <w:r w:rsidR="00ED0B92" w:rsidRPr="003E1F48">
        <w:t xml:space="preserve"> </w:t>
      </w:r>
      <w:r w:rsidR="00ED0B92" w:rsidRPr="003E1F48">
        <w:rPr>
          <w:rFonts w:ascii="Times New Roman" w:hAnsi="Times New Roman" w:cs="Times New Roman"/>
          <w:sz w:val="24"/>
          <w:szCs w:val="24"/>
        </w:rPr>
        <w:t>(Amini &amp; Aditina, 2024)</w:t>
      </w:r>
      <w:r w:rsidRPr="005E1645">
        <w:rPr>
          <w:rFonts w:ascii="Times New Roman" w:hAnsi="Times New Roman" w:cs="Times New Roman"/>
          <w:sz w:val="24"/>
          <w:szCs w:val="24"/>
        </w:rPr>
        <w:t xml:space="preserve">. В рамките на неокласическата теория неактивността се разглежда като резултат от несъвършенства на пазара на труда, при които предлагането на труд от страна на младите не намира достатъчно стимули в наличните възнаграждения и условия на труд. В този контекст решението да се остане извън пазара на труда може да бъде рационален отговор на ниска очаквана възвращаемост от заетост спрямо разходите за търсене и адаптиране. Икономическите модели подчертават ролята на реалните заплати, инфлацията и очакванията за бъдещи доходи, като фактори, които оформят границата между активност и неактивност. Повишената несигурност, високата безработица и </w:t>
      </w:r>
      <w:r w:rsidRPr="005E1645">
        <w:rPr>
          <w:rFonts w:ascii="Times New Roman" w:hAnsi="Times New Roman" w:cs="Times New Roman"/>
          <w:sz w:val="24"/>
          <w:szCs w:val="24"/>
        </w:rPr>
        <w:lastRenderedPageBreak/>
        <w:t>ограничените перспективи за кариерно развитие могат да доведат до обезкуражаване и отлагане на навлизането на младите на пазара на труда, особено в икономики с по-слаба социална защита</w:t>
      </w:r>
      <w:r w:rsidR="00ED0B92" w:rsidRPr="003E1F48">
        <w:t xml:space="preserve"> </w:t>
      </w:r>
      <w:r w:rsidR="00ED0B92" w:rsidRPr="003E1F48">
        <w:rPr>
          <w:rFonts w:ascii="Times New Roman" w:hAnsi="Times New Roman" w:cs="Times New Roman"/>
          <w:sz w:val="24"/>
          <w:szCs w:val="24"/>
        </w:rPr>
        <w:t>(Amini &amp; Aditina, 2024)</w:t>
      </w:r>
      <w:r w:rsidRPr="005E1645">
        <w:rPr>
          <w:rFonts w:ascii="Times New Roman" w:hAnsi="Times New Roman" w:cs="Times New Roman"/>
          <w:sz w:val="24"/>
          <w:szCs w:val="24"/>
        </w:rPr>
        <w:t>.</w:t>
      </w:r>
    </w:p>
    <w:p w14:paraId="7703DB0A" w14:textId="576B623D"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Институционалният и социоикономическият подход поставя акцент върху контекста, в който се формира младежката неактивност. Според него тя не може да бъде обяснена единствено чрез индивидуалните предпочитания или пазарните условия, а трябва да се разглежда като функция на системата от институции, политики и социални норми. Структурата на образователната система, степента на връзка между училището и пазара на труда, наличието на програми за стажове и практическо обучение, достъпът до услуги по посредничество и активни политики на пазара на труда са определящи за скоростта и устойчивостта на прехода от образование към заетост. Неактивността тук се интерпретира като резултат от несъответствие между търсенето и предлагането на труд, но и като следствие от институционална инерция, социални бариери и липса на координация между публичните системи</w:t>
      </w:r>
      <w:r w:rsidR="00ED0B92" w:rsidRPr="003E1F48">
        <w:t xml:space="preserve"> </w:t>
      </w:r>
      <w:r w:rsidR="00ED0B92" w:rsidRPr="003E1F48">
        <w:rPr>
          <w:rFonts w:ascii="Times New Roman" w:hAnsi="Times New Roman" w:cs="Times New Roman"/>
          <w:sz w:val="24"/>
          <w:szCs w:val="24"/>
        </w:rPr>
        <w:t>(Amini &amp; Aditina, 2024)</w:t>
      </w:r>
      <w:r w:rsidRPr="005E1645">
        <w:rPr>
          <w:rFonts w:ascii="Times New Roman" w:hAnsi="Times New Roman" w:cs="Times New Roman"/>
          <w:sz w:val="24"/>
          <w:szCs w:val="24"/>
        </w:rPr>
        <w:t>.</w:t>
      </w:r>
    </w:p>
    <w:p w14:paraId="69F6F642" w14:textId="09198556"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От макроикономическа перспектива младежката трудова неактивност има двойствен ефект върху икономическото развитие. Тя едновременно е симптом и източник на структурни слабости. Високото равнище на неактивност ограничава потенциала на икономическия растеж чрез непълноценно използване на човешкия капитал, намаляване на производителността и задълбочаване на социално-икономическите неравенства. Това води до по-нисък принос на младите към данъчната база и до по-високо натоварване на системите за социална подкрепа. В същото време, от гледна точка на цикличната динамика, неактивността може да действа като буфер при спад на търсенето на труд, ограничавайки официалната безработица, но с цената на латентна загуба на умения и дългосрочна маргинализация на младежки групи</w:t>
      </w:r>
      <w:r w:rsidR="00ED0B92" w:rsidRPr="003E1F48">
        <w:t xml:space="preserve"> </w:t>
      </w:r>
      <w:r w:rsidR="00ED0B92" w:rsidRPr="003E1F48">
        <w:rPr>
          <w:rFonts w:ascii="Times New Roman" w:hAnsi="Times New Roman" w:cs="Times New Roman"/>
          <w:sz w:val="24"/>
          <w:szCs w:val="24"/>
        </w:rPr>
        <w:t>(Gunnes et al., 2025)</w:t>
      </w:r>
      <w:r w:rsidRPr="005E1645">
        <w:rPr>
          <w:rFonts w:ascii="Times New Roman" w:hAnsi="Times New Roman" w:cs="Times New Roman"/>
          <w:sz w:val="24"/>
          <w:szCs w:val="24"/>
        </w:rPr>
        <w:t>.</w:t>
      </w:r>
    </w:p>
    <w:p w14:paraId="425223E8" w14:textId="4DEF51DB"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 xml:space="preserve">На микроикономическо равнище неактивността се свързва с теорията за човешкия капитал, според която инвестицията в образование и обучение определя способността на индивида да участва ефективно в икономическите процеси. Когато тази инвестиция не се реализира или се прекъсва преждевременно, рискът от неактивност се увеличава. Продължителното излизане от пазара на труда води до ерозия на уменията, намаляване на мотивацията и трайно изключване от производствените отношения. Тези процеси имат </w:t>
      </w:r>
      <w:r w:rsidRPr="005E1645">
        <w:rPr>
          <w:rFonts w:ascii="Times New Roman" w:hAnsi="Times New Roman" w:cs="Times New Roman"/>
          <w:sz w:val="24"/>
          <w:szCs w:val="24"/>
        </w:rPr>
        <w:lastRenderedPageBreak/>
        <w:t>мултиплициращ ефект върху социалната мобилност и икономическата ефективност, като възпроизвеждат порочен кръг на ниски доходи, бедност и ограничени възможности за развитие</w:t>
      </w:r>
      <w:r w:rsidR="00ED0B92" w:rsidRPr="003E1F48">
        <w:t xml:space="preserve"> </w:t>
      </w:r>
      <w:r w:rsidR="00ED0B92" w:rsidRPr="003E1F48">
        <w:rPr>
          <w:rFonts w:ascii="Times New Roman" w:hAnsi="Times New Roman" w:cs="Times New Roman"/>
          <w:sz w:val="24"/>
          <w:szCs w:val="24"/>
        </w:rPr>
        <w:t>(Gunnes et al., 2025)</w:t>
      </w:r>
      <w:r w:rsidRPr="005E1645">
        <w:rPr>
          <w:rFonts w:ascii="Times New Roman" w:hAnsi="Times New Roman" w:cs="Times New Roman"/>
          <w:sz w:val="24"/>
          <w:szCs w:val="24"/>
        </w:rPr>
        <w:t>.</w:t>
      </w:r>
    </w:p>
    <w:p w14:paraId="643864A1" w14:textId="7124207D" w:rsidR="005E1645" w:rsidRPr="005E1645" w:rsidRDefault="005E1645" w:rsidP="005E1645">
      <w:pPr>
        <w:spacing w:line="360" w:lineRule="auto"/>
        <w:ind w:firstLine="708"/>
        <w:jc w:val="both"/>
        <w:rPr>
          <w:rFonts w:ascii="Times New Roman" w:hAnsi="Times New Roman" w:cs="Times New Roman"/>
          <w:sz w:val="24"/>
          <w:szCs w:val="24"/>
        </w:rPr>
      </w:pPr>
      <w:r w:rsidRPr="005E1645">
        <w:rPr>
          <w:rFonts w:ascii="Times New Roman" w:hAnsi="Times New Roman" w:cs="Times New Roman"/>
          <w:sz w:val="24"/>
          <w:szCs w:val="24"/>
        </w:rPr>
        <w:t>Младежката неактивност не е просто статистически индикатор за временна загуба на ангажираност, а комплексен феномен, отразяващ състоянието на взаимодействие между икономическите структури, социалните политики и културните модели на преход към зрелост. Разбирането на нейната същност и икономически интерпретации е от съществено значение за формулирането на ефективни политики, насочени към намаляване на структурната бездейност и активизиране на младежкия трудов потенциал в условията на динамична и технологично променяща се икономика.</w:t>
      </w:r>
    </w:p>
    <w:p w14:paraId="38245DFC" w14:textId="1714D371" w:rsidR="00A1042F" w:rsidRPr="003E1F48" w:rsidRDefault="003B1ACC" w:rsidP="00A1042F">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A1042F" w:rsidRPr="003E1F48">
        <w:rPr>
          <w:rFonts w:ascii="Times New Roman" w:hAnsi="Times New Roman" w:cs="Times New Roman"/>
          <w:b/>
          <w:bCs/>
          <w:sz w:val="24"/>
          <w:szCs w:val="24"/>
        </w:rPr>
        <w:t>2. Икономически и институционални детерминанти на младежката трудова неактивност</w:t>
      </w:r>
    </w:p>
    <w:p w14:paraId="5D89ACF1" w14:textId="1D82C121" w:rsidR="003E1F48" w:rsidRPr="003E1F48" w:rsidRDefault="0046520B" w:rsidP="0046520B">
      <w:pPr>
        <w:spacing w:line="360" w:lineRule="auto"/>
        <w:ind w:firstLine="708"/>
        <w:jc w:val="both"/>
        <w:rPr>
          <w:rFonts w:ascii="Times New Roman" w:hAnsi="Times New Roman" w:cs="Times New Roman"/>
          <w:sz w:val="24"/>
          <w:szCs w:val="24"/>
        </w:rPr>
      </w:pPr>
      <w:r w:rsidRPr="0046520B">
        <w:rPr>
          <w:rFonts w:ascii="Times New Roman" w:hAnsi="Times New Roman" w:cs="Times New Roman"/>
          <w:sz w:val="24"/>
          <w:szCs w:val="24"/>
        </w:rPr>
        <w:t>Икономическите и институционалните детерминанти на младежката трудова неактивност се проявяват в пресечната точка между стимули, ограничения и контекст, които оформят прехода от образование към заетост и устойчивостта на участието в пазара на труда. В основата стои напрежението между потенциала на т.нар. демографски дивидент – период, в който делът на населението в продуктивна възраст превишава дела на неактивните и зависимите групи – и реалното оползотворяване на този потенциал чрез продуктивна заетост. Когато икономиката и институциите не успяват да абсорбират и развият трудовия принос на младите, очакваните ползи от демографския бонус се подкопават и се материализират в по-високи нива на неактивност и NEET</w:t>
      </w:r>
      <w:r w:rsidR="003E1F48" w:rsidRPr="003E1F48">
        <w:t xml:space="preserve"> </w:t>
      </w:r>
      <w:r w:rsidR="003E1F48" w:rsidRPr="003E1F48">
        <w:rPr>
          <w:rFonts w:ascii="Times New Roman" w:hAnsi="Times New Roman" w:cs="Times New Roman"/>
          <w:sz w:val="24"/>
          <w:szCs w:val="24"/>
        </w:rPr>
        <w:t>(Chen, 2010)</w:t>
      </w:r>
      <w:r w:rsidRPr="0046520B">
        <w:rPr>
          <w:rFonts w:ascii="Times New Roman" w:hAnsi="Times New Roman" w:cs="Times New Roman"/>
          <w:sz w:val="24"/>
          <w:szCs w:val="24"/>
        </w:rPr>
        <w:t xml:space="preserve">. </w:t>
      </w:r>
    </w:p>
    <w:p w14:paraId="40786ACD" w14:textId="1C112FB6" w:rsidR="0046520B" w:rsidRPr="0046520B" w:rsidRDefault="0046520B" w:rsidP="0046520B">
      <w:pPr>
        <w:spacing w:line="360" w:lineRule="auto"/>
        <w:ind w:firstLine="708"/>
        <w:jc w:val="both"/>
        <w:rPr>
          <w:rFonts w:ascii="Times New Roman" w:hAnsi="Times New Roman" w:cs="Times New Roman"/>
          <w:sz w:val="24"/>
          <w:szCs w:val="24"/>
        </w:rPr>
      </w:pPr>
      <w:r w:rsidRPr="0046520B">
        <w:rPr>
          <w:rFonts w:ascii="Times New Roman" w:hAnsi="Times New Roman" w:cs="Times New Roman"/>
          <w:sz w:val="24"/>
          <w:szCs w:val="24"/>
        </w:rPr>
        <w:t>Данни от изследвания на младежката активност по видове дейности показват, че производителността на младежите често не е максимизирана: по-голям дял от младите мъже търсят работа в сравнение с младите жени, докато последните непропорционално поемат неплатени домашни грижи. Тази полова асиметрия е устойчив детерминант на неактивността, тъй като натоварването с грижи намалява времевата и пространствената гъвкавост и ограничава възможността за участие на пазара на труда, особено в условия на недостъпни услуги за грижа за деца и възрастни</w:t>
      </w:r>
      <w:r w:rsidR="003E1F48" w:rsidRPr="003E1F48">
        <w:t xml:space="preserve"> </w:t>
      </w:r>
      <w:r w:rsidR="003E1F48" w:rsidRPr="003E1F48">
        <w:rPr>
          <w:rFonts w:ascii="Times New Roman" w:hAnsi="Times New Roman" w:cs="Times New Roman"/>
          <w:sz w:val="24"/>
          <w:szCs w:val="24"/>
        </w:rPr>
        <w:t>(Amini &amp; Aditina, 2024)</w:t>
      </w:r>
      <w:r w:rsidRPr="0046520B">
        <w:rPr>
          <w:rFonts w:ascii="Times New Roman" w:hAnsi="Times New Roman" w:cs="Times New Roman"/>
          <w:sz w:val="24"/>
          <w:szCs w:val="24"/>
        </w:rPr>
        <w:t>.</w:t>
      </w:r>
    </w:p>
    <w:p w14:paraId="7C8AC8D4" w14:textId="6B32A1CA" w:rsidR="003E1F48" w:rsidRPr="003E1F48" w:rsidRDefault="003E1F48" w:rsidP="003E1F4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lastRenderedPageBreak/>
        <w:t>На макроикономическо равнище динамиката на реалните заплати, инфлацията, производителността и състоянието на търсенето на труд действат като взаимосвързани канали, през които се формира стимулът за участие на младите и се определя скоростта на прехода им към заетост</w:t>
      </w:r>
      <w:r w:rsidRPr="003E1F48">
        <w:t xml:space="preserve"> </w:t>
      </w:r>
      <w:r w:rsidRPr="003E1F48">
        <w:rPr>
          <w:rFonts w:ascii="Times New Roman" w:hAnsi="Times New Roman" w:cs="Times New Roman"/>
          <w:sz w:val="24"/>
          <w:szCs w:val="24"/>
        </w:rPr>
        <w:t>(Dorsett &amp; Lucchino, 2014). Реалният растеж на възнагражденията повишава резервационната полезност от включване и намалява относителната цена на търсене и адаптация, като ефектът е най-силен при наличие на висока плътност на свободни работни места и активен процес на съвпадение между търсене и предлагане. Когато повишението на номиналните заплати е надхвърлено от инфлационни импулси, покупателната способност ерозира и очакваната възвращаемост от първа заетост намалява, което особено при младите с ниски начални ставки и ограничена преговорна позиция усилва склонността към отлагане и обезкуражаване. Важен модериращ фактор е очакваната инфлация, защото тя влиза в договори и заплатни преговори и определя реалното възприемане на началните оферти; при незадоволителна индексация и ценова нестабилност сигналите от пазара се размиват и младежите удължават периода на търсене или преминават в неактивност. Производителността действа като фундаментална граница на устойчивия растеж на заплатите: когато растежът на производителността в сектори, абсорбиращи начинаещи кадри, е бавен, възнагражденията в долната част на разпределението стагнират и входните позиции запазват ниска привлекателност, което удължава времето до първа заетост</w:t>
      </w:r>
      <w:r w:rsidRPr="003E1F48">
        <w:t xml:space="preserve"> </w:t>
      </w:r>
      <w:r w:rsidRPr="003E1F48">
        <w:rPr>
          <w:rFonts w:ascii="Times New Roman" w:hAnsi="Times New Roman" w:cs="Times New Roman"/>
          <w:sz w:val="24"/>
          <w:szCs w:val="24"/>
        </w:rPr>
        <w:t>(Dorsett &amp; Lucchino, 2014).</w:t>
      </w:r>
    </w:p>
    <w:p w14:paraId="73476AE4" w14:textId="158E195C" w:rsidR="003E1F48" w:rsidRPr="003E1F48" w:rsidRDefault="003E1F48" w:rsidP="003E1F4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Състоянието на търсенето на труд се материализира чрез динамиката по кривата на Бевъридж и интензивността на съответствието между търсене и предлагане на труд. В икономики с висока вакантност и ефективни механизми за посредничество вероятността за съвпадение за начинаещ кандидат е по-голяма, а продължителността на прехода – по-кратка. Обратното, при спад на търсенето, дори кратки периоди на безработица се превръщат в неактивност за част от младите, тъй като липсата на оферти в началния сегмент и на възможности за натрупване на опит обезценява продължаването на търсенето. Тук се проявява и ролята на институционални структури като минимална заплата и входни договори: когато </w:t>
      </w:r>
      <w:r>
        <w:rPr>
          <w:rFonts w:ascii="Times New Roman" w:hAnsi="Times New Roman" w:cs="Times New Roman"/>
          <w:sz w:val="24"/>
          <w:szCs w:val="24"/>
        </w:rPr>
        <w:t>настикът</w:t>
      </w:r>
      <w:r w:rsidRPr="003E1F48">
        <w:rPr>
          <w:rFonts w:ascii="Times New Roman" w:hAnsi="Times New Roman" w:cs="Times New Roman"/>
          <w:sz w:val="24"/>
          <w:szCs w:val="24"/>
        </w:rPr>
        <w:t xml:space="preserve"> на минималната заплата е висок в сектори с ниска производителност, работодателите ограничават наемането на неопитни кадри или изместват обучението вътре във фирмата, докато при умерена регулация и налични субсидирани стажове се наблюдава ускорено навлизане и по-слаб риск от отпадане. </w:t>
      </w:r>
      <w:r>
        <w:rPr>
          <w:rFonts w:ascii="Times New Roman" w:hAnsi="Times New Roman" w:cs="Times New Roman"/>
          <w:sz w:val="24"/>
          <w:szCs w:val="24"/>
        </w:rPr>
        <w:lastRenderedPageBreak/>
        <w:t>Доминантната шозиция</w:t>
      </w:r>
      <w:r w:rsidRPr="003E1F48">
        <w:rPr>
          <w:rFonts w:ascii="Times New Roman" w:hAnsi="Times New Roman" w:cs="Times New Roman"/>
          <w:sz w:val="24"/>
          <w:szCs w:val="24"/>
        </w:rPr>
        <w:t xml:space="preserve"> на големи работодатели в периферни региони допълнително влияе върху началните ставки и върху готовността да се поемат млади без опит, като при слаба конкуренция наемането се забавя, а ротацията остава ниска, което редуцира възможностите за възход по служебната стълбица</w:t>
      </w:r>
      <w:r w:rsidRPr="003E1F48">
        <w:t xml:space="preserve"> </w:t>
      </w:r>
      <w:r w:rsidRPr="003E1F48">
        <w:rPr>
          <w:rFonts w:ascii="Times New Roman" w:hAnsi="Times New Roman" w:cs="Times New Roman"/>
          <w:sz w:val="24"/>
          <w:szCs w:val="24"/>
        </w:rPr>
        <w:t>(Dorsett &amp; Lucchino, 2014).</w:t>
      </w:r>
    </w:p>
    <w:p w14:paraId="15DCB307" w14:textId="33605051" w:rsidR="003E1F48" w:rsidRPr="003E1F48" w:rsidRDefault="003E1F48" w:rsidP="003E1F4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Съвпадението между умения и работни места е специфичен канал, чрез който макроикономическите импулси се превеждат в индивидуални решения. Тъй като младежите навлизат на пазара с ограничен специфичен човешки капитал, изискванията на работодателите за минимален опит създават „пропуск в опита“, който е най-изявен на възраст 22–23 години, когато преходът от завършване към първа заетост е статистически най-вероятен. Ако в този прозорец липсват входни позиции с вградено обучение, практики, наставничество и прозрачни пътеки за валидиране на умения, времето до първи договор се удължава, а вероятността от неактивност се увеличава. Ефектът има характеристиките на „белязване“: продължителната неактивност след дипломиране намалява шансовете за последващо наемане, тъй като празнините в автобиографията се интерпретират като сигнал за по-ниска продуктивност, а ерозията на уменията и загубата на навици за труд правят адаптацията по-скъпа. В условия на ускорена технологична дифузия и автоматизация пропастта между общите компетентности на завършилите и специфичните изисквания по длъжностни характеристики се увеличава, което прави наличието на гъвкави механизми за бързо дообучаване решаващо за намаляване на риска от NEET</w:t>
      </w:r>
      <w:r w:rsidR="00FE0B02" w:rsidRPr="00FE0B02">
        <w:t xml:space="preserve"> </w:t>
      </w:r>
      <w:r w:rsidR="00FE0B02" w:rsidRPr="00FE0B02">
        <w:rPr>
          <w:rFonts w:ascii="Times New Roman" w:hAnsi="Times New Roman" w:cs="Times New Roman"/>
          <w:sz w:val="24"/>
          <w:szCs w:val="24"/>
        </w:rPr>
        <w:t>(Findeisen et al., 2022)</w:t>
      </w:r>
      <w:r w:rsidRPr="003E1F48">
        <w:rPr>
          <w:rFonts w:ascii="Times New Roman" w:hAnsi="Times New Roman" w:cs="Times New Roman"/>
          <w:sz w:val="24"/>
          <w:szCs w:val="24"/>
        </w:rPr>
        <w:t>.</w:t>
      </w:r>
    </w:p>
    <w:p w14:paraId="4ECCD34E" w14:textId="3B9F45F3" w:rsidR="003E1F48" w:rsidRPr="003E1F48" w:rsidRDefault="003E1F48" w:rsidP="003E1F4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Секторната структура действа като филтър върху всички тези канали. Икономики, доминирани от сезонни и нискоквалифицирани дейности, генерират цикли на временно включване и изключване и повишена волатилност на началните позиции, което особено за младежите без опит води до епизоди на извънпазарност. В селското стопанство и туризма, където сезонността е системна, преходите между сезони често не са мост към стабилна заетост, а към продължителни междусезонни паузи, които повишават вероятността от неактивност. Обратно, ориентацията към отрасли с висока добавена стойност, структурирани „служебни стълби“ и натрупване на умения в движение създава търсене на входни позиции, в които липсата на опит се компенсира от обучаващи функции на работното място. В такива сектори производителността расте с опита, а фирмите имат стимул да поемат разходите по въвеждане, което ускорява съвпадението и намалява риска </w:t>
      </w:r>
      <w:r w:rsidRPr="003E1F48">
        <w:rPr>
          <w:rFonts w:ascii="Times New Roman" w:hAnsi="Times New Roman" w:cs="Times New Roman"/>
          <w:sz w:val="24"/>
          <w:szCs w:val="24"/>
        </w:rPr>
        <w:lastRenderedPageBreak/>
        <w:t>от обезкуражаване. Географската концентрация на тези отрасли обаче поражда регионална асиметрия: периферните райони с тесен секторен профил и ограничена инфраструктура предлагат по-малко начални позиции и по-слаби мрежи за посредничество, което създава допълнителни бариери пред младите и повишава вероятността от трайна неактивност</w:t>
      </w:r>
      <w:r w:rsidR="00FE0B02" w:rsidRPr="00FE0B02">
        <w:t xml:space="preserve"> </w:t>
      </w:r>
      <w:r w:rsidR="00FE0B02" w:rsidRPr="00FE0B02">
        <w:rPr>
          <w:rFonts w:ascii="Times New Roman" w:hAnsi="Times New Roman" w:cs="Times New Roman"/>
          <w:sz w:val="24"/>
          <w:szCs w:val="24"/>
        </w:rPr>
        <w:t>(Findeisen et al., 2022)</w:t>
      </w:r>
      <w:r w:rsidRPr="003E1F48">
        <w:rPr>
          <w:rFonts w:ascii="Times New Roman" w:hAnsi="Times New Roman" w:cs="Times New Roman"/>
          <w:sz w:val="24"/>
          <w:szCs w:val="24"/>
        </w:rPr>
        <w:t>.</w:t>
      </w:r>
    </w:p>
    <w:p w14:paraId="22D34748" w14:textId="4682B2E8" w:rsidR="003E1F48" w:rsidRDefault="003E1F48" w:rsidP="003E1F4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Накрая, взаимодействието между макроикономическите величини и институционалната рамка определя дали положителните шокове на търсенето ще се превърнат в реална младежка заетост. При растящи реални заплати, ниска инфлационна несигурност и висока вакантност, но без достъпни входни пътеки, валидиране на умения и активни услуги, част от младите продължават да остават извън пазара. Обратно, дори при умерен растеж на доходите, наличието на структурирани стажове, дуални програми, микрокреденшъли и стимули за първа заетост намалява значително „пропуска в опита“ и подкрепя навлизането именно в критичния прозорец 22–23 години</w:t>
      </w:r>
      <w:r w:rsidR="00FE0B02" w:rsidRPr="00FE0B02">
        <w:t xml:space="preserve"> </w:t>
      </w:r>
      <w:r w:rsidR="00FE0B02" w:rsidRPr="00FE0B02">
        <w:rPr>
          <w:rFonts w:ascii="Times New Roman" w:hAnsi="Times New Roman" w:cs="Times New Roman"/>
          <w:sz w:val="24"/>
          <w:szCs w:val="24"/>
        </w:rPr>
        <w:t>(Findeisen et al., 2022)</w:t>
      </w:r>
      <w:r w:rsidRPr="003E1F48">
        <w:rPr>
          <w:rFonts w:ascii="Times New Roman" w:hAnsi="Times New Roman" w:cs="Times New Roman"/>
          <w:sz w:val="24"/>
          <w:szCs w:val="24"/>
        </w:rPr>
        <w:t>. Следователно, за да се избегне превръщането на демографския бонус в демографски риск, макроикономическата стабилност трябва да бъде допълнена от секторни и пазарни механизми, които осигуряват достатъчно входни позиции, възможности за навлизане в пазара на труда и поддържане на реалната стойност на началните възнаграждения.</w:t>
      </w:r>
    </w:p>
    <w:p w14:paraId="44F613C8" w14:textId="70C3D5F4" w:rsidR="00FE0B02" w:rsidRPr="00FE0B02" w:rsidRDefault="00FE0B02" w:rsidP="00FE0B02">
      <w:pPr>
        <w:spacing w:line="360" w:lineRule="auto"/>
        <w:ind w:firstLine="708"/>
        <w:jc w:val="both"/>
        <w:rPr>
          <w:rFonts w:ascii="Times New Roman" w:hAnsi="Times New Roman" w:cs="Times New Roman"/>
          <w:sz w:val="24"/>
          <w:szCs w:val="24"/>
          <w:lang w:val="en-GB"/>
        </w:rPr>
      </w:pP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институционална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гледна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точка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решаваща</w:t>
      </w:r>
      <w:proofErr w:type="spellEnd"/>
      <w:r w:rsidRPr="00FE0B02">
        <w:rPr>
          <w:rFonts w:ascii="Times New Roman" w:hAnsi="Times New Roman" w:cs="Times New Roman"/>
          <w:sz w:val="24"/>
          <w:szCs w:val="24"/>
          <w:lang w:val="en-GB"/>
        </w:rPr>
        <w:t xml:space="preserve"> е </w:t>
      </w:r>
      <w:proofErr w:type="spellStart"/>
      <w:r w:rsidRPr="00FE0B02">
        <w:rPr>
          <w:rFonts w:ascii="Times New Roman" w:hAnsi="Times New Roman" w:cs="Times New Roman"/>
          <w:sz w:val="24"/>
          <w:szCs w:val="24"/>
          <w:lang w:val="en-GB"/>
        </w:rPr>
        <w:t>целостта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качеството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архитектурата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прехода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образование</w:t>
      </w:r>
      <w:proofErr w:type="spellEnd"/>
      <w:r w:rsidRPr="00FE0B02">
        <w:rPr>
          <w:rFonts w:ascii="Times New Roman" w:hAnsi="Times New Roman" w:cs="Times New Roman"/>
          <w:sz w:val="24"/>
          <w:szCs w:val="24"/>
          <w:lang w:val="en-GB"/>
        </w:rPr>
        <w:t>–</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тъй</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именно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превръща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общите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макроикономически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стимули</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конкретни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възможности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първа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устойчиво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включване</w:t>
      </w:r>
      <w:proofErr w:type="spellEnd"/>
      <w:r w:rsidRPr="00FE0B02">
        <w:t xml:space="preserve"> </w:t>
      </w:r>
      <w:r w:rsidRPr="00FE0B02">
        <w:rPr>
          <w:rFonts w:ascii="Times New Roman" w:hAnsi="Times New Roman" w:cs="Times New Roman"/>
          <w:sz w:val="24"/>
          <w:szCs w:val="24"/>
          <w:lang w:val="en-GB"/>
        </w:rPr>
        <w:t xml:space="preserve">(Noh &amp; Lee, 2017). </w:t>
      </w:r>
      <w:proofErr w:type="spellStart"/>
      <w:r w:rsidRPr="00FE0B02">
        <w:rPr>
          <w:rFonts w:ascii="Times New Roman" w:hAnsi="Times New Roman" w:cs="Times New Roman"/>
          <w:sz w:val="24"/>
          <w:szCs w:val="24"/>
          <w:lang w:val="en-GB"/>
        </w:rPr>
        <w:t>Функциониращите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системи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комбинират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няколко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взаимно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подсилващи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елемента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дуално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чиракуване</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реални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задачи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договорни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гаранции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стажантски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пътеки</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определени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резултати</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уменията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възможност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последващо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наемане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кариерно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ориентиране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започващо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още</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средното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училище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продължаващо</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първите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години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след</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завършването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активни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политики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пазара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труда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които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предлагат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индивидуализирани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услуги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посредничество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подкрепена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Когато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тези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компоненти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съгласувани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намаляват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информационната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асиметрия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между</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младежите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работодателите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понижават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транзакционните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наемане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неопитни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кадри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съкращават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времето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първи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договор</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Обратно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фрагментация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отговорностите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отсъствие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междусекторна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lastRenderedPageBreak/>
        <w:t>координация</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непредвидими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регулаторни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изисквания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дори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благоприятната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конюнктура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разпилява</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по-дълги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периоди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бездействие</w:t>
      </w:r>
      <w:proofErr w:type="spellEnd"/>
      <w:r w:rsidRPr="00FE0B02">
        <w:rPr>
          <w:rFonts w:ascii="Times New Roman" w:hAnsi="Times New Roman" w:cs="Times New Roman"/>
          <w:sz w:val="24"/>
          <w:szCs w:val="24"/>
          <w:lang w:val="en-GB"/>
        </w:rPr>
        <w:t xml:space="preserve">, а </w:t>
      </w:r>
      <w:proofErr w:type="spellStart"/>
      <w:r w:rsidRPr="00FE0B02">
        <w:rPr>
          <w:rFonts w:ascii="Times New Roman" w:hAnsi="Times New Roman" w:cs="Times New Roman"/>
          <w:sz w:val="24"/>
          <w:szCs w:val="24"/>
          <w:lang w:val="en-GB"/>
        </w:rPr>
        <w:t>рискът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обезкуражаване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отпадане</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групата</w:t>
      </w:r>
      <w:proofErr w:type="spellEnd"/>
      <w:r w:rsidRPr="00FE0B02">
        <w:rPr>
          <w:rFonts w:ascii="Times New Roman" w:hAnsi="Times New Roman" w:cs="Times New Roman"/>
          <w:sz w:val="24"/>
          <w:szCs w:val="24"/>
          <w:lang w:val="en-GB"/>
        </w:rPr>
        <w:t xml:space="preserve"> NEET </w:t>
      </w:r>
      <w:proofErr w:type="spellStart"/>
      <w:r w:rsidRPr="00FE0B02">
        <w:rPr>
          <w:rFonts w:ascii="Times New Roman" w:hAnsi="Times New Roman" w:cs="Times New Roman"/>
          <w:sz w:val="24"/>
          <w:szCs w:val="24"/>
          <w:lang w:val="en-GB"/>
        </w:rPr>
        <w:t>нараства</w:t>
      </w:r>
      <w:proofErr w:type="spellEnd"/>
      <w:r w:rsidRPr="00FE0B02">
        <w:t xml:space="preserve"> </w:t>
      </w:r>
      <w:r w:rsidRPr="00FE0B02">
        <w:rPr>
          <w:rFonts w:ascii="Times New Roman" w:hAnsi="Times New Roman" w:cs="Times New Roman"/>
          <w:sz w:val="24"/>
          <w:szCs w:val="24"/>
          <w:lang w:val="en-GB"/>
        </w:rPr>
        <w:t>(Noh &amp; Lee, 2017).</w:t>
      </w:r>
    </w:p>
    <w:p w14:paraId="2F61C5CA" w14:textId="09AA788C" w:rsidR="00FE0B02" w:rsidRPr="00FE0B02" w:rsidRDefault="00FE0B02" w:rsidP="00FE0B02">
      <w:pPr>
        <w:spacing w:line="360" w:lineRule="auto"/>
        <w:ind w:firstLine="708"/>
        <w:jc w:val="both"/>
        <w:rPr>
          <w:rFonts w:ascii="Times New Roman" w:hAnsi="Times New Roman" w:cs="Times New Roman"/>
          <w:sz w:val="24"/>
          <w:szCs w:val="24"/>
          <w:lang w:val="en-GB"/>
        </w:rPr>
      </w:pPr>
      <w:proofErr w:type="spellStart"/>
      <w:r w:rsidRPr="00FE0B02">
        <w:rPr>
          <w:rFonts w:ascii="Times New Roman" w:hAnsi="Times New Roman" w:cs="Times New Roman"/>
          <w:sz w:val="24"/>
          <w:szCs w:val="24"/>
          <w:lang w:val="en-GB"/>
        </w:rPr>
        <w:t>Критично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значение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качеството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рамката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валидиране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натрупване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умения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Механизмите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признаване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предходно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учене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микрокреденшъли</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ясно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дефинирани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резултати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обучението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модулни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програми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доуменияване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позволяват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бърза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адаптация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търсенето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особено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завършили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опит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желаещи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смяна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сектор</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Ако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стандартите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квалификации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непрозрачни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прекомерно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тромави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работодателите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разчитат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сигнали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престиж</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учебното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заведение</w:t>
      </w:r>
      <w:proofErr w:type="spellEnd"/>
      <w:r w:rsidRPr="00FE0B02">
        <w:rPr>
          <w:rFonts w:ascii="Times New Roman" w:hAnsi="Times New Roman" w:cs="Times New Roman"/>
          <w:sz w:val="24"/>
          <w:szCs w:val="24"/>
          <w:lang w:val="en-GB"/>
        </w:rPr>
        <w:t xml:space="preserve"> и „</w:t>
      </w:r>
      <w:proofErr w:type="spellStart"/>
      <w:proofErr w:type="gramStart"/>
      <w:r w:rsidRPr="00FE0B02">
        <w:rPr>
          <w:rFonts w:ascii="Times New Roman" w:hAnsi="Times New Roman" w:cs="Times New Roman"/>
          <w:sz w:val="24"/>
          <w:szCs w:val="24"/>
          <w:lang w:val="en-GB"/>
        </w:rPr>
        <w:t>непрекъсната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биография</w:t>
      </w:r>
      <w:proofErr w:type="spellEnd"/>
      <w:proofErr w:type="gram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дискриминира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млади</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нестандартизирани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траектории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удължава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периода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извън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пазара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това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добавя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качеството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публичните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служби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там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където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прилагат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активни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профилиращи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модели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индивидуални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планове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комбинирани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мерки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проследяване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резултатите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ефективността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съвпадението</w:t>
      </w:r>
      <w:proofErr w:type="spellEnd"/>
      <w:r w:rsidRPr="00FE0B02">
        <w:rPr>
          <w:rFonts w:ascii="Times New Roman" w:hAnsi="Times New Roman" w:cs="Times New Roman"/>
          <w:sz w:val="24"/>
          <w:szCs w:val="24"/>
          <w:lang w:val="en-GB"/>
        </w:rPr>
        <w:t xml:space="preserve"> е </w:t>
      </w:r>
      <w:proofErr w:type="spellStart"/>
      <w:r w:rsidRPr="00FE0B02">
        <w:rPr>
          <w:rFonts w:ascii="Times New Roman" w:hAnsi="Times New Roman" w:cs="Times New Roman"/>
          <w:sz w:val="24"/>
          <w:szCs w:val="24"/>
          <w:lang w:val="en-GB"/>
        </w:rPr>
        <w:t>по-висока</w:t>
      </w:r>
      <w:proofErr w:type="spellEnd"/>
      <w:r w:rsidRPr="00FE0B02">
        <w:rPr>
          <w:rFonts w:ascii="Times New Roman" w:hAnsi="Times New Roman" w:cs="Times New Roman"/>
          <w:sz w:val="24"/>
          <w:szCs w:val="24"/>
          <w:lang w:val="en-GB"/>
        </w:rPr>
        <w:t xml:space="preserve">, а </w:t>
      </w:r>
      <w:proofErr w:type="spellStart"/>
      <w:r w:rsidRPr="00FE0B02">
        <w:rPr>
          <w:rFonts w:ascii="Times New Roman" w:hAnsi="Times New Roman" w:cs="Times New Roman"/>
          <w:sz w:val="24"/>
          <w:szCs w:val="24"/>
          <w:lang w:val="en-GB"/>
        </w:rPr>
        <w:t>преходът</w:t>
      </w:r>
      <w:proofErr w:type="spellEnd"/>
      <w:r w:rsidRPr="00FE0B02">
        <w:rPr>
          <w:rFonts w:ascii="Times New Roman" w:hAnsi="Times New Roman" w:cs="Times New Roman"/>
          <w:sz w:val="24"/>
          <w:szCs w:val="24"/>
          <w:lang w:val="en-GB"/>
        </w:rPr>
        <w:t xml:space="preserve"> – </w:t>
      </w:r>
      <w:proofErr w:type="spellStart"/>
      <w:r w:rsidRPr="00FE0B02">
        <w:rPr>
          <w:rFonts w:ascii="Times New Roman" w:hAnsi="Times New Roman" w:cs="Times New Roman"/>
          <w:sz w:val="24"/>
          <w:szCs w:val="24"/>
          <w:lang w:val="en-GB"/>
        </w:rPr>
        <w:t>по-бърз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формално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посредничество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интензивна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работодатели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без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последваща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подкрепа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често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връщат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неактивност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след</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кратки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епизоди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временна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t xml:space="preserve"> </w:t>
      </w:r>
      <w:r w:rsidRPr="00FE0B02">
        <w:rPr>
          <w:rFonts w:ascii="Times New Roman" w:hAnsi="Times New Roman" w:cs="Times New Roman"/>
          <w:sz w:val="24"/>
          <w:szCs w:val="24"/>
          <w:lang w:val="en-GB"/>
        </w:rPr>
        <w:t>(Noh &amp; Lee, 2017)</w:t>
      </w:r>
    </w:p>
    <w:p w14:paraId="54ED909A" w14:textId="213D7DCF" w:rsidR="00FE0B02" w:rsidRPr="00FE0B02" w:rsidRDefault="00FE0B02" w:rsidP="00FE0B02">
      <w:pPr>
        <w:spacing w:line="360" w:lineRule="auto"/>
        <w:ind w:firstLine="708"/>
        <w:jc w:val="both"/>
        <w:rPr>
          <w:rFonts w:ascii="Times New Roman" w:hAnsi="Times New Roman" w:cs="Times New Roman"/>
          <w:sz w:val="24"/>
          <w:szCs w:val="24"/>
          <w:lang w:val="en-GB"/>
        </w:rPr>
      </w:pPr>
      <w:proofErr w:type="spellStart"/>
      <w:r w:rsidRPr="00FE0B02">
        <w:rPr>
          <w:rFonts w:ascii="Times New Roman" w:hAnsi="Times New Roman" w:cs="Times New Roman"/>
          <w:sz w:val="24"/>
          <w:szCs w:val="24"/>
          <w:lang w:val="en-GB"/>
        </w:rPr>
        <w:t>Правната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договорната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среда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определя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входните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позиции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реални</w:t>
      </w:r>
      <w:proofErr w:type="spellEnd"/>
      <w:r w:rsidRPr="00FE0B02">
        <w:rPr>
          <w:rFonts w:ascii="Times New Roman" w:hAnsi="Times New Roman" w:cs="Times New Roman"/>
          <w:sz w:val="24"/>
          <w:szCs w:val="24"/>
          <w:lang w:val="en-GB"/>
        </w:rPr>
        <w:t xml:space="preserve"> „</w:t>
      </w:r>
      <w:proofErr w:type="spellStart"/>
      <w:proofErr w:type="gramStart"/>
      <w:r w:rsidRPr="00FE0B02">
        <w:rPr>
          <w:rFonts w:ascii="Times New Roman" w:hAnsi="Times New Roman" w:cs="Times New Roman"/>
          <w:sz w:val="24"/>
          <w:szCs w:val="24"/>
          <w:lang w:val="en-GB"/>
        </w:rPr>
        <w:t>мостове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към</w:t>
      </w:r>
      <w:proofErr w:type="spellEnd"/>
      <w:proofErr w:type="gram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устойчиви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места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превръщат</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капани</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ниски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заплати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висока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ротация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Минималните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стандарти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стажове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чиракуване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включително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възнаграждение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наставничество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измерими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учебни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резултати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ограничават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злоупотребите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превръщат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тези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форми</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ефективни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инвестиции</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човешки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капитал</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Гъвкавите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договори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частичната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могат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улеснят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първото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включване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липса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стандарти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качество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преносимост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социалните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права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усилват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несигурността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вероятността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преждевременно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отпадане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Режимите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минимално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възнаграждение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ако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съчетани</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субсидии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първа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данъчни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кредити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споделени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намаляват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нежеланите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ефекти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върху</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наемането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неопитни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кадри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поддържат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стимулите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работодателите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инвестират</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място</w:t>
      </w:r>
      <w:proofErr w:type="spellEnd"/>
      <w:r w:rsidRPr="00FE0B02">
        <w:t xml:space="preserve"> </w:t>
      </w:r>
      <w:r w:rsidRPr="00FE0B02">
        <w:rPr>
          <w:rFonts w:ascii="Times New Roman" w:hAnsi="Times New Roman" w:cs="Times New Roman"/>
          <w:sz w:val="24"/>
          <w:szCs w:val="24"/>
          <w:lang w:val="en-GB"/>
        </w:rPr>
        <w:t>(Yates &amp; Payne, 2006).</w:t>
      </w:r>
    </w:p>
    <w:p w14:paraId="38D142F5" w14:textId="10234306" w:rsidR="00FE0B02" w:rsidRPr="00FE0B02" w:rsidRDefault="00FE0B02" w:rsidP="00FE0B02">
      <w:pPr>
        <w:spacing w:line="360" w:lineRule="auto"/>
        <w:ind w:firstLine="708"/>
        <w:jc w:val="both"/>
        <w:rPr>
          <w:rFonts w:ascii="Times New Roman" w:hAnsi="Times New Roman" w:cs="Times New Roman"/>
          <w:sz w:val="24"/>
          <w:szCs w:val="24"/>
          <w:lang w:val="en-GB"/>
        </w:rPr>
      </w:pPr>
      <w:r w:rsidRPr="00FE0B02">
        <w:rPr>
          <w:rFonts w:ascii="Times New Roman" w:hAnsi="Times New Roman" w:cs="Times New Roman"/>
          <w:sz w:val="24"/>
          <w:szCs w:val="24"/>
          <w:lang w:val="en-GB"/>
        </w:rPr>
        <w:t xml:space="preserve">Социалната </w:t>
      </w:r>
      <w:proofErr w:type="spellStart"/>
      <w:r w:rsidRPr="00FE0B02">
        <w:rPr>
          <w:rFonts w:ascii="Times New Roman" w:hAnsi="Times New Roman" w:cs="Times New Roman"/>
          <w:sz w:val="24"/>
          <w:szCs w:val="24"/>
          <w:lang w:val="en-GB"/>
        </w:rPr>
        <w:t>инфраструктура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мерките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равен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достъп</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неотделима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част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институционалния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дизайн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прехода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Достъпните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услуги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грижа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деца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зависими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лица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гъвкави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графици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транспортна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свързаност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жилищна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подкрепа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пряк</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ефект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върху</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lastRenderedPageBreak/>
        <w:t>участието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жени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периферни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райони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хората</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увреждания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ключови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универсалният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дизайн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обучителната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работната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среда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индивидуалните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планове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подкрепа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разумните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адаптации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стимули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работодатели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които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реално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компенсират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повишените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начални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въвеждането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тези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елементи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институционалната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рамка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възпроизвежда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бариери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насочва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уязвимите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групи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към</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продължителна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неактивност</w:t>
      </w:r>
      <w:proofErr w:type="spellEnd"/>
      <w:r w:rsidRPr="00FE0B02">
        <w:t xml:space="preserve"> </w:t>
      </w:r>
      <w:r w:rsidRPr="00FE0B02">
        <w:rPr>
          <w:rFonts w:ascii="Times New Roman" w:hAnsi="Times New Roman" w:cs="Times New Roman"/>
          <w:sz w:val="24"/>
          <w:szCs w:val="24"/>
          <w:lang w:val="en-GB"/>
        </w:rPr>
        <w:t xml:space="preserve">(Amini &amp; </w:t>
      </w:r>
      <w:proofErr w:type="spellStart"/>
      <w:r w:rsidRPr="00FE0B02">
        <w:rPr>
          <w:rFonts w:ascii="Times New Roman" w:hAnsi="Times New Roman" w:cs="Times New Roman"/>
          <w:sz w:val="24"/>
          <w:szCs w:val="24"/>
          <w:lang w:val="en-GB"/>
        </w:rPr>
        <w:t>Aditina</w:t>
      </w:r>
      <w:proofErr w:type="spellEnd"/>
      <w:r w:rsidRPr="00FE0B02">
        <w:rPr>
          <w:rFonts w:ascii="Times New Roman" w:hAnsi="Times New Roman" w:cs="Times New Roman"/>
          <w:sz w:val="24"/>
          <w:szCs w:val="24"/>
          <w:lang w:val="en-GB"/>
        </w:rPr>
        <w:t>, 2024).</w:t>
      </w:r>
    </w:p>
    <w:p w14:paraId="4F0270C4" w14:textId="2B10B384" w:rsidR="00FE0B02" w:rsidRPr="00FE0B02" w:rsidRDefault="00FE0B02" w:rsidP="00FE0B02">
      <w:pPr>
        <w:spacing w:line="360" w:lineRule="auto"/>
        <w:ind w:firstLine="708"/>
        <w:jc w:val="both"/>
        <w:rPr>
          <w:rFonts w:ascii="Times New Roman" w:hAnsi="Times New Roman" w:cs="Times New Roman"/>
          <w:sz w:val="24"/>
          <w:szCs w:val="24"/>
          <w:lang w:val="en-GB"/>
        </w:rPr>
      </w:pPr>
      <w:proofErr w:type="spellStart"/>
      <w:r w:rsidRPr="00FE0B02">
        <w:rPr>
          <w:rFonts w:ascii="Times New Roman" w:hAnsi="Times New Roman" w:cs="Times New Roman"/>
          <w:sz w:val="24"/>
          <w:szCs w:val="24"/>
          <w:lang w:val="en-GB"/>
        </w:rPr>
        <w:t>Данъчната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бюджетната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архитектура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значение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само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мащаба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качеството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интервенциите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Финансирането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формула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резултати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обвързано</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устойчиви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задържане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след</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шест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дванадесет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месеца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окуражава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доставчиците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по-интензивно</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трудните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случаи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Интегрираните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информационни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системи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между</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училища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служби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социални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служби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работодатели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осигуряват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ранна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идентификация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рисковите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навременни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интервенции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последващо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проследяване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намаляват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слепите</w:t>
      </w:r>
      <w:proofErr w:type="spellEnd"/>
      <w:r w:rsidRPr="00FE0B02">
        <w:rPr>
          <w:rFonts w:ascii="Times New Roman" w:hAnsi="Times New Roman" w:cs="Times New Roman"/>
          <w:sz w:val="24"/>
          <w:szCs w:val="24"/>
          <w:lang w:val="en-GB"/>
        </w:rPr>
        <w:t xml:space="preserve"> </w:t>
      </w:r>
      <w:proofErr w:type="spellStart"/>
      <w:proofErr w:type="gramStart"/>
      <w:r w:rsidRPr="00FE0B02">
        <w:rPr>
          <w:rFonts w:ascii="Times New Roman" w:hAnsi="Times New Roman" w:cs="Times New Roman"/>
          <w:sz w:val="24"/>
          <w:szCs w:val="24"/>
          <w:lang w:val="en-GB"/>
        </w:rPr>
        <w:t>зони</w:t>
      </w:r>
      <w:proofErr w:type="spellEnd"/>
      <w:r w:rsidRPr="00FE0B02">
        <w:rPr>
          <w:rFonts w:ascii="Times New Roman" w:hAnsi="Times New Roman" w:cs="Times New Roman"/>
          <w:sz w:val="24"/>
          <w:szCs w:val="24"/>
          <w:lang w:val="en-GB"/>
        </w:rPr>
        <w:t>“</w:t>
      </w:r>
      <w:proofErr w:type="gram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които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напускат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образованието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достигат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услуги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Важна</w:t>
      </w:r>
      <w:proofErr w:type="spellEnd"/>
      <w:r w:rsidRPr="00FE0B02">
        <w:rPr>
          <w:rFonts w:ascii="Times New Roman" w:hAnsi="Times New Roman" w:cs="Times New Roman"/>
          <w:sz w:val="24"/>
          <w:szCs w:val="24"/>
          <w:lang w:val="en-GB"/>
        </w:rPr>
        <w:t xml:space="preserve"> е и </w:t>
      </w:r>
      <w:proofErr w:type="spellStart"/>
      <w:r w:rsidRPr="00FE0B02">
        <w:rPr>
          <w:rFonts w:ascii="Times New Roman" w:hAnsi="Times New Roman" w:cs="Times New Roman"/>
          <w:sz w:val="24"/>
          <w:szCs w:val="24"/>
          <w:lang w:val="en-GB"/>
        </w:rPr>
        <w:t>културата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оценка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когато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програмите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подлагат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регулярни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контрафактуални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оценки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резултатите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водят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корекции</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дизайна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системата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неуспехите</w:t>
      </w:r>
      <w:proofErr w:type="spellEnd"/>
      <w:r w:rsidRPr="00FE0B02">
        <w:rPr>
          <w:rFonts w:ascii="Times New Roman" w:hAnsi="Times New Roman" w:cs="Times New Roman"/>
          <w:sz w:val="24"/>
          <w:szCs w:val="24"/>
          <w:lang w:val="en-GB"/>
        </w:rPr>
        <w:t xml:space="preserve">, а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възпроизвежда</w:t>
      </w:r>
      <w:proofErr w:type="spellEnd"/>
      <w:r w:rsidRPr="00FE0B02">
        <w:t xml:space="preserve"> </w:t>
      </w:r>
      <w:r w:rsidRPr="00FE0B02">
        <w:rPr>
          <w:rFonts w:ascii="Times New Roman" w:hAnsi="Times New Roman" w:cs="Times New Roman"/>
          <w:sz w:val="24"/>
          <w:szCs w:val="24"/>
          <w:lang w:val="en-GB"/>
        </w:rPr>
        <w:t>(Yates &amp; Payne, 2006).</w:t>
      </w:r>
    </w:p>
    <w:p w14:paraId="2BACFF26" w14:textId="5288CDCD" w:rsidR="00FE0B02" w:rsidRPr="00FE0B02" w:rsidRDefault="00FE0B02" w:rsidP="00FE0B02">
      <w:pPr>
        <w:spacing w:line="360" w:lineRule="auto"/>
        <w:ind w:firstLine="708"/>
        <w:jc w:val="both"/>
        <w:rPr>
          <w:rFonts w:ascii="Times New Roman" w:hAnsi="Times New Roman" w:cs="Times New Roman"/>
          <w:sz w:val="24"/>
          <w:szCs w:val="24"/>
          <w:lang w:val="en-GB"/>
        </w:rPr>
      </w:pPr>
      <w:r w:rsidRPr="00FE0B02">
        <w:rPr>
          <w:rFonts w:ascii="Times New Roman" w:hAnsi="Times New Roman" w:cs="Times New Roman"/>
          <w:sz w:val="24"/>
          <w:szCs w:val="24"/>
          <w:lang w:val="en-GB"/>
        </w:rPr>
        <w:t xml:space="preserve">В </w:t>
      </w:r>
      <w:proofErr w:type="spellStart"/>
      <w:r w:rsidRPr="00FE0B02">
        <w:rPr>
          <w:rFonts w:ascii="Times New Roman" w:hAnsi="Times New Roman" w:cs="Times New Roman"/>
          <w:sz w:val="24"/>
          <w:szCs w:val="24"/>
          <w:lang w:val="en-GB"/>
        </w:rPr>
        <w:t>тази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институционална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перспектива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показателят</w:t>
      </w:r>
      <w:proofErr w:type="spellEnd"/>
      <w:r w:rsidRPr="00FE0B02">
        <w:rPr>
          <w:rFonts w:ascii="Times New Roman" w:hAnsi="Times New Roman" w:cs="Times New Roman"/>
          <w:sz w:val="24"/>
          <w:szCs w:val="24"/>
          <w:lang w:val="en-GB"/>
        </w:rPr>
        <w:t xml:space="preserve"> NEET </w:t>
      </w:r>
      <w:proofErr w:type="spellStart"/>
      <w:r w:rsidRPr="00FE0B02">
        <w:rPr>
          <w:rFonts w:ascii="Times New Roman" w:hAnsi="Times New Roman" w:cs="Times New Roman"/>
          <w:sz w:val="24"/>
          <w:szCs w:val="24"/>
          <w:lang w:val="en-GB"/>
        </w:rPr>
        <w:t>има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специфична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аналитична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стойност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която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надхвърля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измеренията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безработицата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Той</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улавя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младежите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извън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активното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търсене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така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прави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видими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бариерите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които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проявяват</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официалните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нива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безработица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обезкуражаване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неплатени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грижи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липса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достъп</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здравни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транспортни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ограничения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дискриминационни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практики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наемане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Поради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включването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неактивните</w:t>
      </w:r>
      <w:proofErr w:type="spellEnd"/>
      <w:r w:rsidRPr="00FE0B02">
        <w:rPr>
          <w:rFonts w:ascii="Times New Roman" w:hAnsi="Times New Roman" w:cs="Times New Roman"/>
          <w:sz w:val="24"/>
          <w:szCs w:val="24"/>
          <w:lang w:val="en-GB"/>
        </w:rPr>
        <w:t xml:space="preserve">, NEET е </w:t>
      </w:r>
      <w:proofErr w:type="spellStart"/>
      <w:r w:rsidRPr="00FE0B02">
        <w:rPr>
          <w:rFonts w:ascii="Times New Roman" w:hAnsi="Times New Roman" w:cs="Times New Roman"/>
          <w:sz w:val="24"/>
          <w:szCs w:val="24"/>
          <w:lang w:val="en-GB"/>
        </w:rPr>
        <w:t>по-подходящ</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инструмент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мониторинг</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тесните</w:t>
      </w:r>
      <w:proofErr w:type="spellEnd"/>
      <w:r w:rsidRPr="00FE0B02">
        <w:rPr>
          <w:rFonts w:ascii="Times New Roman" w:hAnsi="Times New Roman" w:cs="Times New Roman"/>
          <w:sz w:val="24"/>
          <w:szCs w:val="24"/>
          <w:lang w:val="en-GB"/>
        </w:rPr>
        <w:t xml:space="preserve"> </w:t>
      </w:r>
      <w:proofErr w:type="spellStart"/>
      <w:proofErr w:type="gramStart"/>
      <w:r w:rsidRPr="00FE0B02">
        <w:rPr>
          <w:rFonts w:ascii="Times New Roman" w:hAnsi="Times New Roman" w:cs="Times New Roman"/>
          <w:sz w:val="24"/>
          <w:szCs w:val="24"/>
          <w:lang w:val="en-GB"/>
        </w:rPr>
        <w:t>места</w:t>
      </w:r>
      <w:proofErr w:type="spellEnd"/>
      <w:r w:rsidRPr="00FE0B02">
        <w:rPr>
          <w:rFonts w:ascii="Times New Roman" w:hAnsi="Times New Roman" w:cs="Times New Roman"/>
          <w:sz w:val="24"/>
          <w:szCs w:val="24"/>
          <w:lang w:val="en-GB"/>
        </w:rPr>
        <w:t>“ в</w:t>
      </w:r>
      <w:proofErr w:type="gram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системата</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оценка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потенциалните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загуби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човешки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капитал</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тъй</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продължителният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престой</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тази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група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асоциира</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по-слаби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бъдещи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трудови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перспективи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по-ниски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доходи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по-висок</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риск</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социална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изолация</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неблагоприятни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ефекти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върху</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психичното</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физическото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здраве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ниво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управление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това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означава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редукцията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NEET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може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постигне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единствено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чрез</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стимули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търсене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тя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изисква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съгласуван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пакет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образователни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социални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пазарни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инструменти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които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адресират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причините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неактивност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според</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профила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подгрупите</w:t>
      </w:r>
      <w:proofErr w:type="spellEnd"/>
      <w:r w:rsidRPr="00FE0B02">
        <w:t xml:space="preserve"> </w:t>
      </w:r>
      <w:r w:rsidRPr="00FE0B02">
        <w:rPr>
          <w:rFonts w:ascii="Times New Roman" w:hAnsi="Times New Roman" w:cs="Times New Roman"/>
          <w:sz w:val="24"/>
          <w:szCs w:val="24"/>
          <w:lang w:val="en-GB"/>
        </w:rPr>
        <w:t xml:space="preserve">(Amini &amp; </w:t>
      </w:r>
      <w:proofErr w:type="spellStart"/>
      <w:r w:rsidRPr="00FE0B02">
        <w:rPr>
          <w:rFonts w:ascii="Times New Roman" w:hAnsi="Times New Roman" w:cs="Times New Roman"/>
          <w:sz w:val="24"/>
          <w:szCs w:val="24"/>
          <w:lang w:val="en-GB"/>
        </w:rPr>
        <w:t>Aditina</w:t>
      </w:r>
      <w:proofErr w:type="spellEnd"/>
      <w:r w:rsidRPr="00FE0B02">
        <w:rPr>
          <w:rFonts w:ascii="Times New Roman" w:hAnsi="Times New Roman" w:cs="Times New Roman"/>
          <w:sz w:val="24"/>
          <w:szCs w:val="24"/>
          <w:lang w:val="en-GB"/>
        </w:rPr>
        <w:t>, 2024).</w:t>
      </w:r>
    </w:p>
    <w:p w14:paraId="26C51685" w14:textId="0962CB4B" w:rsidR="00FE0B02" w:rsidRPr="00FE0B02" w:rsidRDefault="00FE0B02" w:rsidP="00FE0B02">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lastRenderedPageBreak/>
        <w:t>И</w:t>
      </w:r>
      <w:proofErr w:type="spellStart"/>
      <w:r w:rsidRPr="00FE0B02">
        <w:rPr>
          <w:rFonts w:ascii="Times New Roman" w:hAnsi="Times New Roman" w:cs="Times New Roman"/>
          <w:sz w:val="24"/>
          <w:szCs w:val="24"/>
          <w:lang w:val="en-GB"/>
        </w:rPr>
        <w:t>нституционалният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дизайн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прехода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образование</w:t>
      </w:r>
      <w:proofErr w:type="spellEnd"/>
      <w:r w:rsidRPr="00FE0B02">
        <w:rPr>
          <w:rFonts w:ascii="Times New Roman" w:hAnsi="Times New Roman" w:cs="Times New Roman"/>
          <w:sz w:val="24"/>
          <w:szCs w:val="24"/>
          <w:lang w:val="en-GB"/>
        </w:rPr>
        <w:t>–</w:t>
      </w:r>
      <w:proofErr w:type="spellStart"/>
      <w:r w:rsidRPr="00FE0B02">
        <w:rPr>
          <w:rFonts w:ascii="Times New Roman" w:hAnsi="Times New Roman" w:cs="Times New Roman"/>
          <w:sz w:val="24"/>
          <w:szCs w:val="24"/>
          <w:lang w:val="en-GB"/>
        </w:rPr>
        <w:t>работа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действа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мултипликатор</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макроикономическите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импулси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когато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дуалните</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стажантските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пътеки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стандартизирани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услугите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проактивни</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основани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данни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правната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рамка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гарантира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качествени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входни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позиции</w:t>
      </w:r>
      <w:proofErr w:type="spellEnd"/>
      <w:r w:rsidRPr="00FE0B02">
        <w:rPr>
          <w:rFonts w:ascii="Times New Roman" w:hAnsi="Times New Roman" w:cs="Times New Roman"/>
          <w:sz w:val="24"/>
          <w:szCs w:val="24"/>
          <w:lang w:val="en-GB"/>
        </w:rPr>
        <w:t xml:space="preserve">, а </w:t>
      </w:r>
      <w:proofErr w:type="spellStart"/>
      <w:r w:rsidRPr="00FE0B02">
        <w:rPr>
          <w:rFonts w:ascii="Times New Roman" w:hAnsi="Times New Roman" w:cs="Times New Roman"/>
          <w:sz w:val="24"/>
          <w:szCs w:val="24"/>
          <w:lang w:val="en-GB"/>
        </w:rPr>
        <w:t>социалната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инфраструктура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намалява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бариерите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пред</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участието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вероятността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останат</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извън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образование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обучение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чувствително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намалява</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противен</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случай</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високите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нива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NEET </w:t>
      </w:r>
      <w:proofErr w:type="spellStart"/>
      <w:r w:rsidRPr="00FE0B02">
        <w:rPr>
          <w:rFonts w:ascii="Times New Roman" w:hAnsi="Times New Roman" w:cs="Times New Roman"/>
          <w:sz w:val="24"/>
          <w:szCs w:val="24"/>
          <w:lang w:val="en-GB"/>
        </w:rPr>
        <w:t>се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превръщат</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ранно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предупреждение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системата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успява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да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преведе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потенциала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младото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поколение</w:t>
      </w:r>
      <w:proofErr w:type="spellEnd"/>
      <w:r w:rsidRPr="00FE0B02">
        <w:rPr>
          <w:rFonts w:ascii="Times New Roman" w:hAnsi="Times New Roman" w:cs="Times New Roman"/>
          <w:sz w:val="24"/>
          <w:szCs w:val="24"/>
          <w:lang w:val="en-GB"/>
        </w:rPr>
        <w:t xml:space="preserve"> в </w:t>
      </w:r>
      <w:proofErr w:type="spellStart"/>
      <w:r w:rsidRPr="00FE0B02">
        <w:rPr>
          <w:rFonts w:ascii="Times New Roman" w:hAnsi="Times New Roman" w:cs="Times New Roman"/>
          <w:sz w:val="24"/>
          <w:szCs w:val="24"/>
          <w:lang w:val="en-GB"/>
        </w:rPr>
        <w:t>продуктивна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заетост</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натрупване</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на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човешки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капитал</w:t>
      </w:r>
      <w:proofErr w:type="spellEnd"/>
      <w:r w:rsidRPr="00FE0B02">
        <w:rPr>
          <w:rFonts w:ascii="Times New Roman" w:hAnsi="Times New Roman" w:cs="Times New Roman"/>
          <w:sz w:val="24"/>
          <w:szCs w:val="24"/>
          <w:lang w:val="en-GB"/>
        </w:rPr>
        <w:t xml:space="preserve">, с </w:t>
      </w:r>
      <w:proofErr w:type="spellStart"/>
      <w:r w:rsidRPr="00FE0B02">
        <w:rPr>
          <w:rFonts w:ascii="Times New Roman" w:hAnsi="Times New Roman" w:cs="Times New Roman"/>
          <w:sz w:val="24"/>
          <w:szCs w:val="24"/>
          <w:lang w:val="en-GB"/>
        </w:rPr>
        <w:t>дългосрочни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разходи</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за</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икономическия</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растеж</w:t>
      </w:r>
      <w:proofErr w:type="spellEnd"/>
      <w:r w:rsidRPr="00FE0B02">
        <w:rPr>
          <w:rFonts w:ascii="Times New Roman" w:hAnsi="Times New Roman" w:cs="Times New Roman"/>
          <w:sz w:val="24"/>
          <w:szCs w:val="24"/>
          <w:lang w:val="en-GB"/>
        </w:rPr>
        <w:t xml:space="preserve"> и </w:t>
      </w:r>
      <w:proofErr w:type="spellStart"/>
      <w:r w:rsidRPr="00FE0B02">
        <w:rPr>
          <w:rFonts w:ascii="Times New Roman" w:hAnsi="Times New Roman" w:cs="Times New Roman"/>
          <w:sz w:val="24"/>
          <w:szCs w:val="24"/>
          <w:lang w:val="en-GB"/>
        </w:rPr>
        <w:t>социалното</w:t>
      </w:r>
      <w:proofErr w:type="spellEnd"/>
      <w:r w:rsidRPr="00FE0B02">
        <w:rPr>
          <w:rFonts w:ascii="Times New Roman" w:hAnsi="Times New Roman" w:cs="Times New Roman"/>
          <w:sz w:val="24"/>
          <w:szCs w:val="24"/>
          <w:lang w:val="en-GB"/>
        </w:rPr>
        <w:t xml:space="preserve"> </w:t>
      </w:r>
      <w:proofErr w:type="spellStart"/>
      <w:r w:rsidRPr="00FE0B02">
        <w:rPr>
          <w:rFonts w:ascii="Times New Roman" w:hAnsi="Times New Roman" w:cs="Times New Roman"/>
          <w:sz w:val="24"/>
          <w:szCs w:val="24"/>
          <w:lang w:val="en-GB"/>
        </w:rPr>
        <w:t>сближаване</w:t>
      </w:r>
      <w:proofErr w:type="spellEnd"/>
      <w:r w:rsidRPr="00FE0B02">
        <w:rPr>
          <w:rFonts w:ascii="Times New Roman" w:hAnsi="Times New Roman" w:cs="Times New Roman"/>
          <w:sz w:val="24"/>
          <w:szCs w:val="24"/>
          <w:lang w:val="en-GB"/>
        </w:rPr>
        <w:t>.</w:t>
      </w:r>
    </w:p>
    <w:p w14:paraId="4CE8786F" w14:textId="44473B54" w:rsidR="0046520B" w:rsidRPr="0046520B" w:rsidRDefault="0046520B" w:rsidP="0046520B">
      <w:pPr>
        <w:spacing w:line="360" w:lineRule="auto"/>
        <w:ind w:firstLine="708"/>
        <w:jc w:val="both"/>
        <w:rPr>
          <w:rFonts w:ascii="Times New Roman" w:hAnsi="Times New Roman" w:cs="Times New Roman"/>
          <w:sz w:val="24"/>
          <w:szCs w:val="24"/>
        </w:rPr>
      </w:pPr>
      <w:r w:rsidRPr="0046520B">
        <w:rPr>
          <w:rFonts w:ascii="Times New Roman" w:hAnsi="Times New Roman" w:cs="Times New Roman"/>
          <w:sz w:val="24"/>
          <w:szCs w:val="24"/>
        </w:rPr>
        <w:t>Социално-демографските и регионални фактори модерират икономическите импулси</w:t>
      </w:r>
      <w:r w:rsidR="00FE0B02" w:rsidRPr="00FE0B02">
        <w:t xml:space="preserve"> </w:t>
      </w:r>
      <w:r w:rsidR="00FE0B02" w:rsidRPr="00FE0B02">
        <w:rPr>
          <w:rFonts w:ascii="Times New Roman" w:hAnsi="Times New Roman" w:cs="Times New Roman"/>
          <w:sz w:val="24"/>
          <w:szCs w:val="24"/>
        </w:rPr>
        <w:t>(Amini &amp; Aditina, 2024)</w:t>
      </w:r>
      <w:r w:rsidRPr="0046520B">
        <w:rPr>
          <w:rFonts w:ascii="Times New Roman" w:hAnsi="Times New Roman" w:cs="Times New Roman"/>
          <w:sz w:val="24"/>
          <w:szCs w:val="24"/>
        </w:rPr>
        <w:t>. Жените, особено омъжените и младите майки, имат по-висок риск от NEET поради неравномерно разпределение на грижите и дефицит на услуги за подкрепа. Младите с по-ниско образование и без завършена квалификационна степен са непропорционално представени в неактивността, защото липсата на формални удостоверения и меки умения затруднява достъпа до стабилни позиции и прави адаптацията към изискванията на работодателите по-бавна. Хората с увреждания срещат допълнителни бариери, свързани както с достъпността на средата и транспортните мрежи, така и с нагласите на работодателите и недостатъчните адаптации на работните места. Регионалните различия допълнително усилват неравенствата: в селските райони и в периферни региони ограничената инфраструктура, по-слабият достъп до информация за свободни позиции и доминацията на неформалния сектор намаляват вероятността от включване, докато в големите градове по-високата конкуренция и несигурността на входните позиции могат да доведат до продължителни периоди на търсене без резултат. Домакинските характеристики също се отразяват: съвместното живеене с възрастни и работещи членове на домакинството понякога облекчава краткосрочното финансово напрежение, но може да намали натиска за незабавно включване и да задържи част от младежите в състояние на зависимост и пасивност</w:t>
      </w:r>
      <w:r w:rsidR="00FE0B02" w:rsidRPr="00FE0B02">
        <w:t xml:space="preserve"> </w:t>
      </w:r>
      <w:r w:rsidR="00FE0B02" w:rsidRPr="00FE0B02">
        <w:rPr>
          <w:rFonts w:ascii="Times New Roman" w:hAnsi="Times New Roman" w:cs="Times New Roman"/>
          <w:sz w:val="24"/>
          <w:szCs w:val="24"/>
        </w:rPr>
        <w:t>(Amini &amp; Aditina, 2024)</w:t>
      </w:r>
      <w:r w:rsidRPr="0046520B">
        <w:rPr>
          <w:rFonts w:ascii="Times New Roman" w:hAnsi="Times New Roman" w:cs="Times New Roman"/>
          <w:sz w:val="24"/>
          <w:szCs w:val="24"/>
        </w:rPr>
        <w:t>.</w:t>
      </w:r>
    </w:p>
    <w:p w14:paraId="0D6110F2" w14:textId="3ABF5C9C" w:rsidR="0046520B" w:rsidRPr="0046520B" w:rsidRDefault="0046520B" w:rsidP="0046520B">
      <w:pPr>
        <w:spacing w:line="360" w:lineRule="auto"/>
        <w:ind w:firstLine="708"/>
        <w:jc w:val="both"/>
        <w:rPr>
          <w:rFonts w:ascii="Times New Roman" w:hAnsi="Times New Roman" w:cs="Times New Roman"/>
          <w:sz w:val="24"/>
          <w:szCs w:val="24"/>
        </w:rPr>
      </w:pPr>
      <w:r w:rsidRPr="0046520B">
        <w:rPr>
          <w:rFonts w:ascii="Times New Roman" w:hAnsi="Times New Roman" w:cs="Times New Roman"/>
          <w:sz w:val="24"/>
          <w:szCs w:val="24"/>
        </w:rPr>
        <w:t xml:space="preserve">Политически и правни механизми превръщат тези детерминанти в конкретни резултати. Индексацията на доходите, разумните минимални стандарти, стимули за първа заетост и целеви програми за обучение и преквалификация съкращават времето до мачинг </w:t>
      </w:r>
      <w:r w:rsidRPr="0046520B">
        <w:rPr>
          <w:rFonts w:ascii="Times New Roman" w:hAnsi="Times New Roman" w:cs="Times New Roman"/>
          <w:sz w:val="24"/>
          <w:szCs w:val="24"/>
        </w:rPr>
        <w:lastRenderedPageBreak/>
        <w:t>и намаляват риска от обезкуражаване. Същевременно инвестициите в социална инфраструктура – детски ясли, дневни грижи, услуги за зависими лица и достъпни транспортни връзки – повишават ефективното предлагане на труд сред млади жени и младежи от селските райони. Дигитализацията и достъпът до посреднически платформи за заетост, комбинирани с валидиране на умения и микрокреденшъли, редуцират информационната асиметрия и ускоряват прехода от учене към работа. Когато тези институционални елементи отсъстват или са с ограничен обхват, дори благоприятната макроикономическа среда не се превръща автоматично в по-нисък NEET</w:t>
      </w:r>
      <w:r w:rsidR="00FE0B02" w:rsidRPr="00FE0B02">
        <w:t xml:space="preserve"> </w:t>
      </w:r>
      <w:r w:rsidR="00FE0B02" w:rsidRPr="00FE0B02">
        <w:rPr>
          <w:rFonts w:ascii="Times New Roman" w:hAnsi="Times New Roman" w:cs="Times New Roman"/>
          <w:sz w:val="24"/>
          <w:szCs w:val="24"/>
        </w:rPr>
        <w:t>(Amini &amp; Aditina, 2024)</w:t>
      </w:r>
      <w:r w:rsidRPr="0046520B">
        <w:rPr>
          <w:rFonts w:ascii="Times New Roman" w:hAnsi="Times New Roman" w:cs="Times New Roman"/>
          <w:sz w:val="24"/>
          <w:szCs w:val="24"/>
        </w:rPr>
        <w:t>.</w:t>
      </w:r>
    </w:p>
    <w:p w14:paraId="5FD3C67D" w14:textId="77777777" w:rsidR="0046520B" w:rsidRPr="0046520B" w:rsidRDefault="0046520B" w:rsidP="0046520B">
      <w:pPr>
        <w:spacing w:line="360" w:lineRule="auto"/>
        <w:ind w:firstLine="708"/>
        <w:jc w:val="both"/>
        <w:rPr>
          <w:rFonts w:ascii="Times New Roman" w:hAnsi="Times New Roman" w:cs="Times New Roman"/>
          <w:sz w:val="24"/>
          <w:szCs w:val="24"/>
        </w:rPr>
      </w:pPr>
      <w:r w:rsidRPr="0046520B">
        <w:rPr>
          <w:rFonts w:ascii="Times New Roman" w:hAnsi="Times New Roman" w:cs="Times New Roman"/>
          <w:sz w:val="24"/>
          <w:szCs w:val="24"/>
        </w:rPr>
        <w:t>В този контекст стратегиите за ограничаване на младежката трудова неактивност трябва да съчетават стабилизиращи икономически политики с комплексни институционални интервенции. От икономическа страна приоритет са поддържането на растеж на реалните доходи, насърчаването на създаването на първостепенни входни позиции и стимули за стажантство и първа работа. От институционална – укрепване на връзките между образование и бизнес, разгръщане на таргетирани активни мерки за уязвимите групи, системи за грижа и подкрепа, които намаляват времевите ограничения пред участието, и инфраструктура, гарантираща достъп до качествени работни места и обучение в периферията. Само интегрираната комбинация от тези икономически и институционални детерминанти може да превърне демографския потенциал в реален прираст на продуктивността и да намали трайно младежката неактивност.</w:t>
      </w:r>
    </w:p>
    <w:p w14:paraId="47DBBA55" w14:textId="4864C274" w:rsidR="00A1042F" w:rsidRPr="003E1F48" w:rsidRDefault="003B1ACC" w:rsidP="00A1042F">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A1042F" w:rsidRPr="003E1F48">
        <w:rPr>
          <w:rFonts w:ascii="Times New Roman" w:hAnsi="Times New Roman" w:cs="Times New Roman"/>
          <w:b/>
          <w:bCs/>
          <w:sz w:val="24"/>
          <w:szCs w:val="24"/>
        </w:rPr>
        <w:t>3. Постпандемичният пазар на труда и структурните предизвикателства пред младите хора</w:t>
      </w:r>
    </w:p>
    <w:p w14:paraId="3919400A" w14:textId="77777777" w:rsidR="00B35778" w:rsidRDefault="002F4CC0" w:rsidP="002F4CC0">
      <w:pPr>
        <w:spacing w:line="360" w:lineRule="auto"/>
        <w:ind w:firstLine="708"/>
        <w:jc w:val="both"/>
        <w:rPr>
          <w:rFonts w:ascii="Times New Roman" w:hAnsi="Times New Roman" w:cs="Times New Roman"/>
          <w:sz w:val="24"/>
          <w:szCs w:val="24"/>
        </w:rPr>
      </w:pPr>
      <w:proofErr w:type="spellStart"/>
      <w:r w:rsidRPr="002F4CC0">
        <w:rPr>
          <w:rFonts w:ascii="Times New Roman" w:hAnsi="Times New Roman" w:cs="Times New Roman"/>
          <w:sz w:val="24"/>
          <w:szCs w:val="24"/>
          <w:lang w:val="en-GB"/>
        </w:rPr>
        <w:t>Постпандемичният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пазар</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труда</w:t>
      </w:r>
      <w:proofErr w:type="spellEnd"/>
      <w:r w:rsidRPr="002F4CC0">
        <w:rPr>
          <w:rFonts w:ascii="Times New Roman" w:hAnsi="Times New Roman" w:cs="Times New Roman"/>
          <w:sz w:val="24"/>
          <w:szCs w:val="24"/>
          <w:lang w:val="en-GB"/>
        </w:rPr>
        <w:t xml:space="preserve"> в ЕС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характеризира</w:t>
      </w:r>
      <w:proofErr w:type="spellEnd"/>
      <w:r w:rsidRPr="002F4CC0">
        <w:rPr>
          <w:rFonts w:ascii="Times New Roman" w:hAnsi="Times New Roman" w:cs="Times New Roman"/>
          <w:sz w:val="24"/>
          <w:szCs w:val="24"/>
          <w:lang w:val="en-GB"/>
        </w:rPr>
        <w:t xml:space="preserve"> с </w:t>
      </w:r>
      <w:proofErr w:type="spellStart"/>
      <w:r w:rsidRPr="002F4CC0">
        <w:rPr>
          <w:rFonts w:ascii="Times New Roman" w:hAnsi="Times New Roman" w:cs="Times New Roman"/>
          <w:sz w:val="24"/>
          <w:szCs w:val="24"/>
          <w:lang w:val="en-GB"/>
        </w:rPr>
        <w:t>бързо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и с </w:t>
      </w:r>
      <w:proofErr w:type="spellStart"/>
      <w:r w:rsidRPr="002F4CC0">
        <w:rPr>
          <w:rFonts w:ascii="Times New Roman" w:hAnsi="Times New Roman" w:cs="Times New Roman"/>
          <w:sz w:val="24"/>
          <w:szCs w:val="24"/>
          <w:lang w:val="en-GB"/>
        </w:rPr>
        <w:t>парадоксално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съвместно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присъствие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остатъчна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слабост</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нарастваща</w:t>
      </w:r>
      <w:proofErr w:type="spellEnd"/>
      <w:r w:rsidRPr="002F4CC0">
        <w:rPr>
          <w:rFonts w:ascii="Times New Roman" w:hAnsi="Times New Roman" w:cs="Times New Roman"/>
          <w:sz w:val="24"/>
          <w:szCs w:val="24"/>
          <w:lang w:val="en-GB"/>
        </w:rPr>
        <w:t xml:space="preserve"> </w:t>
      </w:r>
      <w:r w:rsidR="00B35778">
        <w:rPr>
          <w:rFonts w:ascii="Times New Roman" w:hAnsi="Times New Roman" w:cs="Times New Roman"/>
          <w:sz w:val="24"/>
          <w:szCs w:val="24"/>
        </w:rPr>
        <w:t>ограниченост на предлагането на труд</w:t>
      </w:r>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края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2021 г. </w:t>
      </w:r>
      <w:proofErr w:type="spellStart"/>
      <w:r w:rsidRPr="002F4CC0">
        <w:rPr>
          <w:rFonts w:ascii="Times New Roman" w:hAnsi="Times New Roman" w:cs="Times New Roman"/>
          <w:sz w:val="24"/>
          <w:szCs w:val="24"/>
          <w:lang w:val="en-GB"/>
        </w:rPr>
        <w:t>продукцията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след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спад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–5,9%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2020 г. с </w:t>
      </w:r>
      <w:proofErr w:type="spellStart"/>
      <w:r w:rsidRPr="002F4CC0">
        <w:rPr>
          <w:rFonts w:ascii="Times New Roman" w:hAnsi="Times New Roman" w:cs="Times New Roman"/>
          <w:sz w:val="24"/>
          <w:szCs w:val="24"/>
          <w:lang w:val="en-GB"/>
        </w:rPr>
        <w:t>ръст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5,4%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2021 г., а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2022 г. </w:t>
      </w:r>
      <w:proofErr w:type="spellStart"/>
      <w:r w:rsidRPr="002F4CC0">
        <w:rPr>
          <w:rFonts w:ascii="Times New Roman" w:hAnsi="Times New Roman" w:cs="Times New Roman"/>
          <w:sz w:val="24"/>
          <w:szCs w:val="24"/>
          <w:lang w:val="en-GB"/>
        </w:rPr>
        <w:t>растежът</w:t>
      </w:r>
      <w:proofErr w:type="spellEnd"/>
      <w:r w:rsidRPr="002F4CC0">
        <w:rPr>
          <w:rFonts w:ascii="Times New Roman" w:hAnsi="Times New Roman" w:cs="Times New Roman"/>
          <w:sz w:val="24"/>
          <w:szCs w:val="24"/>
          <w:lang w:val="en-GB"/>
        </w:rPr>
        <w:t xml:space="preserve"> е 2,7%;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понижава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пик</w:t>
      </w:r>
      <w:proofErr w:type="spellEnd"/>
      <w:r w:rsidRPr="002F4CC0">
        <w:rPr>
          <w:rFonts w:ascii="Times New Roman" w:hAnsi="Times New Roman" w:cs="Times New Roman"/>
          <w:sz w:val="24"/>
          <w:szCs w:val="24"/>
          <w:lang w:val="en-GB"/>
        </w:rPr>
        <w:t xml:space="preserve"> 7,8%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третото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тримесечие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2020 г. (</w:t>
      </w:r>
      <w:proofErr w:type="spellStart"/>
      <w:r w:rsidRPr="002F4CC0">
        <w:rPr>
          <w:rFonts w:ascii="Times New Roman" w:hAnsi="Times New Roman" w:cs="Times New Roman"/>
          <w:sz w:val="24"/>
          <w:szCs w:val="24"/>
          <w:lang w:val="en-GB"/>
        </w:rPr>
        <w:t>спрямо</w:t>
      </w:r>
      <w:proofErr w:type="spellEnd"/>
      <w:r w:rsidRPr="002F4CC0">
        <w:rPr>
          <w:rFonts w:ascii="Times New Roman" w:hAnsi="Times New Roman" w:cs="Times New Roman"/>
          <w:sz w:val="24"/>
          <w:szCs w:val="24"/>
          <w:lang w:val="en-GB"/>
        </w:rPr>
        <w:t xml:space="preserve"> 6,6% </w:t>
      </w:r>
      <w:proofErr w:type="spellStart"/>
      <w:r w:rsidRPr="002F4CC0">
        <w:rPr>
          <w:rFonts w:ascii="Times New Roman" w:hAnsi="Times New Roman" w:cs="Times New Roman"/>
          <w:sz w:val="24"/>
          <w:szCs w:val="24"/>
          <w:lang w:val="en-GB"/>
        </w:rPr>
        <w:t>преди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кризата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w:t>
      </w:r>
      <w:proofErr w:type="spellEnd"/>
      <w:r w:rsidRPr="002F4CC0">
        <w:rPr>
          <w:rFonts w:ascii="Times New Roman" w:hAnsi="Times New Roman" w:cs="Times New Roman"/>
          <w:sz w:val="24"/>
          <w:szCs w:val="24"/>
          <w:lang w:val="en-GB"/>
        </w:rPr>
        <w:t xml:space="preserve"> 6,5% в </w:t>
      </w:r>
      <w:proofErr w:type="spellStart"/>
      <w:r w:rsidRPr="002F4CC0">
        <w:rPr>
          <w:rFonts w:ascii="Times New Roman" w:hAnsi="Times New Roman" w:cs="Times New Roman"/>
          <w:sz w:val="24"/>
          <w:szCs w:val="24"/>
          <w:lang w:val="en-GB"/>
        </w:rPr>
        <w:t>края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2021 г.,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исторически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минимум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онзи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момент</w:t>
      </w:r>
      <w:proofErr w:type="spellEnd"/>
      <w:r w:rsidRPr="002F4CC0">
        <w:rPr>
          <w:rFonts w:ascii="Times New Roman" w:hAnsi="Times New Roman" w:cs="Times New Roman"/>
          <w:sz w:val="24"/>
          <w:szCs w:val="24"/>
          <w:lang w:val="en-GB"/>
        </w:rPr>
        <w:t xml:space="preserve">, а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2022 г. ЕС </w:t>
      </w:r>
      <w:proofErr w:type="spellStart"/>
      <w:r w:rsidRPr="002F4CC0">
        <w:rPr>
          <w:rFonts w:ascii="Times New Roman" w:hAnsi="Times New Roman" w:cs="Times New Roman"/>
          <w:sz w:val="24"/>
          <w:szCs w:val="24"/>
          <w:lang w:val="en-GB"/>
        </w:rPr>
        <w:t>достига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най-високи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досега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равнища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участие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сила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най-ниски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равнища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безработица</w:t>
      </w:r>
      <w:proofErr w:type="spellEnd"/>
      <w:r w:rsidR="00B35778">
        <w:rPr>
          <w:rFonts w:ascii="Times New Roman" w:hAnsi="Times New Roman" w:cs="Times New Roman"/>
          <w:sz w:val="24"/>
          <w:szCs w:val="24"/>
        </w:rPr>
        <w:t xml:space="preserve"> (Фиг. 1)</w:t>
      </w:r>
      <w:r w:rsidRPr="002F4CC0">
        <w:rPr>
          <w:rFonts w:ascii="Times New Roman" w:hAnsi="Times New Roman" w:cs="Times New Roman"/>
          <w:sz w:val="24"/>
          <w:szCs w:val="24"/>
          <w:lang w:val="en-GB"/>
        </w:rPr>
        <w:t xml:space="preserve">. </w:t>
      </w:r>
    </w:p>
    <w:p w14:paraId="46F82726" w14:textId="187381B0" w:rsidR="00B35778" w:rsidRDefault="00B35778" w:rsidP="00B35778">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19D31C" wp14:editId="48A2BA94">
            <wp:extent cx="4538975" cy="2820670"/>
            <wp:effectExtent l="0" t="0" r="0" b="0"/>
            <wp:docPr id="604896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9096" cy="2826960"/>
                    </a:xfrm>
                    <a:prstGeom prst="rect">
                      <a:avLst/>
                    </a:prstGeom>
                    <a:noFill/>
                  </pic:spPr>
                </pic:pic>
              </a:graphicData>
            </a:graphic>
          </wp:inline>
        </w:drawing>
      </w:r>
    </w:p>
    <w:p w14:paraId="360AF0D4" w14:textId="0C57B9B0" w:rsidR="00B35778" w:rsidRDefault="00B35778" w:rsidP="00B3577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Фигура 1. Съотношение между безработица и свободни работми места в постпандемичния пазар на труда в ЕС </w:t>
      </w:r>
    </w:p>
    <w:p w14:paraId="71B54014" w14:textId="7BB51EE8" w:rsidR="00B35778" w:rsidRPr="00B35778" w:rsidRDefault="00B35778" w:rsidP="00B3577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B35778">
        <w:rPr>
          <w:rFonts w:ascii="Times New Roman" w:hAnsi="Times New Roman" w:cs="Times New Roman"/>
          <w:sz w:val="24"/>
          <w:szCs w:val="24"/>
        </w:rPr>
        <w:t>Kiss et al. (2022)</w:t>
      </w:r>
    </w:p>
    <w:p w14:paraId="68A37C47" w14:textId="51688EA2" w:rsidR="002F4CC0" w:rsidRDefault="002F4CC0" w:rsidP="002F4CC0">
      <w:pPr>
        <w:spacing w:line="360" w:lineRule="auto"/>
        <w:ind w:firstLine="708"/>
        <w:jc w:val="both"/>
        <w:rPr>
          <w:rFonts w:ascii="Times New Roman" w:hAnsi="Times New Roman" w:cs="Times New Roman"/>
          <w:sz w:val="24"/>
          <w:szCs w:val="24"/>
        </w:rPr>
      </w:pPr>
      <w:proofErr w:type="spellStart"/>
      <w:r w:rsidRPr="002F4CC0">
        <w:rPr>
          <w:rFonts w:ascii="Times New Roman" w:hAnsi="Times New Roman" w:cs="Times New Roman"/>
          <w:sz w:val="24"/>
          <w:szCs w:val="24"/>
          <w:lang w:val="en-GB"/>
        </w:rPr>
        <w:t>Тези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изменения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същевременно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случват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това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второто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тримесечие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2021 г. </w:t>
      </w:r>
      <w:proofErr w:type="spellStart"/>
      <w:r w:rsidRPr="002F4CC0">
        <w:rPr>
          <w:rFonts w:ascii="Times New Roman" w:hAnsi="Times New Roman" w:cs="Times New Roman"/>
          <w:sz w:val="24"/>
          <w:szCs w:val="24"/>
          <w:lang w:val="en-GB"/>
        </w:rPr>
        <w:t>общата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още</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приблизително</w:t>
      </w:r>
      <w:proofErr w:type="spellEnd"/>
      <w:r w:rsidRPr="002F4CC0">
        <w:rPr>
          <w:rFonts w:ascii="Times New Roman" w:hAnsi="Times New Roman" w:cs="Times New Roman"/>
          <w:sz w:val="24"/>
          <w:szCs w:val="24"/>
          <w:lang w:val="en-GB"/>
        </w:rPr>
        <w:t xml:space="preserve"> с 1% </w:t>
      </w:r>
      <w:proofErr w:type="spellStart"/>
      <w:r w:rsidRPr="002F4CC0">
        <w:rPr>
          <w:rFonts w:ascii="Times New Roman" w:hAnsi="Times New Roman" w:cs="Times New Roman"/>
          <w:sz w:val="24"/>
          <w:szCs w:val="24"/>
          <w:lang w:val="en-GB"/>
        </w:rPr>
        <w:t>или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около</w:t>
      </w:r>
      <w:proofErr w:type="spellEnd"/>
      <w:r w:rsidRPr="002F4CC0">
        <w:rPr>
          <w:rFonts w:ascii="Times New Roman" w:hAnsi="Times New Roman" w:cs="Times New Roman"/>
          <w:sz w:val="24"/>
          <w:szCs w:val="24"/>
          <w:lang w:val="en-GB"/>
        </w:rPr>
        <w:t xml:space="preserve"> 1,7 </w:t>
      </w:r>
      <w:proofErr w:type="spellStart"/>
      <w:r w:rsidRPr="002F4CC0">
        <w:rPr>
          <w:rFonts w:ascii="Times New Roman" w:hAnsi="Times New Roman" w:cs="Times New Roman"/>
          <w:sz w:val="24"/>
          <w:szCs w:val="24"/>
          <w:lang w:val="en-GB"/>
        </w:rPr>
        <w:t>млн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души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предпандемичния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обем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показва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бавното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пълно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абсорбиране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резерва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първата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фаза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след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шока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индикаторите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неизползван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трудов</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потенциал</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остават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предпандемичните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нива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значителен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брой</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лица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заявяват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налични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временно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търсят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активно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поради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здравни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рискове</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ограничения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това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ги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класифицира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неактивни</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потиска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официалната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безработица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спрямо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очакваното</w:t>
      </w:r>
      <w:proofErr w:type="spellEnd"/>
      <w:r w:rsidR="00B35778" w:rsidRPr="00B35778">
        <w:t xml:space="preserve"> </w:t>
      </w:r>
      <w:r w:rsidR="00B35778" w:rsidRPr="00B35778">
        <w:rPr>
          <w:rFonts w:ascii="Times New Roman" w:hAnsi="Times New Roman" w:cs="Times New Roman"/>
          <w:sz w:val="24"/>
          <w:szCs w:val="24"/>
          <w:lang w:val="en-GB"/>
        </w:rPr>
        <w:t>(Kiss et al., 2022)</w:t>
      </w:r>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фона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свиващо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население</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трудоспособна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възраст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повишени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равнища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активност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броят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лицата</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работната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сила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остава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леко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предпандемичния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обем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усилва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усещането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стегнатост</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отделни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сегменти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Веднага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след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вдигане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ограниченията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търсенето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ускорява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рязко</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броят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връща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надминава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предпандемичните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стойности</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рамките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около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една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година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значително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по-бързо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понижението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резултатът</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краткотраен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контрацикличен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контур</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зависимостта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оптика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недостиг</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наличен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бавно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абсорбиращ</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резерв</w:t>
      </w:r>
      <w:proofErr w:type="spellEnd"/>
      <w:r w:rsidR="00B35778" w:rsidRPr="00B35778">
        <w:t xml:space="preserve"> </w:t>
      </w:r>
      <w:r w:rsidR="00B35778" w:rsidRPr="00B35778">
        <w:rPr>
          <w:rFonts w:ascii="Times New Roman" w:hAnsi="Times New Roman" w:cs="Times New Roman"/>
          <w:sz w:val="24"/>
          <w:szCs w:val="24"/>
          <w:lang w:val="en-GB"/>
        </w:rPr>
        <w:t>(Kiss et al., 2022)</w:t>
      </w:r>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Междудържавните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данни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периода</w:t>
      </w:r>
      <w:proofErr w:type="spellEnd"/>
      <w:r w:rsidRPr="002F4CC0">
        <w:rPr>
          <w:rFonts w:ascii="Times New Roman" w:hAnsi="Times New Roman" w:cs="Times New Roman"/>
          <w:sz w:val="24"/>
          <w:szCs w:val="24"/>
          <w:lang w:val="en-GB"/>
        </w:rPr>
        <w:t xml:space="preserve"> </w:t>
      </w:r>
      <w:r>
        <w:rPr>
          <w:rFonts w:ascii="Times New Roman" w:hAnsi="Times New Roman" w:cs="Times New Roman"/>
          <w:sz w:val="24"/>
          <w:szCs w:val="24"/>
        </w:rPr>
        <w:t xml:space="preserve">от края на </w:t>
      </w:r>
      <w:r w:rsidRPr="002F4CC0">
        <w:rPr>
          <w:rFonts w:ascii="Times New Roman" w:hAnsi="Times New Roman" w:cs="Times New Roman"/>
          <w:sz w:val="24"/>
          <w:szCs w:val="24"/>
          <w:lang w:val="en-GB"/>
        </w:rPr>
        <w:t>201</w:t>
      </w:r>
      <w:r>
        <w:rPr>
          <w:rFonts w:ascii="Times New Roman" w:hAnsi="Times New Roman" w:cs="Times New Roman"/>
          <w:sz w:val="24"/>
          <w:szCs w:val="24"/>
        </w:rPr>
        <w:t xml:space="preserve">9 до средата на </w:t>
      </w:r>
      <w:r w:rsidRPr="002F4CC0">
        <w:rPr>
          <w:rFonts w:ascii="Times New Roman" w:hAnsi="Times New Roman" w:cs="Times New Roman"/>
          <w:sz w:val="24"/>
          <w:szCs w:val="24"/>
          <w:lang w:val="en-GB"/>
        </w:rPr>
        <w:t>202</w:t>
      </w:r>
      <w:r>
        <w:rPr>
          <w:rFonts w:ascii="Times New Roman" w:hAnsi="Times New Roman" w:cs="Times New Roman"/>
          <w:sz w:val="24"/>
          <w:szCs w:val="24"/>
        </w:rPr>
        <w:t>1 г.</w:t>
      </w:r>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показват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в 13 </w:t>
      </w:r>
      <w:proofErr w:type="spellStart"/>
      <w:r w:rsidRPr="002F4CC0">
        <w:rPr>
          <w:rFonts w:ascii="Times New Roman" w:hAnsi="Times New Roman" w:cs="Times New Roman"/>
          <w:sz w:val="24"/>
          <w:szCs w:val="24"/>
          <w:lang w:val="en-GB"/>
        </w:rPr>
        <w:lastRenderedPageBreak/>
        <w:t>държави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едновременно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нарастват</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осем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държави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нарастването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съпроводено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със</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спад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а в </w:t>
      </w:r>
      <w:proofErr w:type="spellStart"/>
      <w:r w:rsidRPr="002F4CC0">
        <w:rPr>
          <w:rFonts w:ascii="Times New Roman" w:hAnsi="Times New Roman" w:cs="Times New Roman"/>
          <w:sz w:val="24"/>
          <w:szCs w:val="24"/>
          <w:lang w:val="en-GB"/>
        </w:rPr>
        <w:t>България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остават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почти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непроменени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подчертава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хетерогенността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нормализацията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различната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скорост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proofErr w:type="gramStart"/>
      <w:r w:rsidRPr="002F4CC0">
        <w:rPr>
          <w:rFonts w:ascii="Times New Roman" w:hAnsi="Times New Roman" w:cs="Times New Roman"/>
          <w:sz w:val="24"/>
          <w:szCs w:val="24"/>
          <w:lang w:val="en-GB"/>
        </w:rPr>
        <w:t>изсветляване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proofErr w:type="gram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резерва</w:t>
      </w:r>
      <w:proofErr w:type="spellEnd"/>
      <w:r w:rsidR="00B35778" w:rsidRPr="00B35778">
        <w:t xml:space="preserve"> </w:t>
      </w:r>
      <w:r w:rsidR="00B35778" w:rsidRPr="00B35778">
        <w:rPr>
          <w:rFonts w:ascii="Times New Roman" w:hAnsi="Times New Roman" w:cs="Times New Roman"/>
          <w:sz w:val="24"/>
          <w:szCs w:val="24"/>
          <w:lang w:val="en-GB"/>
        </w:rPr>
        <w:t>(Kiss et al., 2022)</w:t>
      </w:r>
      <w:r w:rsidRPr="002F4CC0">
        <w:rPr>
          <w:rFonts w:ascii="Times New Roman" w:hAnsi="Times New Roman" w:cs="Times New Roman"/>
          <w:sz w:val="24"/>
          <w:szCs w:val="24"/>
          <w:lang w:val="en-GB"/>
        </w:rPr>
        <w:t>.</w:t>
      </w:r>
    </w:p>
    <w:p w14:paraId="7DA5457D" w14:textId="50D3ABE6" w:rsidR="002F4CC0" w:rsidRPr="00B35778" w:rsidRDefault="002F4CC0" w:rsidP="002F4CC0">
      <w:pPr>
        <w:spacing w:line="360" w:lineRule="auto"/>
        <w:ind w:firstLine="708"/>
        <w:jc w:val="both"/>
        <w:rPr>
          <w:rFonts w:ascii="Times New Roman" w:hAnsi="Times New Roman" w:cs="Times New Roman"/>
          <w:sz w:val="24"/>
          <w:szCs w:val="24"/>
        </w:rPr>
      </w:pPr>
      <w:proofErr w:type="spellStart"/>
      <w:r w:rsidRPr="002F4CC0">
        <w:rPr>
          <w:rFonts w:ascii="Times New Roman" w:hAnsi="Times New Roman" w:cs="Times New Roman"/>
          <w:sz w:val="24"/>
          <w:szCs w:val="24"/>
          <w:lang w:val="en-GB"/>
        </w:rPr>
        <w:t>Ключов</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отличителен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белег</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тази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постпандемична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конюнктура</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широкото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прилагане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схеми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запазване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намалено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време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чрез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които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корекциите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време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шока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пренасят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предимно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отработените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часове</w:t>
      </w:r>
      <w:proofErr w:type="spellEnd"/>
      <w:r w:rsidRPr="002F4CC0">
        <w:rPr>
          <w:rFonts w:ascii="Times New Roman" w:hAnsi="Times New Roman" w:cs="Times New Roman"/>
          <w:sz w:val="24"/>
          <w:szCs w:val="24"/>
          <w:lang w:val="en-GB"/>
        </w:rPr>
        <w:t xml:space="preserve">, а </w:t>
      </w:r>
      <w:proofErr w:type="spellStart"/>
      <w:r w:rsidRPr="002F4CC0">
        <w:rPr>
          <w:rFonts w:ascii="Times New Roman" w:hAnsi="Times New Roman" w:cs="Times New Roman"/>
          <w:sz w:val="24"/>
          <w:szCs w:val="24"/>
          <w:lang w:val="en-GB"/>
        </w:rPr>
        <w:t>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лица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това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запазва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съвпаденията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работник</w:t>
      </w:r>
      <w:proofErr w:type="spellEnd"/>
      <w:r w:rsidRPr="002F4CC0">
        <w:rPr>
          <w:rFonts w:ascii="Times New Roman" w:hAnsi="Times New Roman" w:cs="Times New Roman"/>
          <w:sz w:val="24"/>
          <w:szCs w:val="24"/>
          <w:lang w:val="en-GB"/>
        </w:rPr>
        <w:t>–</w:t>
      </w:r>
      <w:proofErr w:type="spellStart"/>
      <w:r w:rsidRPr="002F4CC0">
        <w:rPr>
          <w:rFonts w:ascii="Times New Roman" w:hAnsi="Times New Roman" w:cs="Times New Roman"/>
          <w:sz w:val="24"/>
          <w:szCs w:val="24"/>
          <w:lang w:val="en-GB"/>
        </w:rPr>
        <w:t>работодател</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задържа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по-ниска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очакваното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временно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намалява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активността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забавя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междусекторната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мобилност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някои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държави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повишава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отчетените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още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пълното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Емпиричната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оценка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кривите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Бевъридж</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показва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само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умерено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нагорно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изместване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2020 г., </w:t>
      </w:r>
      <w:proofErr w:type="spellStart"/>
      <w:r w:rsidRPr="002F4CC0">
        <w:rPr>
          <w:rFonts w:ascii="Times New Roman" w:hAnsi="Times New Roman" w:cs="Times New Roman"/>
          <w:sz w:val="24"/>
          <w:szCs w:val="24"/>
          <w:lang w:val="en-GB"/>
        </w:rPr>
        <w:t>частично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обратимо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през</w:t>
      </w:r>
      <w:proofErr w:type="spellEnd"/>
      <w:r w:rsidRPr="002F4CC0">
        <w:rPr>
          <w:rFonts w:ascii="Times New Roman" w:hAnsi="Times New Roman" w:cs="Times New Roman"/>
          <w:sz w:val="24"/>
          <w:szCs w:val="24"/>
          <w:lang w:val="en-GB"/>
        </w:rPr>
        <w:t xml:space="preserve"> 2021 г.,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свидетелства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ефективността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съвпадението</w:t>
      </w:r>
      <w:proofErr w:type="spellEnd"/>
      <w:r w:rsidRPr="002F4CC0">
        <w:rPr>
          <w:rFonts w:ascii="Times New Roman" w:hAnsi="Times New Roman" w:cs="Times New Roman"/>
          <w:sz w:val="24"/>
          <w:szCs w:val="24"/>
          <w:lang w:val="en-GB"/>
        </w:rPr>
        <w:t xml:space="preserve"> в ЕС </w:t>
      </w:r>
      <w:proofErr w:type="spellStart"/>
      <w:r w:rsidRPr="002F4CC0">
        <w:rPr>
          <w:rFonts w:ascii="Times New Roman" w:hAnsi="Times New Roman" w:cs="Times New Roman"/>
          <w:sz w:val="24"/>
          <w:szCs w:val="24"/>
          <w:lang w:val="en-GB"/>
        </w:rPr>
        <w:t>исторически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остава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висока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влошаването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съответствието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умения</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играе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незначителна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роля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наблюдаваните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промени</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безработицата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спрямо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шока</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броя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00B35778" w:rsidRPr="00B35778">
        <w:rPr>
          <w:rFonts w:ascii="Times New Roman" w:hAnsi="Times New Roman" w:cs="Times New Roman"/>
          <w:sz w:val="24"/>
          <w:szCs w:val="24"/>
        </w:rPr>
        <w:t xml:space="preserve"> (European Commission, 2025a</w:t>
      </w:r>
      <w:proofErr w:type="gramStart"/>
      <w:r w:rsidR="00B35778" w:rsidRPr="00B35778">
        <w:rPr>
          <w:rFonts w:ascii="Times New Roman" w:hAnsi="Times New Roman" w:cs="Times New Roman"/>
          <w:sz w:val="24"/>
          <w:szCs w:val="24"/>
        </w:rPr>
        <w:t xml:space="preserve">) </w:t>
      </w:r>
      <w:r w:rsidRPr="002F4CC0">
        <w:rPr>
          <w:rFonts w:ascii="Times New Roman" w:hAnsi="Times New Roman" w:cs="Times New Roman"/>
          <w:sz w:val="24"/>
          <w:szCs w:val="24"/>
          <w:lang w:val="en-GB"/>
        </w:rPr>
        <w:t>.</w:t>
      </w:r>
      <w:proofErr w:type="gram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Секторният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профил</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удара</w:t>
      </w:r>
      <w:proofErr w:type="spellEnd"/>
      <w:r w:rsidRPr="002F4CC0">
        <w:rPr>
          <w:rFonts w:ascii="Times New Roman" w:hAnsi="Times New Roman" w:cs="Times New Roman"/>
          <w:sz w:val="24"/>
          <w:szCs w:val="24"/>
          <w:lang w:val="en-GB"/>
        </w:rPr>
        <w:t xml:space="preserve"> е </w:t>
      </w:r>
      <w:proofErr w:type="spellStart"/>
      <w:r w:rsidRPr="002F4CC0">
        <w:rPr>
          <w:rFonts w:ascii="Times New Roman" w:hAnsi="Times New Roman" w:cs="Times New Roman"/>
          <w:sz w:val="24"/>
          <w:szCs w:val="24"/>
          <w:lang w:val="en-GB"/>
        </w:rPr>
        <w:t>силно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неравномерен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контактно-интензивните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услуги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хотелиерство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ресторантьорство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изкуства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развлечения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понасят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най-дълбок</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спад</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часовете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докато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индустрията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строителството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търсенето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бързо</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изпреварващо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тях</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свободните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места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надхвърлят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предпандемичните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равнища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още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пълната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нормализация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същевременно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младежите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по-бързо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нискоквалифицираните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работници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подчертава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социалното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разслоение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ефектите</w:t>
      </w:r>
      <w:proofErr w:type="spellEnd"/>
      <w:r w:rsidR="00B35778" w:rsidRPr="00B35778">
        <w:rPr>
          <w:rFonts w:ascii="Times New Roman" w:hAnsi="Times New Roman" w:cs="Times New Roman"/>
          <w:sz w:val="24"/>
          <w:szCs w:val="24"/>
        </w:rPr>
        <w:t xml:space="preserve"> (European Commission, 2025a) </w:t>
      </w:r>
      <w:r w:rsidR="00B35778" w:rsidRPr="00B35778">
        <w:rPr>
          <w:rFonts w:ascii="Times New Roman" w:hAnsi="Times New Roman" w:cs="Times New Roman"/>
          <w:sz w:val="24"/>
          <w:szCs w:val="24"/>
          <w:lang w:val="en-GB"/>
        </w:rPr>
        <w:t>.</w:t>
      </w:r>
      <w:r w:rsidRPr="002F4CC0">
        <w:rPr>
          <w:rFonts w:ascii="Times New Roman" w:hAnsi="Times New Roman" w:cs="Times New Roman"/>
          <w:sz w:val="24"/>
          <w:szCs w:val="24"/>
          <w:lang w:val="en-GB"/>
        </w:rPr>
        <w:t xml:space="preserve"> </w:t>
      </w:r>
    </w:p>
    <w:p w14:paraId="1B0C783C" w14:textId="730EB466" w:rsidR="002F4CC0" w:rsidRPr="002F4CC0" w:rsidRDefault="002F4CC0" w:rsidP="002F4CC0">
      <w:pPr>
        <w:spacing w:line="360" w:lineRule="auto"/>
        <w:ind w:firstLine="708"/>
        <w:jc w:val="both"/>
        <w:rPr>
          <w:rFonts w:ascii="Times New Roman" w:hAnsi="Times New Roman" w:cs="Times New Roman"/>
          <w:sz w:val="24"/>
          <w:szCs w:val="24"/>
          <w:lang w:val="en-GB"/>
        </w:rPr>
      </w:pPr>
      <w:proofErr w:type="spellStart"/>
      <w:r w:rsidRPr="002F4CC0">
        <w:rPr>
          <w:rFonts w:ascii="Times New Roman" w:hAnsi="Times New Roman" w:cs="Times New Roman"/>
          <w:sz w:val="24"/>
          <w:szCs w:val="24"/>
          <w:lang w:val="en-GB"/>
        </w:rPr>
        <w:t>Междудържавните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различия</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темпа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отразяват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комбинация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секторна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специализация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структурни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особености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пазарите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обхват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схемите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запазване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като</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част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страните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представя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по-добре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продукцията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именно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поради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широкото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покритие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тези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инструменти</w:t>
      </w:r>
      <w:proofErr w:type="spellEnd"/>
      <w:r w:rsidRPr="002F4CC0">
        <w:rPr>
          <w:rFonts w:ascii="Times New Roman" w:hAnsi="Times New Roman" w:cs="Times New Roman"/>
          <w:sz w:val="24"/>
          <w:szCs w:val="24"/>
          <w:lang w:val="en-GB"/>
        </w:rPr>
        <w:t>.</w:t>
      </w:r>
      <w:r w:rsidR="00B35778" w:rsidRPr="002656AE">
        <w:rPr>
          <w:rFonts w:ascii="Times New Roman" w:hAnsi="Times New Roman" w:cs="Times New Roman"/>
          <w:sz w:val="24"/>
          <w:szCs w:val="24"/>
        </w:rPr>
        <w:t xml:space="preserve"> </w:t>
      </w:r>
      <w:r w:rsidR="002656AE" w:rsidRPr="002656AE">
        <w:rPr>
          <w:rFonts w:ascii="Times New Roman" w:hAnsi="Times New Roman" w:cs="Times New Roman"/>
          <w:sz w:val="24"/>
          <w:szCs w:val="24"/>
        </w:rPr>
        <w:t>Тези различния</w:t>
      </w:r>
      <w:proofErr w:type="spellStart"/>
      <w:r w:rsidR="00B35778" w:rsidRPr="002656AE">
        <w:rPr>
          <w:rFonts w:ascii="Times New Roman" w:hAnsi="Times New Roman" w:cs="Times New Roman"/>
          <w:sz w:val="24"/>
          <w:szCs w:val="24"/>
          <w:lang w:val="en-GB"/>
        </w:rPr>
        <w:t>се</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проявяват</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ясно</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при</w:t>
      </w:r>
      <w:proofErr w:type="spellEnd"/>
      <w:r w:rsidR="00B35778" w:rsidRPr="002656AE">
        <w:rPr>
          <w:rFonts w:ascii="Times New Roman" w:hAnsi="Times New Roman" w:cs="Times New Roman"/>
          <w:sz w:val="24"/>
          <w:szCs w:val="24"/>
          <w:lang w:val="en-GB"/>
        </w:rPr>
        <w:t xml:space="preserve"> България, </w:t>
      </w:r>
      <w:proofErr w:type="spellStart"/>
      <w:r w:rsidR="00B35778" w:rsidRPr="002656AE">
        <w:rPr>
          <w:rFonts w:ascii="Times New Roman" w:hAnsi="Times New Roman" w:cs="Times New Roman"/>
          <w:sz w:val="24"/>
          <w:szCs w:val="24"/>
          <w:lang w:val="en-GB"/>
        </w:rPr>
        <w:t>Нидерландия</w:t>
      </w:r>
      <w:proofErr w:type="spellEnd"/>
      <w:r w:rsidR="00B35778" w:rsidRPr="002656AE">
        <w:rPr>
          <w:rFonts w:ascii="Times New Roman" w:hAnsi="Times New Roman" w:cs="Times New Roman"/>
          <w:sz w:val="24"/>
          <w:szCs w:val="24"/>
          <w:lang w:val="en-GB"/>
        </w:rPr>
        <w:t xml:space="preserve"> и </w:t>
      </w:r>
      <w:proofErr w:type="spellStart"/>
      <w:r w:rsidR="00B35778" w:rsidRPr="002656AE">
        <w:rPr>
          <w:rFonts w:ascii="Times New Roman" w:hAnsi="Times New Roman" w:cs="Times New Roman"/>
          <w:sz w:val="24"/>
          <w:szCs w:val="24"/>
          <w:lang w:val="en-GB"/>
        </w:rPr>
        <w:t>Хърватия</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чрез</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взаимодействието</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между</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секторна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специализация</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институционална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архитектура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на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пазара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на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труда</w:t>
      </w:r>
      <w:proofErr w:type="spellEnd"/>
      <w:r w:rsidR="00B35778" w:rsidRPr="002656AE">
        <w:rPr>
          <w:rFonts w:ascii="Times New Roman" w:hAnsi="Times New Roman" w:cs="Times New Roman"/>
          <w:sz w:val="24"/>
          <w:szCs w:val="24"/>
          <w:lang w:val="en-GB"/>
        </w:rPr>
        <w:t xml:space="preserve"> и </w:t>
      </w:r>
      <w:proofErr w:type="spellStart"/>
      <w:r w:rsidR="00B35778" w:rsidRPr="002656AE">
        <w:rPr>
          <w:rFonts w:ascii="Times New Roman" w:hAnsi="Times New Roman" w:cs="Times New Roman"/>
          <w:sz w:val="24"/>
          <w:szCs w:val="24"/>
          <w:lang w:val="en-GB"/>
        </w:rPr>
        <w:t>обхвата</w:t>
      </w:r>
      <w:proofErr w:type="spellEnd"/>
      <w:r w:rsidR="00B35778" w:rsidRPr="002656AE">
        <w:rPr>
          <w:rFonts w:ascii="Times New Roman" w:hAnsi="Times New Roman" w:cs="Times New Roman"/>
          <w:sz w:val="24"/>
          <w:szCs w:val="24"/>
          <w:lang w:val="en-GB"/>
        </w:rPr>
        <w:t xml:space="preserve"> </w:t>
      </w:r>
      <w:proofErr w:type="spellStart"/>
      <w:r w:rsidR="00B35778" w:rsidRPr="002656AE">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lastRenderedPageBreak/>
        <w:t>схемите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запазване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Нидерландия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високата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дигитална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готовност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развитите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посреднически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услуги</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традиционно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гъвкавата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структура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с </w:t>
      </w:r>
      <w:proofErr w:type="spellStart"/>
      <w:r w:rsidR="00B35778" w:rsidRPr="00B35778">
        <w:rPr>
          <w:rFonts w:ascii="Times New Roman" w:hAnsi="Times New Roman" w:cs="Times New Roman"/>
          <w:sz w:val="24"/>
          <w:szCs w:val="24"/>
          <w:lang w:val="en-GB"/>
        </w:rPr>
        <w:t>голям</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дял</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почасова</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непълна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работа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позволяват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бързо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пренасочване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работната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сила</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превръщат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схемите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подкрепа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заплатите</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ефективен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между</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временния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шок</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възстановеното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търсене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резултатът</w:t>
      </w:r>
      <w:proofErr w:type="spellEnd"/>
      <w:r w:rsidR="00B35778" w:rsidRPr="00B35778">
        <w:rPr>
          <w:rFonts w:ascii="Times New Roman" w:hAnsi="Times New Roman" w:cs="Times New Roman"/>
          <w:sz w:val="24"/>
          <w:szCs w:val="24"/>
          <w:lang w:val="en-GB"/>
        </w:rPr>
        <w:t xml:space="preserve"> е, </w:t>
      </w:r>
      <w:proofErr w:type="spellStart"/>
      <w:r w:rsidR="00B35778" w:rsidRPr="00B35778">
        <w:rPr>
          <w:rFonts w:ascii="Times New Roman" w:hAnsi="Times New Roman" w:cs="Times New Roman"/>
          <w:sz w:val="24"/>
          <w:szCs w:val="24"/>
          <w:lang w:val="en-GB"/>
        </w:rPr>
        <w:t>че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задържа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исторически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високи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равнища</w:t>
      </w:r>
      <w:proofErr w:type="spellEnd"/>
      <w:r w:rsidR="00B35778" w:rsidRPr="00B35778">
        <w:rPr>
          <w:rFonts w:ascii="Times New Roman" w:hAnsi="Times New Roman" w:cs="Times New Roman"/>
          <w:sz w:val="24"/>
          <w:szCs w:val="24"/>
          <w:lang w:val="en-GB"/>
        </w:rPr>
        <w:t xml:space="preserve">, а </w:t>
      </w:r>
      <w:proofErr w:type="spellStart"/>
      <w:r w:rsidR="00B35778" w:rsidRPr="00B35778">
        <w:rPr>
          <w:rFonts w:ascii="Times New Roman" w:hAnsi="Times New Roman" w:cs="Times New Roman"/>
          <w:sz w:val="24"/>
          <w:szCs w:val="24"/>
          <w:lang w:val="en-GB"/>
        </w:rPr>
        <w:t>броят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свободните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работни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места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нараства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по-бързо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продукцията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което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сигнализира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структурна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стегнатост</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добър</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мачинг</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дори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смущения</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контактно-интензивните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услуги</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България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по-ниският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относителен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мащаб</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активните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политики</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по-фрагментираната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секторна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структура</w:t>
      </w:r>
      <w:proofErr w:type="spellEnd"/>
      <w:r w:rsidR="00B35778" w:rsidRPr="00B35778">
        <w:rPr>
          <w:rFonts w:ascii="Times New Roman" w:hAnsi="Times New Roman" w:cs="Times New Roman"/>
          <w:sz w:val="24"/>
          <w:szCs w:val="24"/>
          <w:lang w:val="en-GB"/>
        </w:rPr>
        <w:t xml:space="preserve"> – с </w:t>
      </w:r>
      <w:proofErr w:type="spellStart"/>
      <w:r w:rsidR="00B35778" w:rsidRPr="00B35778">
        <w:rPr>
          <w:rFonts w:ascii="Times New Roman" w:hAnsi="Times New Roman" w:cs="Times New Roman"/>
          <w:sz w:val="24"/>
          <w:szCs w:val="24"/>
          <w:lang w:val="en-GB"/>
        </w:rPr>
        <w:t>по-голям</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дял</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микропредприятия</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регионални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разлики</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индустриалните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клъстери</w:t>
      </w:r>
      <w:proofErr w:type="spellEnd"/>
      <w:r w:rsidR="00B35778" w:rsidRPr="00B35778">
        <w:rPr>
          <w:rFonts w:ascii="Times New Roman" w:hAnsi="Times New Roman" w:cs="Times New Roman"/>
          <w:sz w:val="24"/>
          <w:szCs w:val="24"/>
          <w:lang w:val="en-GB"/>
        </w:rPr>
        <w:t xml:space="preserve"> – </w:t>
      </w:r>
      <w:proofErr w:type="spellStart"/>
      <w:r w:rsidR="00B35778" w:rsidRPr="00B35778">
        <w:rPr>
          <w:rFonts w:ascii="Times New Roman" w:hAnsi="Times New Roman" w:cs="Times New Roman"/>
          <w:sz w:val="24"/>
          <w:szCs w:val="24"/>
          <w:lang w:val="en-GB"/>
        </w:rPr>
        <w:t>водят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по-бавно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пренареждане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между</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отраслите</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до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по-продължителни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лагове</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съвпадението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между</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умения</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търсене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въпреки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че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безработицата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спада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свиването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населението</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трудоспособна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възраст</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по-ограниченият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обхват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схемите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запазване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правят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възстановяването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продукцията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по-волатилно</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задържат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част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резерва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труд</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извън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активното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търсене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Хърватия</w:t>
      </w:r>
      <w:proofErr w:type="spellEnd"/>
      <w:r w:rsidR="00B35778" w:rsidRPr="00B35778">
        <w:rPr>
          <w:rFonts w:ascii="Times New Roman" w:hAnsi="Times New Roman" w:cs="Times New Roman"/>
          <w:sz w:val="24"/>
          <w:szCs w:val="24"/>
          <w:lang w:val="en-GB"/>
        </w:rPr>
        <w:t xml:space="preserve">, с </w:t>
      </w:r>
      <w:proofErr w:type="spellStart"/>
      <w:r w:rsidR="00B35778" w:rsidRPr="00B35778">
        <w:rPr>
          <w:rFonts w:ascii="Times New Roman" w:hAnsi="Times New Roman" w:cs="Times New Roman"/>
          <w:sz w:val="24"/>
          <w:szCs w:val="24"/>
          <w:lang w:val="en-GB"/>
        </w:rPr>
        <w:t>висока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зависимост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туризма</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сезонните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услуги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прилага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щедри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схеми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съхраняване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работни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места</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пика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шока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които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стабилизират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дори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по-бавно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възстановяване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продукцията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когато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туристическото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търсене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връща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преносът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към</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реална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w:t>
      </w:r>
      <w:proofErr w:type="spellEnd"/>
      <w:r w:rsidR="00B35778" w:rsidRPr="00B35778">
        <w:rPr>
          <w:rFonts w:ascii="Times New Roman" w:hAnsi="Times New Roman" w:cs="Times New Roman"/>
          <w:sz w:val="24"/>
          <w:szCs w:val="24"/>
          <w:lang w:val="en-GB"/>
        </w:rPr>
        <w:t xml:space="preserve"> е </w:t>
      </w:r>
      <w:proofErr w:type="spellStart"/>
      <w:r w:rsidR="00B35778" w:rsidRPr="00B35778">
        <w:rPr>
          <w:rFonts w:ascii="Times New Roman" w:hAnsi="Times New Roman" w:cs="Times New Roman"/>
          <w:sz w:val="24"/>
          <w:szCs w:val="24"/>
          <w:lang w:val="en-GB"/>
        </w:rPr>
        <w:t>ускорен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изразената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сезонност</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регионалната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двупосочност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между</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адриатическото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крайбрежие</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вътрешността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поддържат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по-висока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амплитуда</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броя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свободните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работни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места</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по-голяма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чувствителност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младежките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преходи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училище</w:t>
      </w:r>
      <w:proofErr w:type="spellEnd"/>
      <w:r w:rsidR="00B35778" w:rsidRPr="00B35778">
        <w:rPr>
          <w:rFonts w:ascii="Times New Roman" w:hAnsi="Times New Roman" w:cs="Times New Roman"/>
          <w:sz w:val="24"/>
          <w:szCs w:val="24"/>
          <w:lang w:val="en-GB"/>
        </w:rPr>
        <w:t>–</w:t>
      </w:r>
      <w:proofErr w:type="spellStart"/>
      <w:r w:rsidR="00B35778" w:rsidRPr="00B35778">
        <w:rPr>
          <w:rFonts w:ascii="Times New Roman" w:hAnsi="Times New Roman" w:cs="Times New Roman"/>
          <w:sz w:val="24"/>
          <w:szCs w:val="24"/>
          <w:lang w:val="en-GB"/>
        </w:rPr>
        <w:t>работа</w:t>
      </w:r>
      <w:proofErr w:type="spellEnd"/>
      <w:r w:rsidR="00B35778" w:rsidRPr="00B35778">
        <w:rPr>
          <w:rFonts w:ascii="Times New Roman" w:hAnsi="Times New Roman" w:cs="Times New Roman"/>
          <w:sz w:val="24"/>
          <w:szCs w:val="24"/>
          <w:lang w:val="en-GB"/>
        </w:rPr>
        <w:t xml:space="preserve">“.  </w:t>
      </w:r>
      <w:r w:rsidR="00B35778">
        <w:rPr>
          <w:rFonts w:ascii="Times New Roman" w:hAnsi="Times New Roman" w:cs="Times New Roman"/>
          <w:sz w:val="24"/>
          <w:szCs w:val="24"/>
        </w:rPr>
        <w:t xml:space="preserve">Докато </w:t>
      </w:r>
      <w:proofErr w:type="spellStart"/>
      <w:r w:rsidR="00B35778" w:rsidRPr="00B35778">
        <w:rPr>
          <w:rFonts w:ascii="Times New Roman" w:hAnsi="Times New Roman" w:cs="Times New Roman"/>
          <w:sz w:val="24"/>
          <w:szCs w:val="24"/>
          <w:lang w:val="en-GB"/>
        </w:rPr>
        <w:t>Нидерландия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материализира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сценарий</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който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институционалната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плътност</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широкото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покритие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мерките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водят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до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по-добра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заетост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продукцията</w:t>
      </w:r>
      <w:proofErr w:type="spellEnd"/>
      <w:r w:rsidR="00B35778" w:rsidRPr="00B35778">
        <w:rPr>
          <w:rFonts w:ascii="Times New Roman" w:hAnsi="Times New Roman" w:cs="Times New Roman"/>
          <w:sz w:val="24"/>
          <w:szCs w:val="24"/>
          <w:lang w:val="en-GB"/>
        </w:rPr>
        <w:t xml:space="preserve">“ в </w:t>
      </w:r>
      <w:proofErr w:type="spellStart"/>
      <w:r w:rsidR="00B35778" w:rsidRPr="00B35778">
        <w:rPr>
          <w:rFonts w:ascii="Times New Roman" w:hAnsi="Times New Roman" w:cs="Times New Roman"/>
          <w:sz w:val="24"/>
          <w:szCs w:val="24"/>
          <w:lang w:val="en-GB"/>
        </w:rPr>
        <w:t>краткосрочен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план</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България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сблъсква</w:t>
      </w:r>
      <w:proofErr w:type="spellEnd"/>
      <w:r w:rsidR="00B35778" w:rsidRPr="00B35778">
        <w:rPr>
          <w:rFonts w:ascii="Times New Roman" w:hAnsi="Times New Roman" w:cs="Times New Roman"/>
          <w:sz w:val="24"/>
          <w:szCs w:val="24"/>
          <w:lang w:val="en-GB"/>
        </w:rPr>
        <w:t xml:space="preserve"> с </w:t>
      </w:r>
      <w:proofErr w:type="spellStart"/>
      <w:r w:rsidR="00B35778" w:rsidRPr="00B35778">
        <w:rPr>
          <w:rFonts w:ascii="Times New Roman" w:hAnsi="Times New Roman" w:cs="Times New Roman"/>
          <w:sz w:val="24"/>
          <w:szCs w:val="24"/>
          <w:lang w:val="en-GB"/>
        </w:rPr>
        <w:t>по-бавно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секторно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преразпределение</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структурна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недостигнатост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умения</w:t>
      </w:r>
      <w:proofErr w:type="spellEnd"/>
      <w:r w:rsidR="00B35778" w:rsidRPr="00B35778">
        <w:rPr>
          <w:rFonts w:ascii="Times New Roman" w:hAnsi="Times New Roman" w:cs="Times New Roman"/>
          <w:sz w:val="24"/>
          <w:szCs w:val="24"/>
          <w:lang w:val="en-GB"/>
        </w:rPr>
        <w:t xml:space="preserve">, а </w:t>
      </w:r>
      <w:proofErr w:type="spellStart"/>
      <w:r w:rsidR="00B35778" w:rsidRPr="00B35778">
        <w:rPr>
          <w:rFonts w:ascii="Times New Roman" w:hAnsi="Times New Roman" w:cs="Times New Roman"/>
          <w:sz w:val="24"/>
          <w:szCs w:val="24"/>
          <w:lang w:val="en-GB"/>
        </w:rPr>
        <w:t>Хърватия</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възстановява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бързо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благодарение</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туризма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но</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остава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зависима</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от</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сезонни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цикли</w:t>
      </w:r>
      <w:proofErr w:type="spellEnd"/>
      <w:r w:rsidR="00B35778" w:rsidRPr="00B35778">
        <w:rPr>
          <w:rFonts w:ascii="Times New Roman" w:hAnsi="Times New Roman" w:cs="Times New Roman"/>
          <w:sz w:val="24"/>
          <w:szCs w:val="24"/>
          <w:lang w:val="en-GB"/>
        </w:rPr>
        <w:t xml:space="preserve"> и </w:t>
      </w:r>
      <w:proofErr w:type="spellStart"/>
      <w:r w:rsidR="00B35778" w:rsidRPr="00B35778">
        <w:rPr>
          <w:rFonts w:ascii="Times New Roman" w:hAnsi="Times New Roman" w:cs="Times New Roman"/>
          <w:sz w:val="24"/>
          <w:szCs w:val="24"/>
          <w:lang w:val="en-GB"/>
        </w:rPr>
        <w:t>регионални</w:t>
      </w:r>
      <w:proofErr w:type="spellEnd"/>
      <w:r w:rsidR="00B35778" w:rsidRPr="00B35778">
        <w:rPr>
          <w:rFonts w:ascii="Times New Roman" w:hAnsi="Times New Roman" w:cs="Times New Roman"/>
          <w:sz w:val="24"/>
          <w:szCs w:val="24"/>
          <w:lang w:val="en-GB"/>
        </w:rPr>
        <w:t xml:space="preserve"> </w:t>
      </w:r>
      <w:proofErr w:type="spellStart"/>
      <w:r w:rsidR="00B35778" w:rsidRPr="00B35778">
        <w:rPr>
          <w:rFonts w:ascii="Times New Roman" w:hAnsi="Times New Roman" w:cs="Times New Roman"/>
          <w:sz w:val="24"/>
          <w:szCs w:val="24"/>
          <w:lang w:val="en-GB"/>
        </w:rPr>
        <w:t>неравновесия</w:t>
      </w:r>
      <w:proofErr w:type="spellEnd"/>
      <w:r w:rsidR="002656AE" w:rsidRPr="002656AE">
        <w:t xml:space="preserve"> </w:t>
      </w:r>
      <w:r w:rsidR="002656AE" w:rsidRPr="002656AE">
        <w:rPr>
          <w:rFonts w:ascii="Times New Roman" w:hAnsi="Times New Roman" w:cs="Times New Roman"/>
          <w:sz w:val="24"/>
          <w:szCs w:val="24"/>
          <w:lang w:val="en-GB"/>
        </w:rPr>
        <w:t>(European Commission, 2025a)</w:t>
      </w:r>
      <w:r w:rsidR="00B35778" w:rsidRPr="00B35778">
        <w:rPr>
          <w:rFonts w:ascii="Times New Roman" w:hAnsi="Times New Roman" w:cs="Times New Roman"/>
          <w:sz w:val="24"/>
          <w:szCs w:val="24"/>
          <w:lang w:val="en-GB"/>
        </w:rPr>
        <w:t>.</w:t>
      </w:r>
    </w:p>
    <w:p w14:paraId="486D4933" w14:textId="7661E80D" w:rsidR="002F4CC0" w:rsidRPr="002F4CC0" w:rsidRDefault="002F4CC0" w:rsidP="002F4C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Като цяло</w:t>
      </w:r>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европейският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пазар</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труда</w:t>
      </w:r>
      <w:proofErr w:type="spellEnd"/>
      <w:r w:rsidRPr="002F4CC0">
        <w:rPr>
          <w:rFonts w:ascii="Times New Roman" w:hAnsi="Times New Roman" w:cs="Times New Roman"/>
          <w:sz w:val="24"/>
          <w:szCs w:val="24"/>
          <w:lang w:val="en-GB"/>
        </w:rPr>
        <w:t xml:space="preserve"> в </w:t>
      </w:r>
      <w:proofErr w:type="spellStart"/>
      <w:r w:rsidRPr="002F4CC0">
        <w:rPr>
          <w:rFonts w:ascii="Times New Roman" w:hAnsi="Times New Roman" w:cs="Times New Roman"/>
          <w:sz w:val="24"/>
          <w:szCs w:val="24"/>
          <w:lang w:val="en-GB"/>
        </w:rPr>
        <w:t>постпандемичния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период</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показва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че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съчетанието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бързо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възстановяване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търсенето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краткотрайно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ограничена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реакция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предлагането</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запазени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съвпадения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води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временни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недостизи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наличен</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резерв</w:t>
      </w:r>
      <w:proofErr w:type="spellEnd"/>
      <w:r w:rsidRPr="002F4CC0">
        <w:rPr>
          <w:rFonts w:ascii="Times New Roman" w:hAnsi="Times New Roman" w:cs="Times New Roman"/>
          <w:sz w:val="24"/>
          <w:szCs w:val="24"/>
          <w:lang w:val="en-GB"/>
        </w:rPr>
        <w:t xml:space="preserve">; с </w:t>
      </w:r>
      <w:proofErr w:type="spellStart"/>
      <w:r w:rsidRPr="002F4CC0">
        <w:rPr>
          <w:rFonts w:ascii="Times New Roman" w:hAnsi="Times New Roman" w:cs="Times New Roman"/>
          <w:sz w:val="24"/>
          <w:szCs w:val="24"/>
          <w:lang w:val="en-GB"/>
        </w:rPr>
        <w:t>намаляването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несигурността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нормализирането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условията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разминаването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слабост</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стегнатост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постепенно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затваря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без</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убедителни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индикации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трайна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lastRenderedPageBreak/>
        <w:t>деградация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процеса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съвпадение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От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гледна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точка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политика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това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насочва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към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мерки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надграждане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уменията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преквалификация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укрепване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публичните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услуги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заетост</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инфраструктурата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съвпадение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както</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към</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гарантиране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инклузивни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мрежи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защита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ускорени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преходи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докато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зелената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дигиталната</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демографската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трансформация</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изискват</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устойчиво</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преразпределение</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на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работната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сила</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между</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задачи</w:t>
      </w:r>
      <w:proofErr w:type="spellEnd"/>
      <w:r w:rsidRPr="002F4CC0">
        <w:rPr>
          <w:rFonts w:ascii="Times New Roman" w:hAnsi="Times New Roman" w:cs="Times New Roman"/>
          <w:sz w:val="24"/>
          <w:szCs w:val="24"/>
          <w:lang w:val="en-GB"/>
        </w:rPr>
        <w:t xml:space="preserve">, </w:t>
      </w:r>
      <w:proofErr w:type="spellStart"/>
      <w:r w:rsidRPr="002F4CC0">
        <w:rPr>
          <w:rFonts w:ascii="Times New Roman" w:hAnsi="Times New Roman" w:cs="Times New Roman"/>
          <w:sz w:val="24"/>
          <w:szCs w:val="24"/>
          <w:lang w:val="en-GB"/>
        </w:rPr>
        <w:t>професии</w:t>
      </w:r>
      <w:proofErr w:type="spellEnd"/>
      <w:r w:rsidRPr="002F4CC0">
        <w:rPr>
          <w:rFonts w:ascii="Times New Roman" w:hAnsi="Times New Roman" w:cs="Times New Roman"/>
          <w:sz w:val="24"/>
          <w:szCs w:val="24"/>
          <w:lang w:val="en-GB"/>
        </w:rPr>
        <w:t xml:space="preserve"> и </w:t>
      </w:r>
      <w:proofErr w:type="spellStart"/>
      <w:r w:rsidRPr="002F4CC0">
        <w:rPr>
          <w:rFonts w:ascii="Times New Roman" w:hAnsi="Times New Roman" w:cs="Times New Roman"/>
          <w:sz w:val="24"/>
          <w:szCs w:val="24"/>
          <w:lang w:val="en-GB"/>
        </w:rPr>
        <w:t>отрасли</w:t>
      </w:r>
      <w:proofErr w:type="spellEnd"/>
      <w:r>
        <w:rPr>
          <w:rFonts w:ascii="Times New Roman" w:hAnsi="Times New Roman" w:cs="Times New Roman"/>
          <w:sz w:val="24"/>
          <w:szCs w:val="24"/>
        </w:rPr>
        <w:t>.</w:t>
      </w:r>
    </w:p>
    <w:p w14:paraId="67CE6891" w14:textId="6C121B29" w:rsidR="00A1042F" w:rsidRPr="002656AE" w:rsidRDefault="003B1ACC" w:rsidP="00A1042F">
      <w:pPr>
        <w:spacing w:line="360" w:lineRule="auto"/>
        <w:ind w:firstLine="708"/>
        <w:jc w:val="both"/>
        <w:rPr>
          <w:rFonts w:ascii="Times New Roman" w:hAnsi="Times New Roman" w:cs="Times New Roman"/>
          <w:b/>
          <w:bCs/>
          <w:sz w:val="24"/>
          <w:szCs w:val="24"/>
        </w:rPr>
      </w:pPr>
      <w:bookmarkStart w:id="2" w:name="_Hlk213134336"/>
      <w:r>
        <w:rPr>
          <w:rFonts w:ascii="Times New Roman" w:hAnsi="Times New Roman" w:cs="Times New Roman"/>
          <w:b/>
          <w:bCs/>
          <w:sz w:val="24"/>
          <w:szCs w:val="24"/>
        </w:rPr>
        <w:t>1.</w:t>
      </w:r>
      <w:r w:rsidR="00A1042F" w:rsidRPr="002656AE">
        <w:rPr>
          <w:rFonts w:ascii="Times New Roman" w:hAnsi="Times New Roman" w:cs="Times New Roman"/>
          <w:b/>
          <w:bCs/>
          <w:sz w:val="24"/>
          <w:szCs w:val="24"/>
        </w:rPr>
        <w:t>4. Европейски и национални политики за ограничаване на младежката трудова неактивност</w:t>
      </w:r>
    </w:p>
    <w:bookmarkEnd w:id="2"/>
    <w:p w14:paraId="54F23E34" w14:textId="5ACE34B2" w:rsidR="009C30C5" w:rsidRPr="009C30C5" w:rsidRDefault="009C30C5" w:rsidP="009C30C5">
      <w:pPr>
        <w:spacing w:line="360" w:lineRule="auto"/>
        <w:ind w:firstLine="708"/>
        <w:jc w:val="both"/>
        <w:rPr>
          <w:rFonts w:ascii="Times New Roman" w:hAnsi="Times New Roman" w:cs="Times New Roman"/>
          <w:sz w:val="24"/>
          <w:szCs w:val="24"/>
          <w:lang w:val="en-GB"/>
        </w:rPr>
      </w:pPr>
      <w:proofErr w:type="spellStart"/>
      <w:r w:rsidRPr="009C30C5">
        <w:rPr>
          <w:rFonts w:ascii="Times New Roman" w:hAnsi="Times New Roman" w:cs="Times New Roman"/>
          <w:sz w:val="24"/>
          <w:szCs w:val="24"/>
          <w:lang w:val="en-GB"/>
        </w:rPr>
        <w:t>Европейските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политики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ограничаване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младежката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трудова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неактивност</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постпандемичния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период</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надграждат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Гаранция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младежта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2020 г.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пакет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инструменти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които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ускоряват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прехода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образование</w:t>
      </w:r>
      <w:proofErr w:type="spellEnd"/>
      <w:r w:rsidRPr="009C30C5">
        <w:rPr>
          <w:rFonts w:ascii="Times New Roman" w:hAnsi="Times New Roman" w:cs="Times New Roman"/>
          <w:sz w:val="24"/>
          <w:szCs w:val="24"/>
          <w:lang w:val="en-GB"/>
        </w:rPr>
        <w:t>–</w:t>
      </w:r>
      <w:proofErr w:type="spellStart"/>
      <w:r w:rsidRPr="009C30C5">
        <w:rPr>
          <w:rFonts w:ascii="Times New Roman" w:hAnsi="Times New Roman" w:cs="Times New Roman"/>
          <w:sz w:val="24"/>
          <w:szCs w:val="24"/>
          <w:lang w:val="en-GB"/>
        </w:rPr>
        <w:t>работа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адресират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едновременно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недостига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умения</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остатъчния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неизползван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трудов</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потенциал</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равнище</w:t>
      </w:r>
      <w:proofErr w:type="spellEnd"/>
      <w:r w:rsidRPr="009C30C5">
        <w:rPr>
          <w:rFonts w:ascii="Times New Roman" w:hAnsi="Times New Roman" w:cs="Times New Roman"/>
          <w:sz w:val="24"/>
          <w:szCs w:val="24"/>
          <w:lang w:val="en-GB"/>
        </w:rPr>
        <w:t xml:space="preserve"> ЕС </w:t>
      </w:r>
      <w:proofErr w:type="spellStart"/>
      <w:r w:rsidRPr="009C30C5">
        <w:rPr>
          <w:rFonts w:ascii="Times New Roman" w:hAnsi="Times New Roman" w:cs="Times New Roman"/>
          <w:sz w:val="24"/>
          <w:szCs w:val="24"/>
          <w:lang w:val="en-GB"/>
        </w:rPr>
        <w:t>рамката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финансира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ЕСФ+ 2021–2027 и </w:t>
      </w:r>
      <w:proofErr w:type="spellStart"/>
      <w:r w:rsidRPr="009C30C5">
        <w:rPr>
          <w:rFonts w:ascii="Times New Roman" w:hAnsi="Times New Roman" w:cs="Times New Roman"/>
          <w:sz w:val="24"/>
          <w:szCs w:val="24"/>
          <w:lang w:val="en-GB"/>
        </w:rPr>
        <w:t>Механизма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възстановяване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устойчивост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приоритизира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цифровите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зелените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компетентности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модернизацията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публичните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служби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заетост</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изграждането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индивидуализирани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пътеки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активиране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включително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бързо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профилиране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риска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валидиране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придобити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неформален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умения</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целево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доуменияване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преквалификация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първа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заетост</w:t>
      </w:r>
      <w:proofErr w:type="spellEnd"/>
      <w:r w:rsidRPr="009C30C5">
        <w:rPr>
          <w:rFonts w:ascii="Times New Roman" w:hAnsi="Times New Roman" w:cs="Times New Roman"/>
          <w:sz w:val="24"/>
          <w:szCs w:val="24"/>
          <w:lang w:val="en-GB"/>
        </w:rPr>
        <w:t xml:space="preserve"> (European Commission, 2021a; European Commission, 2021b). В </w:t>
      </w:r>
      <w:proofErr w:type="spellStart"/>
      <w:r w:rsidRPr="009C30C5">
        <w:rPr>
          <w:rFonts w:ascii="Times New Roman" w:hAnsi="Times New Roman" w:cs="Times New Roman"/>
          <w:sz w:val="24"/>
          <w:szCs w:val="24"/>
          <w:lang w:val="en-GB"/>
        </w:rPr>
        <w:t>оперативен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план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Комисията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препоръчва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Ефективна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активна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подкрепа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proofErr w:type="gramStart"/>
      <w:r w:rsidRPr="009C30C5">
        <w:rPr>
          <w:rFonts w:ascii="Times New Roman" w:hAnsi="Times New Roman" w:cs="Times New Roman"/>
          <w:sz w:val="24"/>
          <w:szCs w:val="24"/>
          <w:lang w:val="en-GB"/>
        </w:rPr>
        <w:t>заетост</w:t>
      </w:r>
      <w:proofErr w:type="spellEnd"/>
      <w:r w:rsidRPr="009C30C5">
        <w:rPr>
          <w:rFonts w:ascii="Times New Roman" w:hAnsi="Times New Roman" w:cs="Times New Roman"/>
          <w:sz w:val="24"/>
          <w:szCs w:val="24"/>
          <w:lang w:val="en-GB"/>
        </w:rPr>
        <w:t>“ (</w:t>
      </w:r>
      <w:proofErr w:type="gramEnd"/>
      <w:r w:rsidRPr="009C30C5">
        <w:rPr>
          <w:rFonts w:ascii="Times New Roman" w:hAnsi="Times New Roman" w:cs="Times New Roman"/>
          <w:sz w:val="24"/>
          <w:szCs w:val="24"/>
          <w:lang w:val="en-GB"/>
        </w:rPr>
        <w:t xml:space="preserve">EASE), </w:t>
      </w:r>
      <w:proofErr w:type="spellStart"/>
      <w:r w:rsidRPr="009C30C5">
        <w:rPr>
          <w:rFonts w:ascii="Times New Roman" w:hAnsi="Times New Roman" w:cs="Times New Roman"/>
          <w:sz w:val="24"/>
          <w:szCs w:val="24"/>
          <w:lang w:val="en-GB"/>
        </w:rPr>
        <w:t>която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комбинира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краткосрочни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стимули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наемане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хора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субсидирани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входни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позиции</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работното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място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същевременно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укрепва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посредничеството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съвременни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технологии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съвпадение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индивидуален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подход</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услугите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заетост</w:t>
      </w:r>
      <w:proofErr w:type="spellEnd"/>
      <w:r w:rsidRPr="009C30C5">
        <w:rPr>
          <w:rFonts w:ascii="Times New Roman" w:hAnsi="Times New Roman" w:cs="Times New Roman"/>
          <w:sz w:val="24"/>
          <w:szCs w:val="24"/>
          <w:lang w:val="en-GB"/>
        </w:rPr>
        <w:t xml:space="preserve"> (European Commission, </w:t>
      </w:r>
      <w:proofErr w:type="gramStart"/>
      <w:r w:rsidRPr="009C30C5">
        <w:rPr>
          <w:rFonts w:ascii="Times New Roman" w:hAnsi="Times New Roman" w:cs="Times New Roman"/>
          <w:sz w:val="24"/>
          <w:szCs w:val="24"/>
          <w:lang w:val="en-GB"/>
        </w:rPr>
        <w:t>C(</w:t>
      </w:r>
      <w:proofErr w:type="gramEnd"/>
      <w:r w:rsidRPr="009C30C5">
        <w:rPr>
          <w:rFonts w:ascii="Times New Roman" w:hAnsi="Times New Roman" w:cs="Times New Roman"/>
          <w:sz w:val="24"/>
          <w:szCs w:val="24"/>
          <w:lang w:val="en-GB"/>
        </w:rPr>
        <w:t xml:space="preserve">2021)1372). </w:t>
      </w:r>
      <w:proofErr w:type="spellStart"/>
      <w:r w:rsidRPr="009C30C5">
        <w:rPr>
          <w:rFonts w:ascii="Times New Roman" w:hAnsi="Times New Roman" w:cs="Times New Roman"/>
          <w:sz w:val="24"/>
          <w:szCs w:val="24"/>
          <w:lang w:val="en-GB"/>
        </w:rPr>
        <w:t>Опитът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пандемията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показва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схемите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запазване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заетостта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намалено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работно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време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ефективни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съхраняване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proofErr w:type="gramStart"/>
      <w:r w:rsidRPr="009C30C5">
        <w:rPr>
          <w:rFonts w:ascii="Times New Roman" w:hAnsi="Times New Roman" w:cs="Times New Roman"/>
          <w:sz w:val="24"/>
          <w:szCs w:val="24"/>
          <w:lang w:val="en-GB"/>
        </w:rPr>
        <w:t>ефикасни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съвпадения</w:t>
      </w:r>
      <w:proofErr w:type="spellEnd"/>
      <w:proofErr w:type="gram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работник</w:t>
      </w:r>
      <w:proofErr w:type="spellEnd"/>
      <w:r w:rsidRPr="009C30C5">
        <w:rPr>
          <w:rFonts w:ascii="Times New Roman" w:hAnsi="Times New Roman" w:cs="Times New Roman"/>
          <w:sz w:val="24"/>
          <w:szCs w:val="24"/>
          <w:lang w:val="en-GB"/>
        </w:rPr>
        <w:t>–</w:t>
      </w:r>
      <w:proofErr w:type="spellStart"/>
      <w:r w:rsidRPr="009C30C5">
        <w:rPr>
          <w:rFonts w:ascii="Times New Roman" w:hAnsi="Times New Roman" w:cs="Times New Roman"/>
          <w:sz w:val="24"/>
          <w:szCs w:val="24"/>
          <w:lang w:val="en-GB"/>
        </w:rPr>
        <w:t>работодател</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но</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условия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възстановяване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фокусът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измества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към</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насърчаване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реалоцирането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труда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качествено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преносими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социалноосигурителни</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обучителни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права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политики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мобилност</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жилищна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достъпност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премахнат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институционални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бариери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пред</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включването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младите</w:t>
      </w:r>
      <w:proofErr w:type="spellEnd"/>
      <w:r w:rsidRPr="009C30C5">
        <w:rPr>
          <w:rFonts w:ascii="Times New Roman" w:hAnsi="Times New Roman" w:cs="Times New Roman"/>
          <w:sz w:val="24"/>
          <w:szCs w:val="24"/>
          <w:lang w:val="en-GB"/>
        </w:rPr>
        <w:t xml:space="preserve"> (ECB, 2021; IMF, 2022). </w:t>
      </w:r>
      <w:proofErr w:type="spellStart"/>
      <w:r w:rsidRPr="009C30C5">
        <w:rPr>
          <w:rFonts w:ascii="Times New Roman" w:hAnsi="Times New Roman" w:cs="Times New Roman"/>
          <w:sz w:val="24"/>
          <w:szCs w:val="24"/>
          <w:lang w:val="en-GB"/>
        </w:rPr>
        <w:t>Политическата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логика</w:t>
      </w:r>
      <w:proofErr w:type="spellEnd"/>
      <w:r w:rsidRPr="009C30C5">
        <w:rPr>
          <w:rFonts w:ascii="Times New Roman" w:hAnsi="Times New Roman" w:cs="Times New Roman"/>
          <w:sz w:val="24"/>
          <w:szCs w:val="24"/>
          <w:lang w:val="en-GB"/>
        </w:rPr>
        <w:t xml:space="preserve"> е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прехвърли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тежестта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пасивни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към</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активни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мерки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вместо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продължително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субсидиране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временни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съкращения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приоритет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получават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бързото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възстановяване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съвпаденията</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растящи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lastRenderedPageBreak/>
        <w:t>сектори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съкращаването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времето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първи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договор</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стажове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чиракуване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дуално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със</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стандарти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качество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както</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подсилването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социалните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мрежи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подкрепа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включително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грижи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деца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мерки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равен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достъп</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които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понижават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нетната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цена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участието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уязвими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младежки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подгрупи</w:t>
      </w:r>
      <w:proofErr w:type="spellEnd"/>
      <w:r w:rsidRPr="009C30C5">
        <w:rPr>
          <w:rFonts w:ascii="Times New Roman" w:hAnsi="Times New Roman" w:cs="Times New Roman"/>
          <w:sz w:val="24"/>
          <w:szCs w:val="24"/>
          <w:lang w:val="en-GB"/>
        </w:rPr>
        <w:t xml:space="preserve"> (European Commission, 2022). В </w:t>
      </w:r>
      <w:proofErr w:type="spellStart"/>
      <w:r w:rsidRPr="009C30C5">
        <w:rPr>
          <w:rFonts w:ascii="Times New Roman" w:hAnsi="Times New Roman" w:cs="Times New Roman"/>
          <w:sz w:val="24"/>
          <w:szCs w:val="24"/>
          <w:lang w:val="en-GB"/>
        </w:rPr>
        <w:t>емпиричен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план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анализите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ЕС </w:t>
      </w:r>
      <w:proofErr w:type="spellStart"/>
      <w:r w:rsidRPr="009C30C5">
        <w:rPr>
          <w:rFonts w:ascii="Times New Roman" w:hAnsi="Times New Roman" w:cs="Times New Roman"/>
          <w:sz w:val="24"/>
          <w:szCs w:val="24"/>
          <w:lang w:val="en-GB"/>
        </w:rPr>
        <w:t>показват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през</w:t>
      </w:r>
      <w:proofErr w:type="spellEnd"/>
      <w:r w:rsidRPr="009C30C5">
        <w:rPr>
          <w:rFonts w:ascii="Times New Roman" w:hAnsi="Times New Roman" w:cs="Times New Roman"/>
          <w:sz w:val="24"/>
          <w:szCs w:val="24"/>
          <w:lang w:val="en-GB"/>
        </w:rPr>
        <w:t xml:space="preserve"> 2021–2022 г. </w:t>
      </w:r>
      <w:proofErr w:type="spellStart"/>
      <w:r w:rsidRPr="009C30C5">
        <w:rPr>
          <w:rFonts w:ascii="Times New Roman" w:hAnsi="Times New Roman" w:cs="Times New Roman"/>
          <w:sz w:val="24"/>
          <w:szCs w:val="24"/>
          <w:lang w:val="en-GB"/>
        </w:rPr>
        <w:t>възстановяването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търсенето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води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бързо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нарастване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свободните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работни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места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само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умерени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промени</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безработицата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доказателства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значимо</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трайно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влошаване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ефективността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съвпадението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това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подкрепя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ориентация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политиките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към</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ускорено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доуменияване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укрепване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публичните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служби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заетост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вместо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към</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масови</w:t>
      </w:r>
      <w:proofErr w:type="spellEnd"/>
      <w:r w:rsidRPr="009C30C5">
        <w:rPr>
          <w:rFonts w:ascii="Times New Roman" w:hAnsi="Times New Roman" w:cs="Times New Roman"/>
          <w:sz w:val="24"/>
          <w:szCs w:val="24"/>
          <w:lang w:val="en-GB"/>
        </w:rPr>
        <w:t xml:space="preserve"> „</w:t>
      </w:r>
      <w:proofErr w:type="spellStart"/>
      <w:proofErr w:type="gramStart"/>
      <w:r w:rsidRPr="009C30C5">
        <w:rPr>
          <w:rFonts w:ascii="Times New Roman" w:hAnsi="Times New Roman" w:cs="Times New Roman"/>
          <w:sz w:val="24"/>
          <w:szCs w:val="24"/>
          <w:lang w:val="en-GB"/>
        </w:rPr>
        <w:t>генерални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субсидии</w:t>
      </w:r>
      <w:proofErr w:type="spellEnd"/>
      <w:proofErr w:type="gramEnd"/>
      <w:r w:rsidRPr="009C30C5">
        <w:rPr>
          <w:rFonts w:ascii="Times New Roman" w:hAnsi="Times New Roman" w:cs="Times New Roman"/>
          <w:sz w:val="24"/>
          <w:szCs w:val="24"/>
          <w:lang w:val="en-GB"/>
        </w:rPr>
        <w:t xml:space="preserve"> (European Commission, 2022; Duval et al., 2022). В </w:t>
      </w:r>
      <w:proofErr w:type="spellStart"/>
      <w:r w:rsidRPr="009C30C5">
        <w:rPr>
          <w:rFonts w:ascii="Times New Roman" w:hAnsi="Times New Roman" w:cs="Times New Roman"/>
          <w:sz w:val="24"/>
          <w:szCs w:val="24"/>
          <w:lang w:val="en-GB"/>
        </w:rPr>
        <w:t>този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контекст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засилената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Гаранция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младежта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служи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операционализираща</w:t>
      </w:r>
      <w:proofErr w:type="spellEnd"/>
      <w:r w:rsidRPr="009C30C5">
        <w:rPr>
          <w:rFonts w:ascii="Times New Roman" w:hAnsi="Times New Roman" w:cs="Times New Roman"/>
          <w:sz w:val="24"/>
          <w:szCs w:val="24"/>
          <w:lang w:val="en-GB"/>
        </w:rPr>
        <w:t xml:space="preserve"> </w:t>
      </w:r>
      <w:proofErr w:type="spellStart"/>
      <w:proofErr w:type="gramStart"/>
      <w:r w:rsidRPr="009C30C5">
        <w:rPr>
          <w:rFonts w:ascii="Times New Roman" w:hAnsi="Times New Roman" w:cs="Times New Roman"/>
          <w:sz w:val="24"/>
          <w:szCs w:val="24"/>
          <w:lang w:val="en-GB"/>
        </w:rPr>
        <w:t>рамка</w:t>
      </w:r>
      <w:proofErr w:type="spellEnd"/>
      <w:r w:rsidRPr="009C30C5">
        <w:rPr>
          <w:rFonts w:ascii="Times New Roman" w:hAnsi="Times New Roman" w:cs="Times New Roman"/>
          <w:sz w:val="24"/>
          <w:szCs w:val="24"/>
          <w:lang w:val="en-GB"/>
        </w:rPr>
        <w:t>“</w:t>
      </w:r>
      <w:proofErr w:type="gram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която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изисква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качествено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предложение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работа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продължаване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образованието</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четиримесечен</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срок</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изпълнява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национални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програми</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финансиране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ЕСФ+ и МВУ, </w:t>
      </w:r>
      <w:proofErr w:type="spellStart"/>
      <w:r w:rsidRPr="009C30C5">
        <w:rPr>
          <w:rFonts w:ascii="Times New Roman" w:hAnsi="Times New Roman" w:cs="Times New Roman"/>
          <w:sz w:val="24"/>
          <w:szCs w:val="24"/>
          <w:lang w:val="en-GB"/>
        </w:rPr>
        <w:t>така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краткосрочните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мерки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свързване</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работодатели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съчетаят</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дългосрочни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инвестиции</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човешки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капитал</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приобщаващи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системи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подкрепа</w:t>
      </w:r>
      <w:proofErr w:type="spellEnd"/>
      <w:r w:rsidRPr="009C30C5">
        <w:rPr>
          <w:rFonts w:ascii="Times New Roman" w:hAnsi="Times New Roman" w:cs="Times New Roman"/>
          <w:sz w:val="24"/>
          <w:szCs w:val="24"/>
          <w:lang w:val="en-GB"/>
        </w:rPr>
        <w:t xml:space="preserve"> (European Commission, 2021a; European Commission, 2021b). </w:t>
      </w:r>
    </w:p>
    <w:p w14:paraId="6F5BD50A" w14:textId="35885D9F" w:rsidR="009276DF" w:rsidRDefault="009276DF" w:rsidP="009C30C5">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България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структурира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националния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отговор</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мерки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Закона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насърчаване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изпълнение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Гаранцията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акцентът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върху</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субсидирана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първа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ключови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професионални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компетентности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интензивно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посредничество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Агенцията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Закон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насърчаване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Гаранцията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младежта</w:t>
      </w:r>
      <w:proofErr w:type="spellEnd"/>
      <w:r w:rsidRPr="009276DF">
        <w:rPr>
          <w:rFonts w:ascii="Times New Roman" w:hAnsi="Times New Roman" w:cs="Times New Roman"/>
          <w:sz w:val="24"/>
          <w:szCs w:val="24"/>
          <w:lang w:val="en-GB"/>
        </w:rPr>
        <w:t xml:space="preserve"> – </w:t>
      </w:r>
      <w:proofErr w:type="spellStart"/>
      <w:r w:rsidRPr="009276DF">
        <w:rPr>
          <w:rFonts w:ascii="Times New Roman" w:hAnsi="Times New Roman" w:cs="Times New Roman"/>
          <w:sz w:val="24"/>
          <w:szCs w:val="24"/>
          <w:lang w:val="en-GB"/>
        </w:rPr>
        <w:t>Министерство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социалната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политика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Разгръщането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дуалното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професионалното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утвърждава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ключов</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инструмент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редуциране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пропуска</w:t>
      </w:r>
      <w:proofErr w:type="spellEnd"/>
      <w:r w:rsidRPr="009276DF">
        <w:rPr>
          <w:rFonts w:ascii="Times New Roman" w:hAnsi="Times New Roman" w:cs="Times New Roman"/>
          <w:sz w:val="24"/>
          <w:szCs w:val="24"/>
          <w:lang w:val="en-GB"/>
        </w:rPr>
        <w:t xml:space="preserve"> в </w:t>
      </w:r>
      <w:proofErr w:type="spellStart"/>
      <w:proofErr w:type="gramStart"/>
      <w:r w:rsidRPr="009276DF">
        <w:rPr>
          <w:rFonts w:ascii="Times New Roman" w:hAnsi="Times New Roman" w:cs="Times New Roman"/>
          <w:sz w:val="24"/>
          <w:szCs w:val="24"/>
          <w:lang w:val="en-GB"/>
        </w:rPr>
        <w:t>опита</w:t>
      </w:r>
      <w:proofErr w:type="spellEnd"/>
      <w:r w:rsidRPr="009276DF">
        <w:rPr>
          <w:rFonts w:ascii="Times New Roman" w:hAnsi="Times New Roman" w:cs="Times New Roman"/>
          <w:sz w:val="24"/>
          <w:szCs w:val="24"/>
          <w:lang w:val="en-GB"/>
        </w:rPr>
        <w:t>“</w:t>
      </w:r>
      <w:proofErr w:type="gram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базирано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нормативна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рамка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партньорства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между</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училища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работодатели</w:t>
      </w:r>
      <w:proofErr w:type="spellEnd"/>
      <w:r w:rsidRPr="009276DF">
        <w:rPr>
          <w:rFonts w:ascii="Times New Roman" w:hAnsi="Times New Roman" w:cs="Times New Roman"/>
          <w:sz w:val="24"/>
          <w:szCs w:val="24"/>
          <w:lang w:val="en-GB"/>
        </w:rPr>
        <w:t xml:space="preserve"> (CEDEFOP; </w:t>
      </w:r>
      <w:proofErr w:type="spellStart"/>
      <w:r w:rsidRPr="009276DF">
        <w:rPr>
          <w:rFonts w:ascii="Times New Roman" w:hAnsi="Times New Roman" w:cs="Times New Roman"/>
          <w:sz w:val="24"/>
          <w:szCs w:val="24"/>
          <w:lang w:val="en-GB"/>
        </w:rPr>
        <w:t>Закон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професионалното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Ваучерните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схеми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кратките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курсове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цифрови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умения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насочват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към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младежи</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ниска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квалификация</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неактивни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лица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предлагат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електронно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кандидатстване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избор</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доставчик</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валидиране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придобити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знания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целта</w:t>
      </w:r>
      <w:proofErr w:type="spellEnd"/>
      <w:r w:rsidRPr="009276DF">
        <w:rPr>
          <w:rFonts w:ascii="Times New Roman" w:hAnsi="Times New Roman" w:cs="Times New Roman"/>
          <w:sz w:val="24"/>
          <w:szCs w:val="24"/>
          <w:lang w:val="en-GB"/>
        </w:rPr>
        <w:t xml:space="preserve"> е </w:t>
      </w:r>
      <w:proofErr w:type="spellStart"/>
      <w:r w:rsidRPr="009276DF">
        <w:rPr>
          <w:rFonts w:ascii="Times New Roman" w:hAnsi="Times New Roman" w:cs="Times New Roman"/>
          <w:sz w:val="24"/>
          <w:szCs w:val="24"/>
          <w:lang w:val="en-GB"/>
        </w:rPr>
        <w:t>достигане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стотици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хиляди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обучаеми</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базови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средни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дигитални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компетентности</w:t>
      </w:r>
      <w:proofErr w:type="spellEnd"/>
      <w:r w:rsidRPr="009276DF">
        <w:rPr>
          <w:rFonts w:ascii="Times New Roman" w:hAnsi="Times New Roman" w:cs="Times New Roman"/>
          <w:sz w:val="24"/>
          <w:szCs w:val="24"/>
          <w:lang w:val="en-GB"/>
        </w:rPr>
        <w:t xml:space="preserve"> (Digital Skills &amp; Jobs Platform; </w:t>
      </w:r>
      <w:proofErr w:type="spellStart"/>
      <w:r w:rsidRPr="009276DF">
        <w:rPr>
          <w:rFonts w:ascii="Times New Roman" w:hAnsi="Times New Roman" w:cs="Times New Roman"/>
          <w:sz w:val="24"/>
          <w:szCs w:val="24"/>
          <w:lang w:val="en-GB"/>
        </w:rPr>
        <w:t>Агенция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Националният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план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възстановяване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устойчивост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финансира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модернизация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професионалните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училища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кариерно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ориентиране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валидиране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неформално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придобити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умения</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цифровизация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lastRenderedPageBreak/>
        <w:t>услугите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включително</w:t>
      </w:r>
      <w:proofErr w:type="spellEnd"/>
      <w:r w:rsidRPr="009276DF">
        <w:rPr>
          <w:rFonts w:ascii="Times New Roman" w:hAnsi="Times New Roman" w:cs="Times New Roman"/>
          <w:sz w:val="24"/>
          <w:szCs w:val="24"/>
          <w:lang w:val="en-GB"/>
        </w:rPr>
        <w:t xml:space="preserve"> ИТ </w:t>
      </w:r>
      <w:proofErr w:type="spellStart"/>
      <w:r w:rsidRPr="009276DF">
        <w:rPr>
          <w:rFonts w:ascii="Times New Roman" w:hAnsi="Times New Roman" w:cs="Times New Roman"/>
          <w:sz w:val="24"/>
          <w:szCs w:val="24"/>
          <w:lang w:val="en-GB"/>
        </w:rPr>
        <w:t>инфраструктура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алгоритми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профилиране</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Националната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агенция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Европейската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комисия</w:t>
      </w:r>
      <w:proofErr w:type="spellEnd"/>
      <w:r w:rsidRPr="009276DF">
        <w:rPr>
          <w:rFonts w:ascii="Times New Roman" w:hAnsi="Times New Roman" w:cs="Times New Roman"/>
          <w:sz w:val="24"/>
          <w:szCs w:val="24"/>
          <w:lang w:val="en-GB"/>
        </w:rPr>
        <w:t xml:space="preserve"> – </w:t>
      </w:r>
      <w:proofErr w:type="spellStart"/>
      <w:r w:rsidRPr="009276DF">
        <w:rPr>
          <w:rFonts w:ascii="Times New Roman" w:hAnsi="Times New Roman" w:cs="Times New Roman"/>
          <w:sz w:val="24"/>
          <w:szCs w:val="24"/>
          <w:lang w:val="en-GB"/>
        </w:rPr>
        <w:t>страница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българския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план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Европейски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парламент</w:t>
      </w:r>
      <w:proofErr w:type="spellEnd"/>
      <w:r w:rsidRPr="009276DF">
        <w:rPr>
          <w:rFonts w:ascii="Times New Roman" w:hAnsi="Times New Roman" w:cs="Times New Roman"/>
          <w:sz w:val="24"/>
          <w:szCs w:val="24"/>
          <w:lang w:val="en-GB"/>
        </w:rPr>
        <w:t xml:space="preserve"> – </w:t>
      </w:r>
      <w:proofErr w:type="spellStart"/>
      <w:r w:rsidRPr="009276DF">
        <w:rPr>
          <w:rFonts w:ascii="Times New Roman" w:hAnsi="Times New Roman" w:cs="Times New Roman"/>
          <w:sz w:val="24"/>
          <w:szCs w:val="24"/>
          <w:lang w:val="en-GB"/>
        </w:rPr>
        <w:t>обзор</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НПВУ; OECD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дигитализацията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Агенцията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този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фон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демографското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свиване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регионалните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различия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налагат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комбиниране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стимулите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първа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работа</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политики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мобилност</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достъп</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грижи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преодолеят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ограниченията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локалните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пазари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активират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групи</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по-висок</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риск</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NEET, </w:t>
      </w:r>
      <w:proofErr w:type="spellStart"/>
      <w:r w:rsidRPr="009276DF">
        <w:rPr>
          <w:rFonts w:ascii="Times New Roman" w:hAnsi="Times New Roman" w:cs="Times New Roman"/>
          <w:sz w:val="24"/>
          <w:szCs w:val="24"/>
          <w:lang w:val="en-GB"/>
        </w:rPr>
        <w:t>особено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жени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младежи</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периферията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Национален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план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възстановяване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устойчивост</w:t>
      </w:r>
      <w:proofErr w:type="spellEnd"/>
      <w:r w:rsidRPr="009276DF">
        <w:rPr>
          <w:rFonts w:ascii="Times New Roman" w:hAnsi="Times New Roman" w:cs="Times New Roman"/>
          <w:sz w:val="24"/>
          <w:szCs w:val="24"/>
          <w:lang w:val="en-GB"/>
        </w:rPr>
        <w:t xml:space="preserve"> – </w:t>
      </w:r>
      <w:proofErr w:type="spellStart"/>
      <w:r w:rsidRPr="009276DF">
        <w:rPr>
          <w:rFonts w:ascii="Times New Roman" w:hAnsi="Times New Roman" w:cs="Times New Roman"/>
          <w:sz w:val="24"/>
          <w:szCs w:val="24"/>
          <w:lang w:val="en-GB"/>
        </w:rPr>
        <w:t>официален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документ</w:t>
      </w:r>
      <w:proofErr w:type="spellEnd"/>
      <w:r w:rsidRPr="009276DF">
        <w:rPr>
          <w:rFonts w:ascii="Times New Roman" w:hAnsi="Times New Roman" w:cs="Times New Roman"/>
          <w:sz w:val="24"/>
          <w:szCs w:val="24"/>
          <w:lang w:val="en-GB"/>
        </w:rPr>
        <w:t xml:space="preserve">; Youth Employment/CEDEFOP </w:t>
      </w:r>
      <w:proofErr w:type="spellStart"/>
      <w:r w:rsidRPr="009276DF">
        <w:rPr>
          <w:rFonts w:ascii="Times New Roman" w:hAnsi="Times New Roman" w:cs="Times New Roman"/>
          <w:sz w:val="24"/>
          <w:szCs w:val="24"/>
          <w:lang w:val="en-GB"/>
        </w:rPr>
        <w:t>като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инструмент</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рамката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Гаранцията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младежта</w:t>
      </w:r>
      <w:proofErr w:type="spellEnd"/>
      <w:r w:rsidRPr="009276DF">
        <w:rPr>
          <w:rFonts w:ascii="Times New Roman" w:hAnsi="Times New Roman" w:cs="Times New Roman"/>
          <w:sz w:val="24"/>
          <w:szCs w:val="24"/>
          <w:lang w:val="en-GB"/>
        </w:rPr>
        <w:t>).</w:t>
      </w:r>
    </w:p>
    <w:p w14:paraId="41C17ACF" w14:textId="77777777" w:rsidR="009276DF" w:rsidRPr="009276DF" w:rsidRDefault="009276DF" w:rsidP="009276DF">
      <w:pPr>
        <w:spacing w:line="360" w:lineRule="auto"/>
        <w:ind w:firstLine="708"/>
        <w:jc w:val="both"/>
        <w:rPr>
          <w:rFonts w:ascii="Times New Roman" w:hAnsi="Times New Roman" w:cs="Times New Roman"/>
          <w:sz w:val="24"/>
          <w:szCs w:val="24"/>
          <w:lang w:val="en-GB"/>
        </w:rPr>
      </w:pPr>
      <w:proofErr w:type="spellStart"/>
      <w:r w:rsidRPr="009276DF">
        <w:rPr>
          <w:rFonts w:ascii="Times New Roman" w:hAnsi="Times New Roman" w:cs="Times New Roman"/>
          <w:sz w:val="24"/>
          <w:szCs w:val="24"/>
          <w:lang w:val="en-GB"/>
        </w:rPr>
        <w:t>Нидерландия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разгръща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координиран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пакет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политики</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който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средното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професионално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(MBO) е </w:t>
      </w:r>
      <w:proofErr w:type="spellStart"/>
      <w:r w:rsidRPr="009276DF">
        <w:rPr>
          <w:rFonts w:ascii="Times New Roman" w:hAnsi="Times New Roman" w:cs="Times New Roman"/>
          <w:sz w:val="24"/>
          <w:szCs w:val="24"/>
          <w:lang w:val="en-GB"/>
        </w:rPr>
        <w:t>структурирано</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две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равностойни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траектории</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училищно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базирана</w:t>
      </w:r>
      <w:proofErr w:type="spellEnd"/>
      <w:r w:rsidRPr="009276DF">
        <w:rPr>
          <w:rFonts w:ascii="Times New Roman" w:hAnsi="Times New Roman" w:cs="Times New Roman"/>
          <w:sz w:val="24"/>
          <w:szCs w:val="24"/>
          <w:lang w:val="en-GB"/>
        </w:rPr>
        <w:t xml:space="preserve"> (BOL) и </w:t>
      </w:r>
      <w:proofErr w:type="spellStart"/>
      <w:r w:rsidRPr="009276DF">
        <w:rPr>
          <w:rFonts w:ascii="Times New Roman" w:hAnsi="Times New Roman" w:cs="Times New Roman"/>
          <w:sz w:val="24"/>
          <w:szCs w:val="24"/>
          <w:lang w:val="en-GB"/>
        </w:rPr>
        <w:t>дуална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основана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работа</w:t>
      </w:r>
      <w:proofErr w:type="spellEnd"/>
      <w:r w:rsidRPr="009276DF">
        <w:rPr>
          <w:rFonts w:ascii="Times New Roman" w:hAnsi="Times New Roman" w:cs="Times New Roman"/>
          <w:sz w:val="24"/>
          <w:szCs w:val="24"/>
          <w:lang w:val="en-GB"/>
        </w:rPr>
        <w:t xml:space="preserve"> (BBL)—</w:t>
      </w:r>
      <w:proofErr w:type="spellStart"/>
      <w:r w:rsidRPr="009276DF">
        <w:rPr>
          <w:rFonts w:ascii="Times New Roman" w:hAnsi="Times New Roman" w:cs="Times New Roman"/>
          <w:sz w:val="24"/>
          <w:szCs w:val="24"/>
          <w:lang w:val="en-GB"/>
        </w:rPr>
        <w:t>водещи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еднакви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дипломи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като</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дуалната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пътека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място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заема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минимум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около</w:t>
      </w:r>
      <w:proofErr w:type="spellEnd"/>
      <w:r w:rsidRPr="009276DF">
        <w:rPr>
          <w:rFonts w:ascii="Times New Roman" w:hAnsi="Times New Roman" w:cs="Times New Roman"/>
          <w:sz w:val="24"/>
          <w:szCs w:val="24"/>
          <w:lang w:val="en-GB"/>
        </w:rPr>
        <w:t xml:space="preserve"> 60%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времето</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изисква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трудов</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договор</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предприятие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това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прави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чиракуването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реална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входна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позиция</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придружени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учебни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резултати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намалява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пропуска</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опита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първо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наемане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Cedefop</w:t>
      </w:r>
      <w:proofErr w:type="spellEnd"/>
      <w:r w:rsidRPr="009276DF">
        <w:rPr>
          <w:rFonts w:ascii="Times New Roman" w:hAnsi="Times New Roman" w:cs="Times New Roman"/>
          <w:sz w:val="24"/>
          <w:szCs w:val="24"/>
          <w:lang w:val="en-GB"/>
        </w:rPr>
        <w:t xml:space="preserve">, 2023; </w:t>
      </w:r>
      <w:proofErr w:type="spellStart"/>
      <w:r w:rsidRPr="009276DF">
        <w:rPr>
          <w:rFonts w:ascii="Times New Roman" w:hAnsi="Times New Roman" w:cs="Times New Roman"/>
          <w:sz w:val="24"/>
          <w:szCs w:val="24"/>
          <w:lang w:val="en-GB"/>
        </w:rPr>
        <w:t>Cedefop</w:t>
      </w:r>
      <w:proofErr w:type="spellEnd"/>
      <w:r w:rsidRPr="009276DF">
        <w:rPr>
          <w:rFonts w:ascii="Times New Roman" w:hAnsi="Times New Roman" w:cs="Times New Roman"/>
          <w:sz w:val="24"/>
          <w:szCs w:val="24"/>
          <w:lang w:val="en-GB"/>
        </w:rPr>
        <w:t xml:space="preserve">, 2024). </w:t>
      </w:r>
      <w:proofErr w:type="spellStart"/>
      <w:r w:rsidRPr="009276DF">
        <w:rPr>
          <w:rFonts w:ascii="Times New Roman" w:hAnsi="Times New Roman" w:cs="Times New Roman"/>
          <w:sz w:val="24"/>
          <w:szCs w:val="24"/>
          <w:lang w:val="en-GB"/>
        </w:rPr>
        <w:t>Качеството</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съвместимостта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между</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училищата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работодателите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гарантират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институционалната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роля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SBB—</w:t>
      </w:r>
      <w:proofErr w:type="spellStart"/>
      <w:r w:rsidRPr="009276DF">
        <w:rPr>
          <w:rFonts w:ascii="Times New Roman" w:hAnsi="Times New Roman" w:cs="Times New Roman"/>
          <w:sz w:val="24"/>
          <w:szCs w:val="24"/>
          <w:lang w:val="en-GB"/>
        </w:rPr>
        <w:t>националната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организация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сътрудничество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между</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професионалното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бизнеса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която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лицензира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учебни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предприятия</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съгласува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квалификационните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стандарти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със</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структурните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нужди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пазара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така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всяка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позиция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стажант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да</w:t>
      </w:r>
      <w:proofErr w:type="spellEnd"/>
      <w:r w:rsidRPr="009276DF">
        <w:rPr>
          <w:rFonts w:ascii="Times New Roman" w:hAnsi="Times New Roman" w:cs="Times New Roman"/>
          <w:sz w:val="24"/>
          <w:szCs w:val="24"/>
          <w:lang w:val="en-GB"/>
        </w:rPr>
        <w:t xml:space="preserve"> е </w:t>
      </w:r>
      <w:proofErr w:type="spellStart"/>
      <w:r w:rsidRPr="009276DF">
        <w:rPr>
          <w:rFonts w:ascii="Times New Roman" w:hAnsi="Times New Roman" w:cs="Times New Roman"/>
          <w:sz w:val="24"/>
          <w:szCs w:val="24"/>
          <w:lang w:val="en-GB"/>
        </w:rPr>
        <w:t>одобрена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проследима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резултати</w:t>
      </w:r>
      <w:proofErr w:type="spellEnd"/>
      <w:r w:rsidRPr="009276DF">
        <w:rPr>
          <w:rFonts w:ascii="Times New Roman" w:hAnsi="Times New Roman" w:cs="Times New Roman"/>
          <w:sz w:val="24"/>
          <w:szCs w:val="24"/>
          <w:lang w:val="en-GB"/>
        </w:rPr>
        <w:t xml:space="preserve"> (SBB, n.d.-a; SBB, n.d.-b).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страната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посредничеството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общините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националната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служба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xml:space="preserve"> (UWV) </w:t>
      </w:r>
      <w:proofErr w:type="spellStart"/>
      <w:r w:rsidRPr="009276DF">
        <w:rPr>
          <w:rFonts w:ascii="Times New Roman" w:hAnsi="Times New Roman" w:cs="Times New Roman"/>
          <w:sz w:val="24"/>
          <w:szCs w:val="24"/>
          <w:lang w:val="en-GB"/>
        </w:rPr>
        <w:t>действат</w:t>
      </w:r>
      <w:proofErr w:type="spellEnd"/>
      <w:r w:rsidRPr="009276DF">
        <w:rPr>
          <w:rFonts w:ascii="Times New Roman" w:hAnsi="Times New Roman" w:cs="Times New Roman"/>
          <w:sz w:val="24"/>
          <w:szCs w:val="24"/>
          <w:lang w:val="en-GB"/>
        </w:rPr>
        <w:t xml:space="preserve"> в 35 </w:t>
      </w:r>
      <w:proofErr w:type="spellStart"/>
      <w:r w:rsidRPr="009276DF">
        <w:rPr>
          <w:rFonts w:ascii="Times New Roman" w:hAnsi="Times New Roman" w:cs="Times New Roman"/>
          <w:sz w:val="24"/>
          <w:szCs w:val="24"/>
          <w:lang w:val="en-GB"/>
        </w:rPr>
        <w:t>регионални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пазара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общи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работодателски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служби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регионални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мобилни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екипи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създадени</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хода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ковид-шока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ускоряване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преразпределението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ранно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идентифициране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хора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извън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този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модел</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съкращава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времето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първи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договор</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посредством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комбиниране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интензивно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насочване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кратки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заявка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работодател</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сключване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чиракуващи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договори</w:t>
      </w:r>
      <w:proofErr w:type="spellEnd"/>
      <w:r w:rsidRPr="009276DF">
        <w:rPr>
          <w:rFonts w:ascii="Times New Roman" w:hAnsi="Times New Roman" w:cs="Times New Roman"/>
          <w:sz w:val="24"/>
          <w:szCs w:val="24"/>
          <w:lang w:val="en-GB"/>
        </w:rPr>
        <w:t xml:space="preserve"> (OECD, 2025; UWV, n.d.; Youth Wiki – Netherlands, 2025).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подсили</w:t>
      </w:r>
      <w:proofErr w:type="spellEnd"/>
      <w:r w:rsidRPr="009276DF">
        <w:rPr>
          <w:rFonts w:ascii="Times New Roman" w:hAnsi="Times New Roman" w:cs="Times New Roman"/>
          <w:sz w:val="24"/>
          <w:szCs w:val="24"/>
          <w:lang w:val="en-GB"/>
        </w:rPr>
        <w:t xml:space="preserve"> „</w:t>
      </w:r>
      <w:proofErr w:type="spellStart"/>
      <w:proofErr w:type="gramStart"/>
      <w:r w:rsidRPr="009276DF">
        <w:rPr>
          <w:rFonts w:ascii="Times New Roman" w:hAnsi="Times New Roman" w:cs="Times New Roman"/>
          <w:sz w:val="24"/>
          <w:szCs w:val="24"/>
          <w:lang w:val="en-GB"/>
        </w:rPr>
        <w:t>сигналът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proofErr w:type="gram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възвръщаемост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участие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нископлатени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входни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позиции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1 </w:t>
      </w:r>
      <w:proofErr w:type="spellStart"/>
      <w:r w:rsidRPr="009276DF">
        <w:rPr>
          <w:rFonts w:ascii="Times New Roman" w:hAnsi="Times New Roman" w:cs="Times New Roman"/>
          <w:sz w:val="24"/>
          <w:szCs w:val="24"/>
          <w:lang w:val="en-GB"/>
        </w:rPr>
        <w:t>януари</w:t>
      </w:r>
      <w:proofErr w:type="spellEnd"/>
      <w:r w:rsidRPr="009276DF">
        <w:rPr>
          <w:rFonts w:ascii="Times New Roman" w:hAnsi="Times New Roman" w:cs="Times New Roman"/>
          <w:sz w:val="24"/>
          <w:szCs w:val="24"/>
          <w:lang w:val="en-GB"/>
        </w:rPr>
        <w:t xml:space="preserve"> 2024 г. </w:t>
      </w:r>
      <w:proofErr w:type="spellStart"/>
      <w:r w:rsidRPr="009276DF">
        <w:rPr>
          <w:rFonts w:ascii="Times New Roman" w:hAnsi="Times New Roman" w:cs="Times New Roman"/>
          <w:sz w:val="24"/>
          <w:szCs w:val="24"/>
          <w:lang w:val="en-GB"/>
        </w:rPr>
        <w:t>страната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въвежда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единен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почасов</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минимален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стандарт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който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замества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месечните</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седмични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прагове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прави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възнаграждението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по-прозрачно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частична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почасова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разпространени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форми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lastRenderedPageBreak/>
        <w:t>при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младежите</w:t>
      </w:r>
      <w:proofErr w:type="spellEnd"/>
      <w:r w:rsidRPr="009276DF">
        <w:rPr>
          <w:rFonts w:ascii="Times New Roman" w:hAnsi="Times New Roman" w:cs="Times New Roman"/>
          <w:sz w:val="24"/>
          <w:szCs w:val="24"/>
          <w:lang w:val="en-GB"/>
        </w:rPr>
        <w:t xml:space="preserve"> и в </w:t>
      </w:r>
      <w:proofErr w:type="spellStart"/>
      <w:r w:rsidRPr="009276DF">
        <w:rPr>
          <w:rFonts w:ascii="Times New Roman" w:hAnsi="Times New Roman" w:cs="Times New Roman"/>
          <w:sz w:val="24"/>
          <w:szCs w:val="24"/>
          <w:lang w:val="en-GB"/>
        </w:rPr>
        <w:t>дуалното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(Government of the Netherlands, 2024a; Government of the Netherlands, 2024b). </w:t>
      </w:r>
      <w:proofErr w:type="spellStart"/>
      <w:r w:rsidRPr="009276DF">
        <w:rPr>
          <w:rFonts w:ascii="Times New Roman" w:hAnsi="Times New Roman" w:cs="Times New Roman"/>
          <w:sz w:val="24"/>
          <w:szCs w:val="24"/>
          <w:lang w:val="en-GB"/>
        </w:rPr>
        <w:t>Паралелно</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това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системите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валидиране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предходно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учене</w:t>
      </w:r>
      <w:proofErr w:type="spellEnd"/>
      <w:r w:rsidRPr="009276DF">
        <w:rPr>
          <w:rFonts w:ascii="Times New Roman" w:hAnsi="Times New Roman" w:cs="Times New Roman"/>
          <w:sz w:val="24"/>
          <w:szCs w:val="24"/>
          <w:lang w:val="en-GB"/>
        </w:rPr>
        <w:t xml:space="preserve"> (VPL/EVC) </w:t>
      </w:r>
      <w:proofErr w:type="spellStart"/>
      <w:r w:rsidRPr="009276DF">
        <w:rPr>
          <w:rFonts w:ascii="Times New Roman" w:hAnsi="Times New Roman" w:cs="Times New Roman"/>
          <w:sz w:val="24"/>
          <w:szCs w:val="24"/>
          <w:lang w:val="en-GB"/>
        </w:rPr>
        <w:t>позволяват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признаване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акумулиране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умения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придобити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извън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формалното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стандартизирани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процедури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сертификат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proofErr w:type="gramStart"/>
      <w:r w:rsidRPr="009276DF">
        <w:rPr>
          <w:rFonts w:ascii="Times New Roman" w:hAnsi="Times New Roman" w:cs="Times New Roman"/>
          <w:sz w:val="24"/>
          <w:szCs w:val="24"/>
          <w:lang w:val="en-GB"/>
        </w:rPr>
        <w:t>опита</w:t>
      </w:r>
      <w:proofErr w:type="spellEnd"/>
      <w:r w:rsidRPr="009276DF">
        <w:rPr>
          <w:rFonts w:ascii="Times New Roman" w:hAnsi="Times New Roman" w:cs="Times New Roman"/>
          <w:sz w:val="24"/>
          <w:szCs w:val="24"/>
          <w:lang w:val="en-GB"/>
        </w:rPr>
        <w:t>“</w:t>
      </w:r>
      <w:proofErr w:type="gram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улеснява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бързото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дообучаване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секторни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промени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технологична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дифузия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особено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младежи</w:t>
      </w:r>
      <w:proofErr w:type="spellEnd"/>
      <w:r w:rsidRPr="009276DF">
        <w:rPr>
          <w:rFonts w:ascii="Times New Roman" w:hAnsi="Times New Roman" w:cs="Times New Roman"/>
          <w:sz w:val="24"/>
          <w:szCs w:val="24"/>
          <w:lang w:val="en-GB"/>
        </w:rPr>
        <w:t xml:space="preserve"> с </w:t>
      </w:r>
      <w:proofErr w:type="spellStart"/>
      <w:r w:rsidRPr="009276DF">
        <w:rPr>
          <w:rFonts w:ascii="Times New Roman" w:hAnsi="Times New Roman" w:cs="Times New Roman"/>
          <w:sz w:val="24"/>
          <w:szCs w:val="24"/>
          <w:lang w:val="en-GB"/>
        </w:rPr>
        <w:t>прекъснати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образователни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траектории</w:t>
      </w:r>
      <w:proofErr w:type="spellEnd"/>
      <w:r w:rsidRPr="009276DF">
        <w:rPr>
          <w:rFonts w:ascii="Times New Roman" w:hAnsi="Times New Roman" w:cs="Times New Roman"/>
          <w:sz w:val="24"/>
          <w:szCs w:val="24"/>
          <w:lang w:val="en-GB"/>
        </w:rPr>
        <w:t xml:space="preserve"> (UNESCO UIL, 2023; </w:t>
      </w:r>
      <w:proofErr w:type="spellStart"/>
      <w:r w:rsidRPr="009276DF">
        <w:rPr>
          <w:rFonts w:ascii="Times New Roman" w:hAnsi="Times New Roman" w:cs="Times New Roman"/>
          <w:sz w:val="24"/>
          <w:szCs w:val="24"/>
          <w:lang w:val="en-GB"/>
        </w:rPr>
        <w:t>Cedefop</w:t>
      </w:r>
      <w:proofErr w:type="spellEnd"/>
      <w:r w:rsidRPr="009276DF">
        <w:rPr>
          <w:rFonts w:ascii="Times New Roman" w:hAnsi="Times New Roman" w:cs="Times New Roman"/>
          <w:sz w:val="24"/>
          <w:szCs w:val="24"/>
          <w:lang w:val="en-GB"/>
        </w:rPr>
        <w:t xml:space="preserve">, 2023). В </w:t>
      </w:r>
      <w:proofErr w:type="spellStart"/>
      <w:r w:rsidRPr="009276DF">
        <w:rPr>
          <w:rFonts w:ascii="Times New Roman" w:hAnsi="Times New Roman" w:cs="Times New Roman"/>
          <w:sz w:val="24"/>
          <w:szCs w:val="24"/>
          <w:lang w:val="en-GB"/>
        </w:rPr>
        <w:t>образователната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политика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допълнителен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фокус</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върху</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намаляване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преждевременното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напускане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училище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чрез</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регионални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стратегии</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насочени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интервенции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във</w:t>
      </w:r>
      <w:proofErr w:type="spellEnd"/>
      <w:r w:rsidRPr="009276DF">
        <w:rPr>
          <w:rFonts w:ascii="Times New Roman" w:hAnsi="Times New Roman" w:cs="Times New Roman"/>
          <w:sz w:val="24"/>
          <w:szCs w:val="24"/>
          <w:lang w:val="en-GB"/>
        </w:rPr>
        <w:t xml:space="preserve"> VET, </w:t>
      </w:r>
      <w:proofErr w:type="spellStart"/>
      <w:r w:rsidRPr="009276DF">
        <w:rPr>
          <w:rFonts w:ascii="Times New Roman" w:hAnsi="Times New Roman" w:cs="Times New Roman"/>
          <w:sz w:val="24"/>
          <w:szCs w:val="24"/>
          <w:lang w:val="en-GB"/>
        </w:rPr>
        <w:t>където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рисковете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по-високи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тези</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общото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средно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тук</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дирижираното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партньорство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училище</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работодател</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община</w:t>
      </w:r>
      <w:proofErr w:type="spellEnd"/>
      <w:r w:rsidRPr="009276DF">
        <w:rPr>
          <w:rFonts w:ascii="Times New Roman" w:hAnsi="Times New Roman" w:cs="Times New Roman"/>
          <w:sz w:val="24"/>
          <w:szCs w:val="24"/>
          <w:lang w:val="en-GB"/>
        </w:rPr>
        <w:t xml:space="preserve"> е </w:t>
      </w:r>
      <w:proofErr w:type="spellStart"/>
      <w:r w:rsidRPr="009276DF">
        <w:rPr>
          <w:rFonts w:ascii="Times New Roman" w:hAnsi="Times New Roman" w:cs="Times New Roman"/>
          <w:sz w:val="24"/>
          <w:szCs w:val="24"/>
          <w:lang w:val="en-GB"/>
        </w:rPr>
        <w:t>ключово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задържането</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плавния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преход</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към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 xml:space="preserve"> (European Commission, 2024). В </w:t>
      </w:r>
      <w:proofErr w:type="spellStart"/>
      <w:r w:rsidRPr="009276DF">
        <w:rPr>
          <w:rFonts w:ascii="Times New Roman" w:hAnsi="Times New Roman" w:cs="Times New Roman"/>
          <w:sz w:val="24"/>
          <w:szCs w:val="24"/>
          <w:lang w:val="en-GB"/>
        </w:rPr>
        <w:t>съвкупност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тази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комбинация</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двойни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пътеки</w:t>
      </w:r>
      <w:proofErr w:type="spellEnd"/>
      <w:r w:rsidRPr="009276DF">
        <w:rPr>
          <w:rFonts w:ascii="Times New Roman" w:hAnsi="Times New Roman" w:cs="Times New Roman"/>
          <w:sz w:val="24"/>
          <w:szCs w:val="24"/>
          <w:lang w:val="en-GB"/>
        </w:rPr>
        <w:t xml:space="preserve"> в MBO, </w:t>
      </w:r>
      <w:proofErr w:type="spellStart"/>
      <w:r w:rsidRPr="009276DF">
        <w:rPr>
          <w:rFonts w:ascii="Times New Roman" w:hAnsi="Times New Roman" w:cs="Times New Roman"/>
          <w:sz w:val="24"/>
          <w:szCs w:val="24"/>
          <w:lang w:val="en-GB"/>
        </w:rPr>
        <w:t>лицензиран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качествен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стаж</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реална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работна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среда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активни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регионални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посреднически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екипи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почасов</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минимален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стандарт</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валидиране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предходно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учене</w:t>
      </w:r>
      <w:proofErr w:type="spellEnd"/>
      <w:r w:rsidRPr="009276DF">
        <w:rPr>
          <w:rFonts w:ascii="Times New Roman" w:hAnsi="Times New Roman" w:cs="Times New Roman"/>
          <w:sz w:val="24"/>
          <w:szCs w:val="24"/>
          <w:lang w:val="en-GB"/>
        </w:rPr>
        <w:t>—</w:t>
      </w:r>
      <w:proofErr w:type="spellStart"/>
      <w:r w:rsidRPr="009276DF">
        <w:rPr>
          <w:rFonts w:ascii="Times New Roman" w:hAnsi="Times New Roman" w:cs="Times New Roman"/>
          <w:sz w:val="24"/>
          <w:szCs w:val="24"/>
          <w:lang w:val="en-GB"/>
        </w:rPr>
        <w:t>конвертира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макроикономическото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търсене</w:t>
      </w:r>
      <w:proofErr w:type="spellEnd"/>
      <w:r w:rsidRPr="009276DF">
        <w:rPr>
          <w:rFonts w:ascii="Times New Roman" w:hAnsi="Times New Roman" w:cs="Times New Roman"/>
          <w:sz w:val="24"/>
          <w:szCs w:val="24"/>
          <w:lang w:val="en-GB"/>
        </w:rPr>
        <w:t xml:space="preserve"> в </w:t>
      </w:r>
      <w:proofErr w:type="spellStart"/>
      <w:r w:rsidRPr="009276DF">
        <w:rPr>
          <w:rFonts w:ascii="Times New Roman" w:hAnsi="Times New Roman" w:cs="Times New Roman"/>
          <w:sz w:val="24"/>
          <w:szCs w:val="24"/>
          <w:lang w:val="en-GB"/>
        </w:rPr>
        <w:t>устойчиви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първи</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назначения</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понижава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вероятността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младежите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да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останат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извън</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(European Commission, 2024; OECD, 2025; SBB, n.d.-a).</w:t>
      </w:r>
    </w:p>
    <w:p w14:paraId="3C8652FE" w14:textId="663EB162" w:rsidR="00213DF3" w:rsidRDefault="00213DF3" w:rsidP="00213DF3">
      <w:pPr>
        <w:spacing w:line="360" w:lineRule="auto"/>
        <w:ind w:firstLine="708"/>
        <w:jc w:val="both"/>
        <w:rPr>
          <w:rFonts w:ascii="Times New Roman" w:hAnsi="Times New Roman" w:cs="Times New Roman"/>
          <w:sz w:val="24"/>
          <w:szCs w:val="24"/>
        </w:rPr>
      </w:pPr>
      <w:proofErr w:type="spellStart"/>
      <w:r w:rsidRPr="00213DF3">
        <w:rPr>
          <w:rFonts w:ascii="Times New Roman" w:hAnsi="Times New Roman" w:cs="Times New Roman"/>
          <w:sz w:val="24"/>
          <w:szCs w:val="24"/>
          <w:lang w:val="en-GB"/>
        </w:rPr>
        <w:t>Хърватия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задълбочава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политики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чрез</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комбинация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финансови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стимули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първа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работа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чиракуване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стажове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обучение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заявка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работодател</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подкрепа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самонаемане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прилагани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Хърватската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служба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заетостта</w:t>
      </w:r>
      <w:proofErr w:type="spellEnd"/>
      <w:r w:rsidRPr="00213DF3">
        <w:rPr>
          <w:rFonts w:ascii="Times New Roman" w:hAnsi="Times New Roman" w:cs="Times New Roman"/>
          <w:sz w:val="24"/>
          <w:szCs w:val="24"/>
          <w:lang w:val="en-GB"/>
        </w:rPr>
        <w:t xml:space="preserve"> (HZZ) </w:t>
      </w:r>
      <w:proofErr w:type="spellStart"/>
      <w:r w:rsidRPr="00213DF3">
        <w:rPr>
          <w:rFonts w:ascii="Times New Roman" w:hAnsi="Times New Roman" w:cs="Times New Roman"/>
          <w:sz w:val="24"/>
          <w:szCs w:val="24"/>
          <w:lang w:val="en-GB"/>
        </w:rPr>
        <w:t>като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част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портфейл</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единайсет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разпознаваеми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мерки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2024 г., </w:t>
      </w:r>
      <w:proofErr w:type="spellStart"/>
      <w:r w:rsidRPr="00213DF3">
        <w:rPr>
          <w:rFonts w:ascii="Times New Roman" w:hAnsi="Times New Roman" w:cs="Times New Roman"/>
          <w:sz w:val="24"/>
          <w:szCs w:val="24"/>
          <w:lang w:val="en-GB"/>
        </w:rPr>
        <w:t>включително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целеви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субсидии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зелени</w:t>
      </w:r>
      <w:proofErr w:type="spellEnd"/>
      <w:r w:rsidRPr="00213DF3">
        <w:rPr>
          <w:rFonts w:ascii="Times New Roman" w:hAnsi="Times New Roman" w:cs="Times New Roman"/>
          <w:sz w:val="24"/>
          <w:szCs w:val="24"/>
          <w:lang w:val="en-GB"/>
        </w:rPr>
        <w:t>/</w:t>
      </w:r>
      <w:proofErr w:type="spellStart"/>
      <w:r w:rsidRPr="00213DF3">
        <w:rPr>
          <w:rFonts w:ascii="Times New Roman" w:hAnsi="Times New Roman" w:cs="Times New Roman"/>
          <w:sz w:val="24"/>
          <w:szCs w:val="24"/>
          <w:lang w:val="en-GB"/>
        </w:rPr>
        <w:t>дигитални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позиции</w:t>
      </w:r>
      <w:proofErr w:type="spellEnd"/>
      <w:r w:rsidRPr="00213DF3">
        <w:rPr>
          <w:rFonts w:ascii="Times New Roman" w:hAnsi="Times New Roman" w:cs="Times New Roman"/>
          <w:sz w:val="24"/>
          <w:szCs w:val="24"/>
          <w:lang w:val="en-GB"/>
        </w:rPr>
        <w:t xml:space="preserve"> (Croatian Employment Service, 2024; Invest Croatia, n.d.). </w:t>
      </w:r>
      <w:proofErr w:type="spellStart"/>
      <w:r w:rsidRPr="00213DF3">
        <w:rPr>
          <w:rFonts w:ascii="Times New Roman" w:hAnsi="Times New Roman" w:cs="Times New Roman"/>
          <w:sz w:val="24"/>
          <w:szCs w:val="24"/>
          <w:lang w:val="en-GB"/>
        </w:rPr>
        <w:t>Изпълнението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засилената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Гаранция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подпомага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ЕСФ+, </w:t>
      </w:r>
      <w:proofErr w:type="spellStart"/>
      <w:r w:rsidRPr="00213DF3">
        <w:rPr>
          <w:rFonts w:ascii="Times New Roman" w:hAnsi="Times New Roman" w:cs="Times New Roman"/>
          <w:sz w:val="24"/>
          <w:szCs w:val="24"/>
          <w:lang w:val="en-GB"/>
        </w:rPr>
        <w:t>където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програмата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Хърватия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отделя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значителен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дял</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мерки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пазара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труда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стажове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подкрепа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самонаемане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социално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предприемачество</w:t>
      </w:r>
      <w:proofErr w:type="spellEnd"/>
      <w:r w:rsidRPr="00213DF3">
        <w:rPr>
          <w:rFonts w:ascii="Times New Roman" w:hAnsi="Times New Roman" w:cs="Times New Roman"/>
          <w:sz w:val="24"/>
          <w:szCs w:val="24"/>
          <w:lang w:val="en-GB"/>
        </w:rPr>
        <w:t xml:space="preserve">, с </w:t>
      </w:r>
      <w:proofErr w:type="spellStart"/>
      <w:r w:rsidRPr="00213DF3">
        <w:rPr>
          <w:rFonts w:ascii="Times New Roman" w:hAnsi="Times New Roman" w:cs="Times New Roman"/>
          <w:sz w:val="24"/>
          <w:szCs w:val="24"/>
          <w:lang w:val="en-GB"/>
        </w:rPr>
        <w:t>акцент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върху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уменията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зеления</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цифров</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преход</w:t>
      </w:r>
      <w:proofErr w:type="spellEnd"/>
      <w:r w:rsidRPr="00213DF3">
        <w:rPr>
          <w:rFonts w:ascii="Times New Roman" w:hAnsi="Times New Roman" w:cs="Times New Roman"/>
          <w:sz w:val="24"/>
          <w:szCs w:val="24"/>
          <w:lang w:val="en-GB"/>
        </w:rPr>
        <w:t xml:space="preserve"> (European Commission, 2023). </w:t>
      </w:r>
    </w:p>
    <w:p w14:paraId="398180CA" w14:textId="236A352A" w:rsidR="00213DF3" w:rsidRDefault="00213DF3" w:rsidP="00213DF3">
      <w:pPr>
        <w:spacing w:line="360" w:lineRule="auto"/>
        <w:ind w:firstLine="708"/>
        <w:jc w:val="both"/>
        <w:rPr>
          <w:rFonts w:ascii="Times New Roman" w:hAnsi="Times New Roman" w:cs="Times New Roman"/>
          <w:sz w:val="24"/>
          <w:szCs w:val="24"/>
        </w:rPr>
      </w:pPr>
      <w:proofErr w:type="spellStart"/>
      <w:r w:rsidRPr="00213DF3">
        <w:rPr>
          <w:rFonts w:ascii="Times New Roman" w:hAnsi="Times New Roman" w:cs="Times New Roman"/>
          <w:sz w:val="24"/>
          <w:szCs w:val="24"/>
          <w:lang w:val="en-GB"/>
        </w:rPr>
        <w:t>Паралелно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Планът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възстановяване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устойчивост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предвижда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инвестиции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стотици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милиони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евро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реформиране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политики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рескилиране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ъпскилинг</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както</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разширяване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услугите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адекватността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социалните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бенефити</w:t>
      </w:r>
      <w:proofErr w:type="spellEnd"/>
      <w:r w:rsidRPr="00213DF3">
        <w:rPr>
          <w:rFonts w:ascii="Times New Roman" w:hAnsi="Times New Roman" w:cs="Times New Roman"/>
          <w:sz w:val="24"/>
          <w:szCs w:val="24"/>
          <w:lang w:val="en-GB"/>
        </w:rPr>
        <w:t xml:space="preserve">, а </w:t>
      </w:r>
      <w:proofErr w:type="spellStart"/>
      <w:r w:rsidRPr="00213DF3">
        <w:rPr>
          <w:rFonts w:ascii="Times New Roman" w:hAnsi="Times New Roman" w:cs="Times New Roman"/>
          <w:sz w:val="24"/>
          <w:szCs w:val="24"/>
          <w:lang w:val="en-GB"/>
        </w:rPr>
        <w:t>също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така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значим</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ресурс</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ранно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детско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обгрижване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които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снижават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бариерите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пред</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участието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особено</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сезонно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зависими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региони</w:t>
      </w:r>
      <w:proofErr w:type="spellEnd"/>
      <w:r w:rsidRPr="00213DF3">
        <w:rPr>
          <w:rFonts w:ascii="Times New Roman" w:hAnsi="Times New Roman" w:cs="Times New Roman"/>
          <w:sz w:val="24"/>
          <w:szCs w:val="24"/>
          <w:lang w:val="en-GB"/>
        </w:rPr>
        <w:t xml:space="preserve"> (European Commission, n.d.). </w:t>
      </w:r>
    </w:p>
    <w:p w14:paraId="31008800" w14:textId="31237D0F" w:rsidR="00213DF3" w:rsidRPr="00213DF3" w:rsidRDefault="00213DF3" w:rsidP="00213DF3">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Относно </w:t>
      </w:r>
      <w:proofErr w:type="spellStart"/>
      <w:r w:rsidRPr="00213DF3">
        <w:rPr>
          <w:rFonts w:ascii="Times New Roman" w:hAnsi="Times New Roman" w:cs="Times New Roman"/>
          <w:sz w:val="24"/>
          <w:szCs w:val="24"/>
          <w:lang w:val="en-GB"/>
        </w:rPr>
        <w:t>професионалното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обучение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Cedefop</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документира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обновяване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VET </w:t>
      </w:r>
      <w:proofErr w:type="spellStart"/>
      <w:r w:rsidRPr="00213DF3">
        <w:rPr>
          <w:rFonts w:ascii="Times New Roman" w:hAnsi="Times New Roman" w:cs="Times New Roman"/>
          <w:sz w:val="24"/>
          <w:szCs w:val="24"/>
          <w:lang w:val="en-GB"/>
        </w:rPr>
        <w:t>системата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разгръщане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дуалното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модела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единна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система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 xml:space="preserve">“ (JMO) с </w:t>
      </w:r>
      <w:proofErr w:type="spellStart"/>
      <w:r w:rsidRPr="00213DF3">
        <w:rPr>
          <w:rFonts w:ascii="Times New Roman" w:hAnsi="Times New Roman" w:cs="Times New Roman"/>
          <w:sz w:val="24"/>
          <w:szCs w:val="24"/>
          <w:lang w:val="en-GB"/>
        </w:rPr>
        <w:t>чиракуване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държавно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сертифициран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изпит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приблизително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една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осма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обучаемите</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първоначалното</w:t>
      </w:r>
      <w:proofErr w:type="spellEnd"/>
      <w:r w:rsidRPr="00213DF3">
        <w:rPr>
          <w:rFonts w:ascii="Times New Roman" w:hAnsi="Times New Roman" w:cs="Times New Roman"/>
          <w:sz w:val="24"/>
          <w:szCs w:val="24"/>
          <w:lang w:val="en-GB"/>
        </w:rPr>
        <w:t xml:space="preserve"> VET </w:t>
      </w:r>
      <w:proofErr w:type="spellStart"/>
      <w:r w:rsidRPr="00213DF3">
        <w:rPr>
          <w:rFonts w:ascii="Times New Roman" w:hAnsi="Times New Roman" w:cs="Times New Roman"/>
          <w:sz w:val="24"/>
          <w:szCs w:val="24"/>
          <w:lang w:val="en-GB"/>
        </w:rPr>
        <w:t>участва</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форми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чиракуване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това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дава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мостове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между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сезонните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договори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по-устойчиви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кариерни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траектории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особено</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туризма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логистиката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Cedefop</w:t>
      </w:r>
      <w:proofErr w:type="spellEnd"/>
      <w:r w:rsidRPr="00213DF3">
        <w:rPr>
          <w:rFonts w:ascii="Times New Roman" w:hAnsi="Times New Roman" w:cs="Times New Roman"/>
          <w:sz w:val="24"/>
          <w:szCs w:val="24"/>
          <w:lang w:val="en-GB"/>
        </w:rPr>
        <w:t xml:space="preserve">, 2023; </w:t>
      </w:r>
      <w:proofErr w:type="spellStart"/>
      <w:r w:rsidRPr="00213DF3">
        <w:rPr>
          <w:rFonts w:ascii="Times New Roman" w:hAnsi="Times New Roman" w:cs="Times New Roman"/>
          <w:sz w:val="24"/>
          <w:szCs w:val="24"/>
          <w:lang w:val="en-GB"/>
        </w:rPr>
        <w:t>ReferNet</w:t>
      </w:r>
      <w:proofErr w:type="spellEnd"/>
      <w:r w:rsidRPr="00213DF3">
        <w:rPr>
          <w:rFonts w:ascii="Times New Roman" w:hAnsi="Times New Roman" w:cs="Times New Roman"/>
          <w:sz w:val="24"/>
          <w:szCs w:val="24"/>
          <w:lang w:val="en-GB"/>
        </w:rPr>
        <w:t xml:space="preserve">, 2023).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равнище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изпълнение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държавната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служба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управлява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специални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траектории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чрез</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програми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общественополезен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труд</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субсидирана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стажове</w:t>
      </w:r>
      <w:proofErr w:type="spellEnd"/>
      <w:r w:rsidRPr="00213DF3">
        <w:rPr>
          <w:rFonts w:ascii="Times New Roman" w:hAnsi="Times New Roman" w:cs="Times New Roman"/>
          <w:sz w:val="24"/>
          <w:szCs w:val="24"/>
          <w:lang w:val="en-GB"/>
        </w:rPr>
        <w:t xml:space="preserve"> с </w:t>
      </w:r>
      <w:proofErr w:type="spellStart"/>
      <w:r w:rsidRPr="00213DF3">
        <w:rPr>
          <w:rFonts w:ascii="Times New Roman" w:hAnsi="Times New Roman" w:cs="Times New Roman"/>
          <w:sz w:val="24"/>
          <w:szCs w:val="24"/>
          <w:lang w:val="en-GB"/>
        </w:rPr>
        <w:t>наставничество</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мерки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уязвими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групи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интегрира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кариерно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ориентиране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ранно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идентифициране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отпадащи</w:t>
      </w:r>
      <w:proofErr w:type="spellEnd"/>
      <w:r w:rsidRPr="00213DF3">
        <w:rPr>
          <w:rFonts w:ascii="Times New Roman" w:hAnsi="Times New Roman" w:cs="Times New Roman"/>
          <w:sz w:val="24"/>
          <w:szCs w:val="24"/>
          <w:lang w:val="en-GB"/>
        </w:rPr>
        <w:t xml:space="preserve"> и „</w:t>
      </w:r>
      <w:proofErr w:type="gramStart"/>
      <w:r w:rsidRPr="00213DF3">
        <w:rPr>
          <w:rFonts w:ascii="Times New Roman" w:hAnsi="Times New Roman" w:cs="Times New Roman"/>
          <w:sz w:val="24"/>
          <w:szCs w:val="24"/>
          <w:lang w:val="en-GB"/>
        </w:rPr>
        <w:t xml:space="preserve">outreach“ </w:t>
      </w:r>
      <w:proofErr w:type="spellStart"/>
      <w:r w:rsidRPr="00213DF3">
        <w:rPr>
          <w:rFonts w:ascii="Times New Roman" w:hAnsi="Times New Roman" w:cs="Times New Roman"/>
          <w:sz w:val="24"/>
          <w:szCs w:val="24"/>
          <w:lang w:val="en-GB"/>
        </w:rPr>
        <w:t>към</w:t>
      </w:r>
      <w:proofErr w:type="spellEnd"/>
      <w:proofErr w:type="gram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неактивни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младежи</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рамките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националния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план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младежта</w:t>
      </w:r>
      <w:proofErr w:type="spellEnd"/>
      <w:r w:rsidRPr="00213DF3">
        <w:rPr>
          <w:rFonts w:ascii="Times New Roman" w:hAnsi="Times New Roman" w:cs="Times New Roman"/>
          <w:sz w:val="24"/>
          <w:szCs w:val="24"/>
          <w:lang w:val="en-GB"/>
        </w:rPr>
        <w:t xml:space="preserve"> 2023–2025 и </w:t>
      </w:r>
      <w:proofErr w:type="spellStart"/>
      <w:r w:rsidRPr="00213DF3">
        <w:rPr>
          <w:rFonts w:ascii="Times New Roman" w:hAnsi="Times New Roman" w:cs="Times New Roman"/>
          <w:sz w:val="24"/>
          <w:szCs w:val="24"/>
          <w:lang w:val="en-GB"/>
        </w:rPr>
        <w:t>плана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прилагане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Гаранцията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младежта</w:t>
      </w:r>
      <w:proofErr w:type="spellEnd"/>
      <w:r w:rsidRPr="00213DF3">
        <w:rPr>
          <w:rFonts w:ascii="Times New Roman" w:hAnsi="Times New Roman" w:cs="Times New Roman"/>
          <w:sz w:val="24"/>
          <w:szCs w:val="24"/>
          <w:lang w:val="en-GB"/>
        </w:rPr>
        <w:t xml:space="preserve"> (EACEA Youth Wiki, 2024; Ministry of Demography and Youth, 2023). В </w:t>
      </w:r>
      <w:proofErr w:type="spellStart"/>
      <w:r w:rsidRPr="00213DF3">
        <w:rPr>
          <w:rFonts w:ascii="Times New Roman" w:hAnsi="Times New Roman" w:cs="Times New Roman"/>
          <w:sz w:val="24"/>
          <w:szCs w:val="24"/>
          <w:lang w:val="en-GB"/>
        </w:rPr>
        <w:t>допълнение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националните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документи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изпълнение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дългосрочните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цели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w:t>
      </w:r>
      <w:proofErr w:type="spellEnd"/>
      <w:r w:rsidRPr="00213DF3">
        <w:rPr>
          <w:rFonts w:ascii="Times New Roman" w:hAnsi="Times New Roman" w:cs="Times New Roman"/>
          <w:sz w:val="24"/>
          <w:szCs w:val="24"/>
          <w:lang w:val="en-GB"/>
        </w:rPr>
        <w:t xml:space="preserve"> НСР 2030 </w:t>
      </w:r>
      <w:proofErr w:type="spellStart"/>
      <w:r w:rsidRPr="00213DF3">
        <w:rPr>
          <w:rFonts w:ascii="Times New Roman" w:hAnsi="Times New Roman" w:cs="Times New Roman"/>
          <w:sz w:val="24"/>
          <w:szCs w:val="24"/>
          <w:lang w:val="en-GB"/>
        </w:rPr>
        <w:t>поставят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акцент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върху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дигитализацията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училищата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инициативата</w:t>
      </w:r>
      <w:proofErr w:type="spellEnd"/>
      <w:r w:rsidRPr="00213DF3">
        <w:rPr>
          <w:rFonts w:ascii="Times New Roman" w:hAnsi="Times New Roman" w:cs="Times New Roman"/>
          <w:sz w:val="24"/>
          <w:szCs w:val="24"/>
          <w:lang w:val="en-GB"/>
        </w:rPr>
        <w:t xml:space="preserve"> „Е-</w:t>
      </w:r>
      <w:proofErr w:type="spellStart"/>
      <w:proofErr w:type="gramStart"/>
      <w:r w:rsidRPr="00213DF3">
        <w:rPr>
          <w:rFonts w:ascii="Times New Roman" w:hAnsi="Times New Roman" w:cs="Times New Roman"/>
          <w:sz w:val="24"/>
          <w:szCs w:val="24"/>
          <w:lang w:val="en-GB"/>
        </w:rPr>
        <w:t>училища</w:t>
      </w:r>
      <w:proofErr w:type="spellEnd"/>
      <w:r w:rsidRPr="00213DF3">
        <w:rPr>
          <w:rFonts w:ascii="Times New Roman" w:hAnsi="Times New Roman" w:cs="Times New Roman"/>
          <w:sz w:val="24"/>
          <w:szCs w:val="24"/>
          <w:lang w:val="en-GB"/>
        </w:rPr>
        <w:t>“</w:t>
      </w:r>
      <w:proofErr w:type="gram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услугите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разширява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обхвата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кариерното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консултиране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намалява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информационната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асиметрия</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периферните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райони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улеснява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мобилността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между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региони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отрасли</w:t>
      </w:r>
      <w:proofErr w:type="spellEnd"/>
      <w:r w:rsidRPr="00213DF3">
        <w:rPr>
          <w:rFonts w:ascii="Times New Roman" w:hAnsi="Times New Roman" w:cs="Times New Roman"/>
          <w:sz w:val="24"/>
          <w:szCs w:val="24"/>
          <w:lang w:val="en-GB"/>
        </w:rPr>
        <w:t>—</w:t>
      </w:r>
      <w:proofErr w:type="spellStart"/>
      <w:r w:rsidRPr="00213DF3">
        <w:rPr>
          <w:rFonts w:ascii="Times New Roman" w:hAnsi="Times New Roman" w:cs="Times New Roman"/>
          <w:sz w:val="24"/>
          <w:szCs w:val="24"/>
          <w:lang w:val="en-GB"/>
        </w:rPr>
        <w:t>ключово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смекчаване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повтаряемата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неактивност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между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туристическите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сезони</w:t>
      </w:r>
      <w:proofErr w:type="spellEnd"/>
      <w:r w:rsidRPr="00213DF3">
        <w:rPr>
          <w:rFonts w:ascii="Times New Roman" w:hAnsi="Times New Roman" w:cs="Times New Roman"/>
          <w:sz w:val="24"/>
          <w:szCs w:val="24"/>
          <w:lang w:val="en-GB"/>
        </w:rPr>
        <w:t xml:space="preserve"> (Government of Croatia, 2022). В </w:t>
      </w:r>
      <w:proofErr w:type="spellStart"/>
      <w:r w:rsidRPr="00213DF3">
        <w:rPr>
          <w:rFonts w:ascii="Times New Roman" w:hAnsi="Times New Roman" w:cs="Times New Roman"/>
          <w:sz w:val="24"/>
          <w:szCs w:val="24"/>
          <w:lang w:val="en-GB"/>
        </w:rPr>
        <w:t>съвкупност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тази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политика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миксира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изпреварващи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инвестиции</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умения</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качествено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чиракуване</w:t>
      </w:r>
      <w:proofErr w:type="spellEnd"/>
      <w:r w:rsidRPr="00213DF3">
        <w:rPr>
          <w:rFonts w:ascii="Times New Roman" w:hAnsi="Times New Roman" w:cs="Times New Roman"/>
          <w:sz w:val="24"/>
          <w:szCs w:val="24"/>
          <w:lang w:val="en-GB"/>
        </w:rPr>
        <w:t xml:space="preserve"> с </w:t>
      </w:r>
      <w:proofErr w:type="spellStart"/>
      <w:r w:rsidRPr="00213DF3">
        <w:rPr>
          <w:rFonts w:ascii="Times New Roman" w:hAnsi="Times New Roman" w:cs="Times New Roman"/>
          <w:sz w:val="24"/>
          <w:szCs w:val="24"/>
          <w:lang w:val="en-GB"/>
        </w:rPr>
        <w:t>регионално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таргетирани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мерки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европейско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съфинансиране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така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временните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ангажименти</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контактно-интензивните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услуги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закотвят</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устойчиви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кариерни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пътеки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намали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вероятността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останат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извън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заетост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обучение</w:t>
      </w:r>
      <w:proofErr w:type="spellEnd"/>
      <w:r w:rsidRPr="00213DF3">
        <w:rPr>
          <w:rFonts w:ascii="Times New Roman" w:hAnsi="Times New Roman" w:cs="Times New Roman"/>
          <w:sz w:val="24"/>
          <w:szCs w:val="24"/>
          <w:lang w:val="en-GB"/>
        </w:rPr>
        <w:t xml:space="preserve"> (European Commission, 2023; EACEA Youth Wiki, 2024; Croatian Employment Service, 2024). </w:t>
      </w:r>
    </w:p>
    <w:p w14:paraId="0AEE4DFD" w14:textId="2FE833DF" w:rsidR="009C30C5" w:rsidRDefault="009C30C5" w:rsidP="009C30C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9C30C5">
        <w:rPr>
          <w:rFonts w:ascii="Times New Roman" w:hAnsi="Times New Roman" w:cs="Times New Roman"/>
          <w:sz w:val="24"/>
          <w:szCs w:val="24"/>
          <w:lang w:val="en-GB"/>
        </w:rPr>
        <w:t>бщата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европейска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рамка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задава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стандарт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ранна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интервенция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индивидуализирани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пътеки</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инвестиции</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умения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националната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ефективност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зависи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способността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изпълнят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три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условия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наличие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качествени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входни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позиции</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вградено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предвидима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справедлива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възвръщаемост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участие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адекватни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начални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възнаграждения</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социални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стандарти</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функционална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координация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между</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образование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посредничество</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работодатели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Нидерландия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постига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най-кратки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преходи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благодарение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силната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връзка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между</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системата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фирменото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менторство</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стабилните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правила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играта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България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ускорява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включването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ваучерни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схеми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lastRenderedPageBreak/>
        <w:t>дуално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обучение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цифровизация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посредничеството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нуждае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по-дълбоко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териториално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насочване</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услуги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грижа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активира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неактивните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групи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Хърватия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ограничава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риска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повтаряща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неактивност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чрез</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съчетаване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сезонни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мерки</w:t>
      </w:r>
      <w:proofErr w:type="spellEnd"/>
      <w:r w:rsidRPr="009C30C5">
        <w:rPr>
          <w:rFonts w:ascii="Times New Roman" w:hAnsi="Times New Roman" w:cs="Times New Roman"/>
          <w:sz w:val="24"/>
          <w:szCs w:val="24"/>
          <w:lang w:val="en-GB"/>
        </w:rPr>
        <w:t xml:space="preserve"> с </w:t>
      </w:r>
      <w:proofErr w:type="spellStart"/>
      <w:r w:rsidRPr="009C30C5">
        <w:rPr>
          <w:rFonts w:ascii="Times New Roman" w:hAnsi="Times New Roman" w:cs="Times New Roman"/>
          <w:sz w:val="24"/>
          <w:szCs w:val="24"/>
          <w:lang w:val="en-GB"/>
        </w:rPr>
        <w:t>квалификационни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пътеки</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стимули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устойчиви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назначения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Общата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поука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постпандемичния</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период</w:t>
      </w:r>
      <w:proofErr w:type="spellEnd"/>
      <w:r w:rsidRPr="009C30C5">
        <w:rPr>
          <w:rFonts w:ascii="Times New Roman" w:hAnsi="Times New Roman" w:cs="Times New Roman"/>
          <w:sz w:val="24"/>
          <w:szCs w:val="24"/>
          <w:lang w:val="en-GB"/>
        </w:rPr>
        <w:t xml:space="preserve"> е, </w:t>
      </w:r>
      <w:proofErr w:type="spellStart"/>
      <w:r w:rsidRPr="009C30C5">
        <w:rPr>
          <w:rFonts w:ascii="Times New Roman" w:hAnsi="Times New Roman" w:cs="Times New Roman"/>
          <w:sz w:val="24"/>
          <w:szCs w:val="24"/>
          <w:lang w:val="en-GB"/>
        </w:rPr>
        <w:t>че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намаляването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младежката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неактивност</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изисква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едновременно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ценови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сигнали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пазара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труда</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институционални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гаранции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за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качество</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на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прехода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така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че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краткосрочните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субсидии</w:t>
      </w:r>
      <w:proofErr w:type="spellEnd"/>
      <w:r w:rsidRPr="009C30C5">
        <w:rPr>
          <w:rFonts w:ascii="Times New Roman" w:hAnsi="Times New Roman" w:cs="Times New Roman"/>
          <w:sz w:val="24"/>
          <w:szCs w:val="24"/>
          <w:lang w:val="en-GB"/>
        </w:rPr>
        <w:t xml:space="preserve"> и </w:t>
      </w:r>
      <w:proofErr w:type="spellStart"/>
      <w:r w:rsidRPr="009C30C5">
        <w:rPr>
          <w:rFonts w:ascii="Times New Roman" w:hAnsi="Times New Roman" w:cs="Times New Roman"/>
          <w:sz w:val="24"/>
          <w:szCs w:val="24"/>
          <w:lang w:val="en-GB"/>
        </w:rPr>
        <w:t>стажове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да</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се</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превърнат</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трайни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инвестиции</w:t>
      </w:r>
      <w:proofErr w:type="spellEnd"/>
      <w:r w:rsidRPr="009C30C5">
        <w:rPr>
          <w:rFonts w:ascii="Times New Roman" w:hAnsi="Times New Roman" w:cs="Times New Roman"/>
          <w:sz w:val="24"/>
          <w:szCs w:val="24"/>
          <w:lang w:val="en-GB"/>
        </w:rPr>
        <w:t xml:space="preserve"> в </w:t>
      </w:r>
      <w:proofErr w:type="spellStart"/>
      <w:r w:rsidRPr="009C30C5">
        <w:rPr>
          <w:rFonts w:ascii="Times New Roman" w:hAnsi="Times New Roman" w:cs="Times New Roman"/>
          <w:sz w:val="24"/>
          <w:szCs w:val="24"/>
          <w:lang w:val="en-GB"/>
        </w:rPr>
        <w:t>човешки</w:t>
      </w:r>
      <w:proofErr w:type="spellEnd"/>
      <w:r w:rsidRPr="009C30C5">
        <w:rPr>
          <w:rFonts w:ascii="Times New Roman" w:hAnsi="Times New Roman" w:cs="Times New Roman"/>
          <w:sz w:val="24"/>
          <w:szCs w:val="24"/>
          <w:lang w:val="en-GB"/>
        </w:rPr>
        <w:t xml:space="preserve"> </w:t>
      </w:r>
      <w:proofErr w:type="spellStart"/>
      <w:r w:rsidRPr="009C30C5">
        <w:rPr>
          <w:rFonts w:ascii="Times New Roman" w:hAnsi="Times New Roman" w:cs="Times New Roman"/>
          <w:sz w:val="24"/>
          <w:szCs w:val="24"/>
          <w:lang w:val="en-GB"/>
        </w:rPr>
        <w:t>капитал</w:t>
      </w:r>
      <w:proofErr w:type="spellEnd"/>
      <w:r w:rsidRPr="009C30C5">
        <w:rPr>
          <w:rFonts w:ascii="Times New Roman" w:hAnsi="Times New Roman" w:cs="Times New Roman"/>
          <w:sz w:val="24"/>
          <w:szCs w:val="24"/>
          <w:lang w:val="en-GB"/>
        </w:rPr>
        <w:t>.</w:t>
      </w:r>
    </w:p>
    <w:p w14:paraId="18D336D5" w14:textId="5123B44C" w:rsidR="00213DF3" w:rsidRDefault="00213DF3" w:rsidP="009C30C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ИЗВОДИ ПО ПЪРВА ГЛАВА</w:t>
      </w:r>
    </w:p>
    <w:p w14:paraId="6B0184E4"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t>Младежката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трудова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неактивност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обхваща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хора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които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нито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работят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нито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учат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или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обучават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измерва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степента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изключване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икономическите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образователните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процеси</w:t>
      </w:r>
      <w:proofErr w:type="spellEnd"/>
      <w:r w:rsidRPr="00213DF3">
        <w:rPr>
          <w:rFonts w:ascii="Times New Roman" w:hAnsi="Times New Roman" w:cs="Times New Roman"/>
          <w:sz w:val="24"/>
          <w:szCs w:val="24"/>
          <w:lang w:val="en-GB"/>
        </w:rPr>
        <w:t xml:space="preserve"> и е </w:t>
      </w:r>
      <w:proofErr w:type="spellStart"/>
      <w:r w:rsidRPr="00213DF3">
        <w:rPr>
          <w:rFonts w:ascii="Times New Roman" w:hAnsi="Times New Roman" w:cs="Times New Roman"/>
          <w:sz w:val="24"/>
          <w:szCs w:val="24"/>
          <w:lang w:val="en-GB"/>
        </w:rPr>
        <w:t>индикатор</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уязвимост</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пропуснат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човешки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капитал</w:t>
      </w:r>
      <w:proofErr w:type="spellEnd"/>
      <w:r w:rsidRPr="00213DF3">
        <w:rPr>
          <w:rFonts w:ascii="Times New Roman" w:hAnsi="Times New Roman" w:cs="Times New Roman"/>
          <w:sz w:val="24"/>
          <w:szCs w:val="24"/>
          <w:lang w:val="en-GB"/>
        </w:rPr>
        <w:t>.</w:t>
      </w:r>
    </w:p>
    <w:p w14:paraId="34541058"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t>Младежката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безработица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включва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само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онези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които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нямат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работа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търсят</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готови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започнат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Неактивността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включва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обезкуражени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обгрижващи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извън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търсене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затова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по-добре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улавя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скритите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бариери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риска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трайно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изключване</w:t>
      </w:r>
      <w:proofErr w:type="spellEnd"/>
      <w:r w:rsidRPr="00213DF3">
        <w:rPr>
          <w:rFonts w:ascii="Times New Roman" w:hAnsi="Times New Roman" w:cs="Times New Roman"/>
          <w:sz w:val="24"/>
          <w:szCs w:val="24"/>
          <w:lang w:val="en-GB"/>
        </w:rPr>
        <w:t>.</w:t>
      </w:r>
    </w:p>
    <w:p w14:paraId="1803E101"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t>Основните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фактори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ниски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реални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доходи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инфлация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недостиг</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подходящи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входни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позиции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липса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опит</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несъответствие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уменията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социални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бариери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грижи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бедност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регионални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неравенства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недостатъчна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инфраструктура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ограничен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достъп</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обучение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посредничество</w:t>
      </w:r>
      <w:proofErr w:type="spellEnd"/>
      <w:r w:rsidRPr="00213DF3">
        <w:rPr>
          <w:rFonts w:ascii="Times New Roman" w:hAnsi="Times New Roman" w:cs="Times New Roman"/>
          <w:sz w:val="24"/>
          <w:szCs w:val="24"/>
          <w:lang w:val="en-GB"/>
        </w:rPr>
        <w:t>.</w:t>
      </w:r>
    </w:p>
    <w:p w14:paraId="67DB9F74"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t>Постпандемичният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пазар</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труда</w:t>
      </w:r>
      <w:proofErr w:type="spellEnd"/>
      <w:r w:rsidRPr="00213DF3">
        <w:rPr>
          <w:rFonts w:ascii="Times New Roman" w:hAnsi="Times New Roman" w:cs="Times New Roman"/>
          <w:sz w:val="24"/>
          <w:szCs w:val="24"/>
          <w:lang w:val="en-GB"/>
        </w:rPr>
        <w:t xml:space="preserve"> в ЕС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възстановява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бързо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като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безработицата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достига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ниски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нива</w:t>
      </w:r>
      <w:proofErr w:type="spellEnd"/>
      <w:r w:rsidRPr="00213DF3">
        <w:rPr>
          <w:rFonts w:ascii="Times New Roman" w:hAnsi="Times New Roman" w:cs="Times New Roman"/>
          <w:sz w:val="24"/>
          <w:szCs w:val="24"/>
          <w:lang w:val="en-GB"/>
        </w:rPr>
        <w:t xml:space="preserve">, а </w:t>
      </w:r>
      <w:proofErr w:type="spellStart"/>
      <w:r w:rsidRPr="00213DF3">
        <w:rPr>
          <w:rFonts w:ascii="Times New Roman" w:hAnsi="Times New Roman" w:cs="Times New Roman"/>
          <w:sz w:val="24"/>
          <w:szCs w:val="24"/>
          <w:lang w:val="en-GB"/>
        </w:rPr>
        <w:t>свободните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работни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места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нарастват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Въпреки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това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част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остават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извън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активното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търсене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заради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здравни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социални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образователни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смущения</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бавно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преодоляване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пропуска</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опита</w:t>
      </w:r>
      <w:proofErr w:type="spellEnd"/>
      <w:r w:rsidRPr="00213DF3">
        <w:rPr>
          <w:rFonts w:ascii="Times New Roman" w:hAnsi="Times New Roman" w:cs="Times New Roman"/>
          <w:sz w:val="24"/>
          <w:szCs w:val="24"/>
          <w:lang w:val="en-GB"/>
        </w:rPr>
        <w:t>.</w:t>
      </w:r>
    </w:p>
    <w:p w14:paraId="6F8118E7"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t>Структурните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предизвикателства</w:t>
      </w:r>
      <w:proofErr w:type="spellEnd"/>
      <w:r w:rsidRPr="00213DF3">
        <w:rPr>
          <w:rFonts w:ascii="Times New Roman" w:hAnsi="Times New Roman" w:cs="Times New Roman"/>
          <w:sz w:val="24"/>
          <w:szCs w:val="24"/>
          <w:lang w:val="en-GB"/>
        </w:rPr>
        <w:t xml:space="preserve"> в ЕС </w:t>
      </w:r>
      <w:proofErr w:type="spellStart"/>
      <w:r w:rsidRPr="00213DF3">
        <w:rPr>
          <w:rFonts w:ascii="Times New Roman" w:hAnsi="Times New Roman" w:cs="Times New Roman"/>
          <w:sz w:val="24"/>
          <w:szCs w:val="24"/>
          <w:lang w:val="en-GB"/>
        </w:rPr>
        <w:t>включват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демографско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свиване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регионална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сегментация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търсенето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сезонност</w:t>
      </w:r>
      <w:proofErr w:type="spellEnd"/>
      <w:r w:rsidRPr="00213DF3">
        <w:rPr>
          <w:rFonts w:ascii="Times New Roman" w:hAnsi="Times New Roman" w:cs="Times New Roman"/>
          <w:sz w:val="24"/>
          <w:szCs w:val="24"/>
          <w:lang w:val="en-GB"/>
        </w:rPr>
        <w:t xml:space="preserve"> в </w:t>
      </w:r>
      <w:proofErr w:type="spellStart"/>
      <w:r w:rsidRPr="00213DF3">
        <w:rPr>
          <w:rFonts w:ascii="Times New Roman" w:hAnsi="Times New Roman" w:cs="Times New Roman"/>
          <w:sz w:val="24"/>
          <w:szCs w:val="24"/>
          <w:lang w:val="en-GB"/>
        </w:rPr>
        <w:t>услуги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ускорена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технологична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промяна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неравен</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достъп</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грижи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транспорт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удължават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прехода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образование</w:t>
      </w:r>
      <w:proofErr w:type="spellEnd"/>
      <w:r w:rsidRPr="00213DF3">
        <w:rPr>
          <w:rFonts w:ascii="Times New Roman" w:hAnsi="Times New Roman" w:cs="Times New Roman"/>
          <w:sz w:val="24"/>
          <w:szCs w:val="24"/>
          <w:lang w:val="en-GB"/>
        </w:rPr>
        <w:t>–</w:t>
      </w:r>
      <w:proofErr w:type="spellStart"/>
      <w:r w:rsidRPr="00213DF3">
        <w:rPr>
          <w:rFonts w:ascii="Times New Roman" w:hAnsi="Times New Roman" w:cs="Times New Roman"/>
          <w:sz w:val="24"/>
          <w:szCs w:val="24"/>
          <w:lang w:val="en-GB"/>
        </w:rPr>
        <w:t>работа</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повишават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риска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повтарящи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епизоди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неактивност</w:t>
      </w:r>
      <w:proofErr w:type="spellEnd"/>
      <w:r w:rsidRPr="00213DF3">
        <w:rPr>
          <w:rFonts w:ascii="Times New Roman" w:hAnsi="Times New Roman" w:cs="Times New Roman"/>
          <w:sz w:val="24"/>
          <w:szCs w:val="24"/>
          <w:lang w:val="en-GB"/>
        </w:rPr>
        <w:t>.</w:t>
      </w:r>
    </w:p>
    <w:p w14:paraId="46A5481C" w14:textId="77777777" w:rsidR="00213DF3" w:rsidRPr="00213DF3" w:rsidRDefault="00213DF3" w:rsidP="00213DF3">
      <w:pPr>
        <w:spacing w:line="360" w:lineRule="auto"/>
        <w:ind w:firstLine="708"/>
        <w:jc w:val="both"/>
        <w:rPr>
          <w:rFonts w:ascii="Times New Roman" w:hAnsi="Times New Roman" w:cs="Times New Roman"/>
          <w:sz w:val="24"/>
          <w:szCs w:val="24"/>
          <w:lang w:val="en-GB"/>
        </w:rPr>
      </w:pPr>
      <w:proofErr w:type="spellStart"/>
      <w:r w:rsidRPr="00213DF3">
        <w:rPr>
          <w:rFonts w:ascii="Times New Roman" w:hAnsi="Times New Roman" w:cs="Times New Roman"/>
          <w:sz w:val="24"/>
          <w:szCs w:val="24"/>
          <w:lang w:val="en-GB"/>
        </w:rPr>
        <w:lastRenderedPageBreak/>
        <w:t>Европейските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политики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фокусират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върху</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засилената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Гаранция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младежта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финансирана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ЕСФ+ и </w:t>
      </w:r>
      <w:proofErr w:type="spellStart"/>
      <w:r w:rsidRPr="00213DF3">
        <w:rPr>
          <w:rFonts w:ascii="Times New Roman" w:hAnsi="Times New Roman" w:cs="Times New Roman"/>
          <w:sz w:val="24"/>
          <w:szCs w:val="24"/>
          <w:lang w:val="en-GB"/>
        </w:rPr>
        <w:t>Механизма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възстановяване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устойчивост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със</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съчетание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субсидирани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входни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позиции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дуално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обучение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стажове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валидиране</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умения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таргетирани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обучения</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цифрови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зелени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компетентности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социална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подкрепа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за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грижи</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мобилност</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Това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намалява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бариерите</w:t>
      </w:r>
      <w:proofErr w:type="spellEnd"/>
      <w:r w:rsidRPr="00213DF3">
        <w:rPr>
          <w:rFonts w:ascii="Times New Roman" w:hAnsi="Times New Roman" w:cs="Times New Roman"/>
          <w:sz w:val="24"/>
          <w:szCs w:val="24"/>
          <w:lang w:val="en-GB"/>
        </w:rPr>
        <w:t xml:space="preserve"> и </w:t>
      </w:r>
      <w:proofErr w:type="spellStart"/>
      <w:r w:rsidRPr="00213DF3">
        <w:rPr>
          <w:rFonts w:ascii="Times New Roman" w:hAnsi="Times New Roman" w:cs="Times New Roman"/>
          <w:sz w:val="24"/>
          <w:szCs w:val="24"/>
          <w:lang w:val="en-GB"/>
        </w:rPr>
        <w:t>съкращава</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времето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първи</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устойчив</w:t>
      </w:r>
      <w:proofErr w:type="spellEnd"/>
      <w:r w:rsidRPr="00213DF3">
        <w:rPr>
          <w:rFonts w:ascii="Times New Roman" w:hAnsi="Times New Roman" w:cs="Times New Roman"/>
          <w:sz w:val="24"/>
          <w:szCs w:val="24"/>
          <w:lang w:val="en-GB"/>
        </w:rPr>
        <w:t xml:space="preserve"> </w:t>
      </w:r>
      <w:proofErr w:type="spellStart"/>
      <w:r w:rsidRPr="00213DF3">
        <w:rPr>
          <w:rFonts w:ascii="Times New Roman" w:hAnsi="Times New Roman" w:cs="Times New Roman"/>
          <w:sz w:val="24"/>
          <w:szCs w:val="24"/>
          <w:lang w:val="en-GB"/>
        </w:rPr>
        <w:t>договор</w:t>
      </w:r>
      <w:proofErr w:type="spellEnd"/>
      <w:r w:rsidRPr="00213DF3">
        <w:rPr>
          <w:rFonts w:ascii="Times New Roman" w:hAnsi="Times New Roman" w:cs="Times New Roman"/>
          <w:sz w:val="24"/>
          <w:szCs w:val="24"/>
          <w:lang w:val="en-GB"/>
        </w:rPr>
        <w:t>.</w:t>
      </w:r>
    </w:p>
    <w:p w14:paraId="6BA3EAE4" w14:textId="77777777" w:rsidR="00213DF3" w:rsidRPr="009C30C5" w:rsidRDefault="00213DF3" w:rsidP="009C30C5">
      <w:pPr>
        <w:spacing w:line="360" w:lineRule="auto"/>
        <w:ind w:firstLine="708"/>
        <w:jc w:val="both"/>
        <w:rPr>
          <w:rFonts w:ascii="Times New Roman" w:hAnsi="Times New Roman" w:cs="Times New Roman"/>
          <w:sz w:val="24"/>
          <w:szCs w:val="24"/>
        </w:rPr>
      </w:pPr>
    </w:p>
    <w:p w14:paraId="464ABB31" w14:textId="77777777" w:rsidR="002656AE" w:rsidRPr="003E1F48" w:rsidRDefault="002656AE" w:rsidP="00A1042F">
      <w:pPr>
        <w:spacing w:line="360" w:lineRule="auto"/>
        <w:ind w:firstLine="708"/>
        <w:jc w:val="both"/>
        <w:rPr>
          <w:rFonts w:ascii="Times New Roman" w:hAnsi="Times New Roman" w:cs="Times New Roman"/>
          <w:sz w:val="24"/>
          <w:szCs w:val="24"/>
        </w:rPr>
      </w:pPr>
    </w:p>
    <w:p w14:paraId="7307DE80" w14:textId="77777777" w:rsidR="00694738" w:rsidRPr="003E1F48" w:rsidRDefault="00694738">
      <w:pPr>
        <w:rPr>
          <w:rFonts w:ascii="Times New Roman" w:hAnsi="Times New Roman" w:cs="Times New Roman"/>
          <w:b/>
          <w:bCs/>
          <w:sz w:val="24"/>
          <w:szCs w:val="24"/>
        </w:rPr>
      </w:pPr>
      <w:r w:rsidRPr="003E1F48">
        <w:rPr>
          <w:rFonts w:ascii="Times New Roman" w:hAnsi="Times New Roman" w:cs="Times New Roman"/>
          <w:b/>
          <w:bCs/>
          <w:sz w:val="24"/>
          <w:szCs w:val="24"/>
        </w:rPr>
        <w:br w:type="page"/>
      </w:r>
    </w:p>
    <w:p w14:paraId="664889C9" w14:textId="33529CDD" w:rsidR="00D26F56" w:rsidRDefault="00A1042F" w:rsidP="00D26F56">
      <w:pPr>
        <w:spacing w:line="360" w:lineRule="auto"/>
        <w:ind w:firstLine="708"/>
        <w:jc w:val="both"/>
        <w:rPr>
          <w:rFonts w:ascii="Times New Roman" w:hAnsi="Times New Roman" w:cs="Times New Roman"/>
          <w:b/>
          <w:bCs/>
          <w:sz w:val="24"/>
          <w:szCs w:val="24"/>
        </w:rPr>
      </w:pPr>
      <w:r w:rsidRPr="00D26F56">
        <w:rPr>
          <w:rFonts w:ascii="Times New Roman" w:hAnsi="Times New Roman" w:cs="Times New Roman"/>
          <w:b/>
          <w:bCs/>
          <w:sz w:val="24"/>
          <w:szCs w:val="24"/>
        </w:rPr>
        <w:lastRenderedPageBreak/>
        <w:t xml:space="preserve">Втора глава. </w:t>
      </w:r>
      <w:r w:rsidR="00D26F56" w:rsidRPr="00D26F56">
        <w:rPr>
          <w:rFonts w:ascii="Times New Roman" w:hAnsi="Times New Roman" w:cs="Times New Roman"/>
          <w:b/>
          <w:bCs/>
          <w:sz w:val="24"/>
          <w:szCs w:val="24"/>
        </w:rPr>
        <w:t>Сравнителен анализ на PESTEL профилите по държави: България, Хърватска и Нидерландия</w:t>
      </w:r>
    </w:p>
    <w:p w14:paraId="78FC640C" w14:textId="4A81D358" w:rsidR="00D26F56" w:rsidRPr="00D26F56" w:rsidRDefault="00D26F56" w:rsidP="00D26F56">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D26F56">
        <w:rPr>
          <w:rFonts w:ascii="Times New Roman" w:hAnsi="Times New Roman" w:cs="Times New Roman"/>
          <w:b/>
          <w:bCs/>
          <w:sz w:val="24"/>
          <w:szCs w:val="24"/>
        </w:rPr>
        <w:t>PESTEL</w:t>
      </w:r>
      <w:r>
        <w:rPr>
          <w:rFonts w:ascii="Times New Roman" w:hAnsi="Times New Roman" w:cs="Times New Roman"/>
          <w:b/>
          <w:bCs/>
          <w:sz w:val="24"/>
          <w:szCs w:val="24"/>
        </w:rPr>
        <w:t xml:space="preserve"> профил на България</w:t>
      </w:r>
    </w:p>
    <w:p w14:paraId="07DAD04B" w14:textId="77777777" w:rsidR="00D26F56" w:rsidRPr="003E1F48" w:rsidRDefault="00D26F56" w:rsidP="00D26F56">
      <w:pPr>
        <w:spacing w:line="360" w:lineRule="auto"/>
        <w:ind w:firstLine="708"/>
        <w:jc w:val="both"/>
        <w:rPr>
          <w:rFonts w:ascii="Times New Roman" w:hAnsi="Times New Roman" w:cs="Times New Roman"/>
          <w:sz w:val="24"/>
          <w:szCs w:val="24"/>
        </w:rPr>
      </w:pPr>
      <w:r w:rsidRPr="00D26F56">
        <w:rPr>
          <w:rFonts w:ascii="Times New Roman" w:hAnsi="Times New Roman" w:cs="Times New Roman"/>
          <w:sz w:val="24"/>
          <w:szCs w:val="24"/>
        </w:rPr>
        <w:t>PESTEL профилът на България очертава комплексната макросреда, в която се формират тенденциите на младежката трудова неактивност в постпандемичния период. Страната се характеризира с дълбоки структурни различия между регионите, умерено икономическо възстановяване след 2020 г. и сравнително нисък институционален капацитет за активиране</w:t>
      </w:r>
      <w:r w:rsidRPr="008D35C5">
        <w:rPr>
          <w:rFonts w:ascii="Times New Roman" w:hAnsi="Times New Roman" w:cs="Times New Roman"/>
          <w:sz w:val="24"/>
          <w:szCs w:val="24"/>
        </w:rPr>
        <w:t xml:space="preserve"> на младите хора извън пазара на труда. </w:t>
      </w:r>
      <w:r w:rsidRPr="003E1F48">
        <w:rPr>
          <w:rFonts w:ascii="Times New Roman" w:hAnsi="Times New Roman" w:cs="Times New Roman"/>
          <w:sz w:val="24"/>
          <w:szCs w:val="24"/>
        </w:rPr>
        <w:t>Регионалните структурни различия в България очертават ясно разграничен контраст между столичния Югозападен регион и периферните NUTS-2 зони по линия на производителност, възнаграждения и шансове за преход „образование–работа“. През 2023 г. три български NUTS-2 региона са под 50% от средното за ЕС по БВП на човек (ППС), което системно ограничава търсенето на труд и капацитета за абсорбция на млади кадри, докато столицата концентрира високопродуктивни дейности и по-голям дял на висококвалифицирана заетост</w:t>
      </w:r>
      <w:r w:rsidRPr="003E1F48">
        <w:t xml:space="preserve"> </w:t>
      </w:r>
      <w:r w:rsidRPr="003E1F48">
        <w:rPr>
          <w:rFonts w:ascii="Times New Roman" w:hAnsi="Times New Roman" w:cs="Times New Roman"/>
          <w:sz w:val="24"/>
          <w:szCs w:val="24"/>
        </w:rPr>
        <w:t>(Eurostat, 2025a).Контрастът се вижда и по заплати: през IV трим. 2024 г. средната брутна заплата за страната е 2 413 лв., но София (столица) остава единственият район с над 3 000 лв. средно възнаграждение, което „изтегля“ нагоре и целия Югозападен регион спрямо останалите области</w:t>
      </w:r>
      <w:r w:rsidRPr="003E1F48">
        <w:t xml:space="preserve"> </w:t>
      </w:r>
      <w:r w:rsidRPr="003E1F48">
        <w:rPr>
          <w:rFonts w:ascii="Times New Roman" w:hAnsi="Times New Roman" w:cs="Times New Roman"/>
          <w:sz w:val="24"/>
          <w:szCs w:val="24"/>
        </w:rPr>
        <w:t>Национален статистически институт (2025b). В социалното измерение неравенствата се материализират чрез NEET: през 2024 г. столичният регион е сред европейските столици с много нисък NEET и стойност с 6,5 пункта под националната, докато в Северозападен NEET при младежите мъже достига 25,7% — една от най-високите мъжки стойности в ЕС, сигнал за акумулирани образователни и пазарни бариери</w:t>
      </w:r>
      <w:r w:rsidRPr="003E1F48">
        <w:t xml:space="preserve"> </w:t>
      </w:r>
      <w:r w:rsidRPr="003E1F48">
        <w:rPr>
          <w:rFonts w:ascii="Times New Roman" w:hAnsi="Times New Roman" w:cs="Times New Roman"/>
          <w:sz w:val="24"/>
          <w:szCs w:val="24"/>
        </w:rPr>
        <w:t>(Eurostat, 2024a). Пазарната страна подсилва пропастта: делът на свободните работни места извън столичния полюс е трайно нисък(например около 0,5–0,8% в Северна и Югоизточна България през 2022–2024 г.), което при равни други условия удължава времето до първа заетост за младите; същевременно общият европейски тренд след пика от 2022 г. е на спад на вакантните места, което допълнително свива „прозореца“ за навлизане на периферни групи</w:t>
      </w:r>
      <w:r w:rsidRPr="003E1F48">
        <w:t xml:space="preserve"> </w:t>
      </w:r>
      <w:r w:rsidRPr="003E1F48">
        <w:rPr>
          <w:rFonts w:ascii="Times New Roman" w:hAnsi="Times New Roman" w:cs="Times New Roman"/>
          <w:sz w:val="24"/>
          <w:szCs w:val="24"/>
        </w:rPr>
        <w:t xml:space="preserve">(Eurostat, 2025c). </w:t>
      </w:r>
    </w:p>
    <w:p w14:paraId="707592C7" w14:textId="6ED7A8BF" w:rsidR="00D26F56" w:rsidRDefault="00D26F56" w:rsidP="00D26F56">
      <w:pPr>
        <w:spacing w:line="360" w:lineRule="auto"/>
        <w:ind w:firstLine="708"/>
        <w:jc w:val="both"/>
        <w:rPr>
          <w:rFonts w:ascii="Times New Roman" w:hAnsi="Times New Roman" w:cs="Times New Roman"/>
          <w:sz w:val="24"/>
          <w:szCs w:val="24"/>
        </w:rPr>
      </w:pPr>
      <w:r w:rsidRPr="008D35C5">
        <w:rPr>
          <w:rFonts w:ascii="Times New Roman" w:hAnsi="Times New Roman" w:cs="Times New Roman"/>
          <w:sz w:val="24"/>
          <w:szCs w:val="24"/>
        </w:rPr>
        <w:lastRenderedPageBreak/>
        <w:t xml:space="preserve">Анализът по шестте измерения на </w:t>
      </w:r>
      <w:r w:rsidRPr="003E1F48">
        <w:rPr>
          <w:rFonts w:ascii="Times New Roman" w:hAnsi="Times New Roman" w:cs="Times New Roman"/>
          <w:sz w:val="24"/>
          <w:szCs w:val="24"/>
        </w:rPr>
        <w:t xml:space="preserve"> PESTEL </w:t>
      </w:r>
      <w:r w:rsidRPr="008D35C5">
        <w:rPr>
          <w:rFonts w:ascii="Times New Roman" w:hAnsi="Times New Roman" w:cs="Times New Roman"/>
          <w:sz w:val="24"/>
          <w:szCs w:val="24"/>
        </w:rPr>
        <w:t>модела позволява да се разкрият контекстуалните фактори, които едновременно ограничават и потенциално стимулират процесите на младежка заетост</w:t>
      </w:r>
      <w:r w:rsidR="00771F88">
        <w:rPr>
          <w:rFonts w:ascii="Times New Roman" w:hAnsi="Times New Roman" w:cs="Times New Roman"/>
          <w:sz w:val="24"/>
          <w:szCs w:val="24"/>
        </w:rPr>
        <w:t xml:space="preserve"> (Табл. 1)</w:t>
      </w:r>
    </w:p>
    <w:p w14:paraId="3851D5FD" w14:textId="65664077" w:rsidR="00771F88" w:rsidRDefault="00771F88" w:rsidP="00771F8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Таблица 1. </w:t>
      </w:r>
      <w:r w:rsidRPr="00771F88">
        <w:rPr>
          <w:rFonts w:ascii="Times New Roman" w:hAnsi="Times New Roman" w:cs="Times New Roman"/>
          <w:sz w:val="24"/>
          <w:szCs w:val="24"/>
        </w:rPr>
        <w:t>PESTEL</w:t>
      </w:r>
      <w:r>
        <w:rPr>
          <w:rFonts w:ascii="Times New Roman" w:hAnsi="Times New Roman" w:cs="Times New Roman"/>
          <w:sz w:val="24"/>
          <w:szCs w:val="24"/>
        </w:rPr>
        <w:t xml:space="preserve"> профил на България</w:t>
      </w:r>
    </w:p>
    <w:p w14:paraId="5E415100" w14:textId="45F451E4" w:rsidR="00771F88" w:rsidRDefault="00771F88" w:rsidP="00771F8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 Анализ на автора</w:t>
      </w:r>
    </w:p>
    <w:tbl>
      <w:tblPr>
        <w:tblStyle w:val="TableGrid"/>
        <w:tblW w:w="0" w:type="auto"/>
        <w:tblLook w:val="04A0" w:firstRow="1" w:lastRow="0" w:firstColumn="1" w:lastColumn="0" w:noHBand="0" w:noVBand="1"/>
      </w:tblPr>
      <w:tblGrid>
        <w:gridCol w:w="1726"/>
        <w:gridCol w:w="4584"/>
        <w:gridCol w:w="3040"/>
      </w:tblGrid>
      <w:tr w:rsidR="00771F88" w:rsidRPr="00771F88" w14:paraId="27D07622" w14:textId="77777777" w:rsidTr="00771F88">
        <w:tc>
          <w:tcPr>
            <w:tcW w:w="0" w:type="auto"/>
            <w:hideMark/>
          </w:tcPr>
          <w:p w14:paraId="4BF46B85"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Измерение</w:t>
            </w:r>
            <w:proofErr w:type="spellEnd"/>
          </w:p>
        </w:tc>
        <w:tc>
          <w:tcPr>
            <w:tcW w:w="0" w:type="auto"/>
            <w:hideMark/>
          </w:tcPr>
          <w:p w14:paraId="7ACDB863"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Ключови</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наблюдения</w:t>
            </w:r>
            <w:proofErr w:type="spellEnd"/>
          </w:p>
        </w:tc>
        <w:tc>
          <w:tcPr>
            <w:tcW w:w="0" w:type="auto"/>
            <w:hideMark/>
          </w:tcPr>
          <w:p w14:paraId="41279D75"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Последствия</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за</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младежите</w:t>
            </w:r>
            <w:proofErr w:type="spellEnd"/>
            <w:r w:rsidRPr="00771F88">
              <w:rPr>
                <w:rFonts w:ascii="Times New Roman" w:eastAsia="Times New Roman" w:hAnsi="Times New Roman" w:cs="Times New Roman"/>
                <w:b/>
                <w:bCs/>
                <w:sz w:val="24"/>
                <w:szCs w:val="24"/>
                <w:lang w:val="en-GB" w:eastAsia="en-GB"/>
              </w:rPr>
              <w:t xml:space="preserve"> (NEET)</w:t>
            </w:r>
          </w:p>
        </w:tc>
      </w:tr>
      <w:tr w:rsidR="00771F88" w:rsidRPr="00771F88" w14:paraId="0E2595AF" w14:textId="77777777" w:rsidTr="00771F88">
        <w:tc>
          <w:tcPr>
            <w:tcW w:w="0" w:type="auto"/>
            <w:hideMark/>
          </w:tcPr>
          <w:p w14:paraId="0350CE06"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Политическо</w:t>
            </w:r>
            <w:proofErr w:type="spellEnd"/>
          </w:p>
        </w:tc>
        <w:tc>
          <w:tcPr>
            <w:tcW w:w="0" w:type="auto"/>
            <w:hideMark/>
          </w:tcPr>
          <w:p w14:paraId="4DFC5D3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Централизирано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планиране</w:t>
            </w:r>
            <w:proofErr w:type="spellEnd"/>
            <w:r w:rsidRPr="00771F88">
              <w:rPr>
                <w:rFonts w:ascii="Times New Roman" w:eastAsia="Times New Roman" w:hAnsi="Times New Roman" w:cs="Times New Roman"/>
                <w:sz w:val="24"/>
                <w:szCs w:val="24"/>
                <w:lang w:val="en-GB" w:eastAsia="en-GB"/>
              </w:rPr>
              <w:t xml:space="preserve"> (МТСП/АЗ); </w:t>
            </w:r>
            <w:proofErr w:type="spellStart"/>
            <w:r w:rsidRPr="00771F88">
              <w:rPr>
                <w:rFonts w:ascii="Times New Roman" w:eastAsia="Times New Roman" w:hAnsi="Times New Roman" w:cs="Times New Roman"/>
                <w:sz w:val="24"/>
                <w:szCs w:val="24"/>
                <w:lang w:val="en-GB" w:eastAsia="en-GB"/>
              </w:rPr>
              <w:t>силна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зависимост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ЕСФ+ и „</w:t>
            </w:r>
            <w:proofErr w:type="spellStart"/>
            <w:r w:rsidRPr="00771F88">
              <w:rPr>
                <w:rFonts w:ascii="Times New Roman" w:eastAsia="Times New Roman" w:hAnsi="Times New Roman" w:cs="Times New Roman"/>
                <w:sz w:val="24"/>
                <w:szCs w:val="24"/>
                <w:lang w:val="en-GB" w:eastAsia="en-GB"/>
              </w:rPr>
              <w:t>Гаранция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младежта</w:t>
            </w:r>
            <w:proofErr w:type="spellEnd"/>
            <w:r w:rsidRPr="00771F88">
              <w:rPr>
                <w:rFonts w:ascii="Times New Roman" w:eastAsia="Times New Roman" w:hAnsi="Times New Roman" w:cs="Times New Roman"/>
                <w:sz w:val="24"/>
                <w:szCs w:val="24"/>
                <w:lang w:val="en-GB" w:eastAsia="en-GB"/>
              </w:rPr>
              <w:t>“</w:t>
            </w:r>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нисък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дял</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разходи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активни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политики</w:t>
            </w:r>
            <w:proofErr w:type="spellEnd"/>
            <w:r w:rsidRPr="00771F88">
              <w:rPr>
                <w:rFonts w:ascii="Times New Roman" w:eastAsia="Times New Roman" w:hAnsi="Times New Roman" w:cs="Times New Roman"/>
                <w:sz w:val="24"/>
                <w:szCs w:val="24"/>
                <w:lang w:val="en-GB" w:eastAsia="en-GB"/>
              </w:rPr>
              <w:t xml:space="preserve"> (~0,16% БВП); </w:t>
            </w:r>
            <w:proofErr w:type="spellStart"/>
            <w:r w:rsidRPr="00771F88">
              <w:rPr>
                <w:rFonts w:ascii="Times New Roman" w:eastAsia="Times New Roman" w:hAnsi="Times New Roman" w:cs="Times New Roman"/>
                <w:sz w:val="24"/>
                <w:szCs w:val="24"/>
                <w:lang w:val="en-GB" w:eastAsia="en-GB"/>
              </w:rPr>
              <w:t>честа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смяна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правителства</w:t>
            </w:r>
            <w:proofErr w:type="spellEnd"/>
            <w:r w:rsidRPr="00771F88">
              <w:rPr>
                <w:rFonts w:ascii="Times New Roman" w:eastAsia="Times New Roman" w:hAnsi="Times New Roman" w:cs="Times New Roman"/>
                <w:sz w:val="24"/>
                <w:szCs w:val="24"/>
                <w:lang w:val="en-GB" w:eastAsia="en-GB"/>
              </w:rPr>
              <w:t xml:space="preserve"> 2021–2023 г.; </w:t>
            </w:r>
            <w:proofErr w:type="spellStart"/>
            <w:r w:rsidRPr="00771F88">
              <w:rPr>
                <w:rFonts w:ascii="Times New Roman" w:eastAsia="Times New Roman" w:hAnsi="Times New Roman" w:cs="Times New Roman"/>
                <w:sz w:val="24"/>
                <w:szCs w:val="24"/>
                <w:lang w:val="en-GB" w:eastAsia="en-GB"/>
              </w:rPr>
              <w:t>мониторинг</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фокусиран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върху</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входни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индикатори</w:t>
            </w:r>
            <w:proofErr w:type="spellEnd"/>
          </w:p>
        </w:tc>
        <w:tc>
          <w:tcPr>
            <w:tcW w:w="0" w:type="auto"/>
            <w:hideMark/>
          </w:tcPr>
          <w:p w14:paraId="65913185"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Непоследователни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приоритети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слаба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проследимост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резултатите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ограничен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мащаб</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дуални</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стажантски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схеми</w:t>
            </w:r>
            <w:proofErr w:type="spellEnd"/>
          </w:p>
        </w:tc>
      </w:tr>
      <w:tr w:rsidR="00771F88" w:rsidRPr="00771F88" w14:paraId="736C0FEF" w14:textId="77777777" w:rsidTr="00771F88">
        <w:tc>
          <w:tcPr>
            <w:tcW w:w="0" w:type="auto"/>
            <w:hideMark/>
          </w:tcPr>
          <w:p w14:paraId="52EC104C"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Икономическо</w:t>
            </w:r>
            <w:proofErr w:type="spellEnd"/>
          </w:p>
        </w:tc>
        <w:tc>
          <w:tcPr>
            <w:tcW w:w="0" w:type="auto"/>
            <w:hideMark/>
          </w:tcPr>
          <w:p w14:paraId="453A1684"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Умерен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растеж</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висок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инфлационен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пик</w:t>
            </w:r>
            <w:proofErr w:type="spellEnd"/>
            <w:r w:rsidRPr="00771F88">
              <w:rPr>
                <w:rFonts w:ascii="Times New Roman" w:eastAsia="Times New Roman" w:hAnsi="Times New Roman" w:cs="Times New Roman"/>
                <w:sz w:val="24"/>
                <w:szCs w:val="24"/>
                <w:lang w:val="en-GB" w:eastAsia="en-GB"/>
              </w:rPr>
              <w:t xml:space="preserve"> (2022); МРЗ </w:t>
            </w:r>
            <w:proofErr w:type="spellStart"/>
            <w:r w:rsidRPr="00771F88">
              <w:rPr>
                <w:rFonts w:ascii="Times New Roman" w:eastAsia="Times New Roman" w:hAnsi="Times New Roman" w:cs="Times New Roman"/>
                <w:sz w:val="24"/>
                <w:szCs w:val="24"/>
                <w:lang w:val="en-GB" w:eastAsia="en-GB"/>
              </w:rPr>
              <w:t>расте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номинално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реалният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доход</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изостава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младежката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безработица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спада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w:t>
            </w:r>
            <w:proofErr w:type="spellEnd"/>
            <w:r w:rsidRPr="00771F88">
              <w:rPr>
                <w:rFonts w:ascii="Times New Roman" w:eastAsia="Times New Roman" w:hAnsi="Times New Roman" w:cs="Times New Roman"/>
                <w:sz w:val="24"/>
                <w:szCs w:val="24"/>
                <w:lang w:val="en-GB" w:eastAsia="en-GB"/>
              </w:rPr>
              <w:t xml:space="preserve"> ~12,3% (2024),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е </w:t>
            </w:r>
            <w:proofErr w:type="spellStart"/>
            <w:r w:rsidRPr="00771F88">
              <w:rPr>
                <w:rFonts w:ascii="Times New Roman" w:eastAsia="Times New Roman" w:hAnsi="Times New Roman" w:cs="Times New Roman"/>
                <w:sz w:val="24"/>
                <w:szCs w:val="24"/>
                <w:lang w:val="en-GB" w:eastAsia="en-GB"/>
              </w:rPr>
              <w:t>крехка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ниска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плътност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вакантности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миграция</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демографски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спад</w:t>
            </w:r>
            <w:proofErr w:type="spellEnd"/>
          </w:p>
        </w:tc>
        <w:tc>
          <w:tcPr>
            <w:tcW w:w="0" w:type="auto"/>
            <w:hideMark/>
          </w:tcPr>
          <w:p w14:paraId="607E96CD"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Слаб</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мачинг</w:t>
            </w:r>
            <w:proofErr w:type="spellEnd"/>
            <w:r w:rsidRPr="00771F88">
              <w:rPr>
                <w:rFonts w:ascii="Times New Roman" w:eastAsia="Times New Roman" w:hAnsi="Times New Roman" w:cs="Times New Roman"/>
                <w:sz w:val="24"/>
                <w:szCs w:val="24"/>
                <w:lang w:val="en-GB" w:eastAsia="en-GB"/>
              </w:rPr>
              <w:t>“ и</w:t>
            </w:r>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ограничена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пазарна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абсорбция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особено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извън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големите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центрове</w:t>
            </w:r>
            <w:proofErr w:type="spellEnd"/>
          </w:p>
        </w:tc>
      </w:tr>
      <w:tr w:rsidR="00771F88" w:rsidRPr="00771F88" w14:paraId="5540050E" w14:textId="77777777" w:rsidTr="00771F88">
        <w:tc>
          <w:tcPr>
            <w:tcW w:w="0" w:type="auto"/>
            <w:hideMark/>
          </w:tcPr>
          <w:p w14:paraId="13AC3F62"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Социално</w:t>
            </w:r>
            <w:proofErr w:type="spellEnd"/>
          </w:p>
        </w:tc>
        <w:tc>
          <w:tcPr>
            <w:tcW w:w="0" w:type="auto"/>
            <w:hideMark/>
          </w:tcPr>
          <w:p w14:paraId="52085A4F"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Застаряване</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изходяща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миграция</w:t>
            </w:r>
            <w:proofErr w:type="spellEnd"/>
            <w:r w:rsidRPr="00771F88">
              <w:rPr>
                <w:rFonts w:ascii="Times New Roman" w:eastAsia="Times New Roman" w:hAnsi="Times New Roman" w:cs="Times New Roman"/>
                <w:sz w:val="24"/>
                <w:szCs w:val="24"/>
                <w:lang w:val="en-GB" w:eastAsia="en-GB"/>
              </w:rPr>
              <w:t xml:space="preserve">; NEET </w:t>
            </w:r>
            <w:proofErr w:type="spellStart"/>
            <w:r w:rsidRPr="00771F88">
              <w:rPr>
                <w:rFonts w:ascii="Times New Roman" w:eastAsia="Times New Roman" w:hAnsi="Times New Roman" w:cs="Times New Roman"/>
                <w:sz w:val="24"/>
                <w:szCs w:val="24"/>
                <w:lang w:val="en-GB" w:eastAsia="en-GB"/>
              </w:rPr>
              <w:t>около</w:t>
            </w:r>
            <w:proofErr w:type="spellEnd"/>
            <w:r w:rsidRPr="00771F88">
              <w:rPr>
                <w:rFonts w:ascii="Times New Roman" w:eastAsia="Times New Roman" w:hAnsi="Times New Roman" w:cs="Times New Roman"/>
                <w:sz w:val="24"/>
                <w:szCs w:val="24"/>
                <w:lang w:val="en-GB" w:eastAsia="en-GB"/>
              </w:rPr>
              <w:t xml:space="preserve"> 12,9% (2024), </w:t>
            </w:r>
            <w:proofErr w:type="spellStart"/>
            <w:r w:rsidRPr="00771F88">
              <w:rPr>
                <w:rFonts w:ascii="Times New Roman" w:eastAsia="Times New Roman" w:hAnsi="Times New Roman" w:cs="Times New Roman"/>
                <w:sz w:val="24"/>
                <w:szCs w:val="24"/>
                <w:lang w:val="en-GB" w:eastAsia="en-GB"/>
              </w:rPr>
              <w:t>концентриран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ниско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образовани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извън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големите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градове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дефицити</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базови</w:t>
            </w:r>
            <w:proofErr w:type="spellEnd"/>
            <w:r w:rsidRPr="00771F88">
              <w:rPr>
                <w:rFonts w:ascii="Times New Roman" w:eastAsia="Times New Roman" w:hAnsi="Times New Roman" w:cs="Times New Roman"/>
                <w:sz w:val="24"/>
                <w:szCs w:val="24"/>
                <w:lang w:val="en-GB" w:eastAsia="en-GB"/>
              </w:rPr>
              <w:t>/STEM/</w:t>
            </w:r>
            <w:proofErr w:type="spellStart"/>
            <w:r w:rsidRPr="00771F88">
              <w:rPr>
                <w:rFonts w:ascii="Times New Roman" w:eastAsia="Times New Roman" w:hAnsi="Times New Roman" w:cs="Times New Roman"/>
                <w:sz w:val="24"/>
                <w:szCs w:val="24"/>
                <w:lang w:val="en-GB" w:eastAsia="en-GB"/>
              </w:rPr>
              <w:t>дигитални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слабо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кариерно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ориентиране</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подкрепа</w:t>
            </w:r>
            <w:proofErr w:type="spellEnd"/>
          </w:p>
        </w:tc>
        <w:tc>
          <w:tcPr>
            <w:tcW w:w="0" w:type="auto"/>
            <w:hideMark/>
          </w:tcPr>
          <w:p w14:paraId="257D5C05"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Кумулативни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бариери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първа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заетост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по-дълги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преходи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училище</w:t>
            </w:r>
            <w:proofErr w:type="spellEnd"/>
            <w:r w:rsidRPr="00771F88">
              <w:rPr>
                <w:rFonts w:ascii="Times New Roman" w:eastAsia="Times New Roman" w:hAnsi="Times New Roman" w:cs="Times New Roman"/>
                <w:sz w:val="24"/>
                <w:szCs w:val="24"/>
                <w:lang w:val="en-GB" w:eastAsia="en-GB"/>
              </w:rPr>
              <w:t>–</w:t>
            </w:r>
            <w:proofErr w:type="spellStart"/>
            <w:proofErr w:type="gramStart"/>
            <w:r w:rsidRPr="00771F88">
              <w:rPr>
                <w:rFonts w:ascii="Times New Roman" w:eastAsia="Times New Roman" w:hAnsi="Times New Roman" w:cs="Times New Roman"/>
                <w:sz w:val="24"/>
                <w:szCs w:val="24"/>
                <w:lang w:val="en-GB" w:eastAsia="en-GB"/>
              </w:rPr>
              <w:t>работа</w:t>
            </w:r>
            <w:proofErr w:type="spellEnd"/>
            <w:r w:rsidRPr="00771F88">
              <w:rPr>
                <w:rFonts w:ascii="Times New Roman" w:eastAsia="Times New Roman" w:hAnsi="Times New Roman" w:cs="Times New Roman"/>
                <w:sz w:val="24"/>
                <w:szCs w:val="24"/>
                <w:lang w:val="en-GB" w:eastAsia="en-GB"/>
              </w:rPr>
              <w:t>“ и</w:t>
            </w:r>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рискове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трайна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неактивност</w:t>
            </w:r>
            <w:proofErr w:type="spellEnd"/>
          </w:p>
        </w:tc>
      </w:tr>
      <w:tr w:rsidR="00771F88" w:rsidRPr="00771F88" w14:paraId="0FD8C9E8" w14:textId="77777777" w:rsidTr="00771F88">
        <w:tc>
          <w:tcPr>
            <w:tcW w:w="0" w:type="auto"/>
            <w:hideMark/>
          </w:tcPr>
          <w:p w14:paraId="140ED0BE"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Технологично</w:t>
            </w:r>
            <w:proofErr w:type="spellEnd"/>
          </w:p>
        </w:tc>
        <w:tc>
          <w:tcPr>
            <w:tcW w:w="0" w:type="auto"/>
            <w:hideMark/>
          </w:tcPr>
          <w:p w14:paraId="176AB6A8"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Напредък</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дигитализацията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България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остава</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долната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част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ЕС </w:t>
            </w:r>
            <w:proofErr w:type="spellStart"/>
            <w:r w:rsidRPr="00771F88">
              <w:rPr>
                <w:rFonts w:ascii="Times New Roman" w:eastAsia="Times New Roman" w:hAnsi="Times New Roman" w:cs="Times New Roman"/>
                <w:sz w:val="24"/>
                <w:szCs w:val="24"/>
                <w:lang w:val="en-GB" w:eastAsia="en-GB"/>
              </w:rPr>
              <w:t>по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дигитални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ползване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е-</w:t>
            </w:r>
            <w:proofErr w:type="spellStart"/>
            <w:r w:rsidRPr="00771F88">
              <w:rPr>
                <w:rFonts w:ascii="Times New Roman" w:eastAsia="Times New Roman" w:hAnsi="Times New Roman" w:cs="Times New Roman"/>
                <w:sz w:val="24"/>
                <w:szCs w:val="24"/>
                <w:lang w:val="en-GB" w:eastAsia="en-GB"/>
              </w:rPr>
              <w:t>услуги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градско</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селски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дигитален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разрив</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частична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дигитализация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публични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услуги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без</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интегрирани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платформи</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регистри</w:t>
            </w:r>
            <w:proofErr w:type="spellEnd"/>
          </w:p>
        </w:tc>
        <w:tc>
          <w:tcPr>
            <w:tcW w:w="0" w:type="auto"/>
            <w:hideMark/>
          </w:tcPr>
          <w:p w14:paraId="73EE1642"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Нови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канали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включване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задълбочаване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неравенствата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ограничено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целево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съвпадение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между</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профили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търсене</w:t>
            </w:r>
            <w:proofErr w:type="spellEnd"/>
          </w:p>
        </w:tc>
      </w:tr>
      <w:tr w:rsidR="00771F88" w:rsidRPr="00771F88" w14:paraId="1FE134FA" w14:textId="77777777" w:rsidTr="00771F88">
        <w:tc>
          <w:tcPr>
            <w:tcW w:w="0" w:type="auto"/>
            <w:hideMark/>
          </w:tcPr>
          <w:p w14:paraId="0AC67A5D"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Екологично</w:t>
            </w:r>
            <w:proofErr w:type="spellEnd"/>
          </w:p>
        </w:tc>
        <w:tc>
          <w:tcPr>
            <w:tcW w:w="0" w:type="auto"/>
            <w:hideMark/>
          </w:tcPr>
          <w:p w14:paraId="7B50F44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Бавен</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неравномерен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зелен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преход</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висока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уязвимост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въглищните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региони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ограничени</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зелени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програми</w:t>
            </w:r>
            <w:proofErr w:type="spellEnd"/>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партньорства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енергийна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бедност</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ниска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енергоефективност</w:t>
            </w:r>
            <w:proofErr w:type="spellEnd"/>
          </w:p>
        </w:tc>
        <w:tc>
          <w:tcPr>
            <w:tcW w:w="0" w:type="auto"/>
            <w:hideMark/>
          </w:tcPr>
          <w:p w14:paraId="6BB87EB1"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Пропуснати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възможности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зелени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работни</w:t>
            </w:r>
            <w:proofErr w:type="spellEnd"/>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места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младежи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особено</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периферията</w:t>
            </w:r>
            <w:proofErr w:type="spellEnd"/>
          </w:p>
        </w:tc>
      </w:tr>
      <w:tr w:rsidR="00771F88" w:rsidRPr="00771F88" w14:paraId="17AFD15B" w14:textId="77777777" w:rsidTr="00771F88">
        <w:tc>
          <w:tcPr>
            <w:tcW w:w="0" w:type="auto"/>
            <w:hideMark/>
          </w:tcPr>
          <w:p w14:paraId="1DBA2B3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Правно</w:t>
            </w:r>
            <w:proofErr w:type="spellEnd"/>
          </w:p>
        </w:tc>
        <w:tc>
          <w:tcPr>
            <w:tcW w:w="0" w:type="auto"/>
            <w:hideMark/>
          </w:tcPr>
          <w:p w14:paraId="0A18D95D"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Хармонизация</w:t>
            </w:r>
            <w:proofErr w:type="spellEnd"/>
            <w:r w:rsidRPr="00771F88">
              <w:rPr>
                <w:rFonts w:ascii="Times New Roman" w:eastAsia="Times New Roman" w:hAnsi="Times New Roman" w:cs="Times New Roman"/>
                <w:sz w:val="24"/>
                <w:szCs w:val="24"/>
                <w:lang w:val="en-GB" w:eastAsia="en-GB"/>
              </w:rPr>
              <w:t xml:space="preserve"> с ЕС </w:t>
            </w:r>
            <w:proofErr w:type="spellStart"/>
            <w:r w:rsidRPr="00771F88">
              <w:rPr>
                <w:rFonts w:ascii="Times New Roman" w:eastAsia="Times New Roman" w:hAnsi="Times New Roman" w:cs="Times New Roman"/>
                <w:sz w:val="24"/>
                <w:szCs w:val="24"/>
                <w:lang w:val="en-GB" w:eastAsia="en-GB"/>
              </w:rPr>
              <w:t>нормите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регулации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дистанционна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работа</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стажове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съществуват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прилагането</w:t>
            </w:r>
            <w:proofErr w:type="spellEnd"/>
            <w:r w:rsidRPr="00771F88">
              <w:rPr>
                <w:rFonts w:ascii="Times New Roman" w:eastAsia="Times New Roman" w:hAnsi="Times New Roman" w:cs="Times New Roman"/>
                <w:sz w:val="24"/>
                <w:szCs w:val="24"/>
                <w:lang w:val="en-GB" w:eastAsia="en-GB"/>
              </w:rPr>
              <w:t xml:space="preserve"> е </w:t>
            </w:r>
            <w:proofErr w:type="spellStart"/>
            <w:r w:rsidRPr="00771F88">
              <w:rPr>
                <w:rFonts w:ascii="Times New Roman" w:eastAsia="Times New Roman" w:hAnsi="Times New Roman" w:cs="Times New Roman"/>
                <w:sz w:val="24"/>
                <w:szCs w:val="24"/>
                <w:lang w:val="en-GB" w:eastAsia="en-GB"/>
              </w:rPr>
              <w:t>слабо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сиви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сегменти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платформен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труд</w:t>
            </w:r>
            <w:proofErr w:type="spellEnd"/>
            <w:r w:rsidRPr="00771F88">
              <w:rPr>
                <w:rFonts w:ascii="Times New Roman" w:eastAsia="Times New Roman" w:hAnsi="Times New Roman" w:cs="Times New Roman"/>
                <w:sz w:val="24"/>
                <w:szCs w:val="24"/>
                <w:lang w:val="en-GB" w:eastAsia="en-GB"/>
              </w:rPr>
              <w:t xml:space="preserve"> с </w:t>
            </w:r>
            <w:proofErr w:type="spellStart"/>
            <w:r w:rsidRPr="00771F88">
              <w:rPr>
                <w:rFonts w:ascii="Times New Roman" w:eastAsia="Times New Roman" w:hAnsi="Times New Roman" w:cs="Times New Roman"/>
                <w:sz w:val="24"/>
                <w:szCs w:val="24"/>
                <w:lang w:val="en-GB" w:eastAsia="en-GB"/>
              </w:rPr>
              <w:lastRenderedPageBreak/>
              <w:t>непълна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защита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тежка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администрация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субсидираната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заетост</w:t>
            </w:r>
            <w:proofErr w:type="spellEnd"/>
          </w:p>
        </w:tc>
        <w:tc>
          <w:tcPr>
            <w:tcW w:w="0" w:type="auto"/>
            <w:hideMark/>
          </w:tcPr>
          <w:p w14:paraId="76578C57"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lastRenderedPageBreak/>
              <w:t>Ограничена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реална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защита</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включване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във</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формална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заетост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ефектът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lastRenderedPageBreak/>
              <w:t>нормите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върху</w:t>
            </w:r>
            <w:proofErr w:type="spellEnd"/>
            <w:r w:rsidRPr="00771F88">
              <w:rPr>
                <w:rFonts w:ascii="Times New Roman" w:eastAsia="Times New Roman" w:hAnsi="Times New Roman" w:cs="Times New Roman"/>
                <w:sz w:val="24"/>
                <w:szCs w:val="24"/>
                <w:lang w:val="en-GB" w:eastAsia="en-GB"/>
              </w:rPr>
              <w:t xml:space="preserve"> NEET е </w:t>
            </w:r>
            <w:proofErr w:type="spellStart"/>
            <w:r w:rsidRPr="00771F88">
              <w:rPr>
                <w:rFonts w:ascii="Times New Roman" w:eastAsia="Times New Roman" w:hAnsi="Times New Roman" w:cs="Times New Roman"/>
                <w:sz w:val="24"/>
                <w:szCs w:val="24"/>
                <w:lang w:val="en-GB" w:eastAsia="en-GB"/>
              </w:rPr>
              <w:t>слаб</w:t>
            </w:r>
            <w:proofErr w:type="spellEnd"/>
          </w:p>
        </w:tc>
      </w:tr>
    </w:tbl>
    <w:p w14:paraId="3486258C" w14:textId="77777777" w:rsidR="00771F88" w:rsidRPr="008D35C5" w:rsidRDefault="00771F88" w:rsidP="00D26F56">
      <w:pPr>
        <w:spacing w:line="360" w:lineRule="auto"/>
        <w:ind w:firstLine="708"/>
        <w:jc w:val="both"/>
        <w:rPr>
          <w:rFonts w:ascii="Times New Roman" w:hAnsi="Times New Roman" w:cs="Times New Roman"/>
          <w:sz w:val="24"/>
          <w:szCs w:val="24"/>
        </w:rPr>
      </w:pPr>
    </w:p>
    <w:p w14:paraId="698CCBB6" w14:textId="77777777" w:rsidR="00D26F56" w:rsidRPr="00B41548"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Политическото измерение</w:t>
      </w:r>
      <w:r w:rsidRPr="00B41548">
        <w:rPr>
          <w:rFonts w:ascii="Times New Roman" w:hAnsi="Times New Roman" w:cs="Times New Roman"/>
          <w:sz w:val="24"/>
          <w:szCs w:val="24"/>
        </w:rPr>
        <w:t xml:space="preserve"> в България след 2020 г. се характеризира с централизирана архитектура на активните политики на пазара на труда, при която Министерството на труда и социалната политика формулира приоритетите, а Агенцията по заетостта и мрежата от бюра по труда изпълняват оперативно мерки, финансирани основно по линия на Европейския социален фонд+ и инициативата „Гаранция за младежта“ (Eurostat, 2025). Въпреки хармонизираната с европейските стандарти нормативна рамка, капацитетът за резултатно прилагане остава ограничен, тъй като проследимостта на ефектите се концентрира върху входни индикатори, а оценката на реални преходи „образование–работа“ е епизодична (OECD, 2025b). Публичните разходи за активни мерки са ниски по европейски стандарти — около 0,16% от БВП през 2021 г., което позиционира страната в долния квинтил на ЕС и предполага ограничен интензитет на подкрепата за групите с най-висок риск от NEET (OECD, 2025b). Данните от LMP сериите регистрират ръст на услугите на публичните служби по заетостта и на обученията/стажовете през 2021–2022 г., но от ниска изходна база и след доминираща пасивна подкрепа в кризисната 2020 г. (OECD, 2025b). Политическата нестабилност през 2021–2023 г., белязана от поредица служебни кабинети, допълнително ерозира последователността на приоритетите и хоризонта на стратегическо планиране, включително необходимите многогодишни ангажименти за мащабиране на дуални и стажантски схеми, за изграждане на работодателски партньорства и за институционализиране на мониторинг по резултатни индикатори (Eurostat, 2025; OECD, 2025b). В резултат, въпреки видимото активизиране на програмите след 2021 г., зависимостта от външно финансиране, административната фрагментираност между централни и регионални структури и дефицитите в оценката на въздействието ограничават дълбочината и устойчивостта на интервенциите спрямо младежите извън заетост и образование (Eurostat, 2025; OECD, 2025b).</w:t>
      </w:r>
    </w:p>
    <w:p w14:paraId="596FE2DA" w14:textId="77777777" w:rsidR="00D26F56" w:rsidRPr="003E1F48"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Икономическото измерение</w:t>
      </w:r>
      <w:r w:rsidRPr="00B41548">
        <w:rPr>
          <w:rFonts w:ascii="Times New Roman" w:hAnsi="Times New Roman" w:cs="Times New Roman"/>
          <w:sz w:val="24"/>
          <w:szCs w:val="24"/>
        </w:rPr>
        <w:t xml:space="preserve"> на младежката неактивност в България след 2020 г. се формира в контекст на умерен, но чувствителен към външни шокове растеж и силен инфлационен натиск през 2022 г., когато хармонизираният индекс на потребителските цени достига 14,3% през декември, ерозирайки покупателната способност на заплатите (NSI, </w:t>
      </w:r>
      <w:r w:rsidRPr="00B41548">
        <w:rPr>
          <w:rFonts w:ascii="Times New Roman" w:hAnsi="Times New Roman" w:cs="Times New Roman"/>
          <w:sz w:val="24"/>
          <w:szCs w:val="24"/>
        </w:rPr>
        <w:lastRenderedPageBreak/>
        <w:t xml:space="preserve">2023). Въпреки значимото номинално нарастване на минималната работна заплата — от 610 лв. през 2020 г. до 933 лв. през 2024 г. — реалният доход на младите наемни работници изостава от средните равнища в ЕС, тъй като динамиката на цените през 2022 г. изпреварва ръста на възнагражденията (Eurofound, 2024; CountryEconomy, 2025). По линия на младежката безработица се наблюдава постепенен спад след пандемичния пик: показателят за възрастовата група 15–24 г. намалява от приблизително 17–18% около 2020 г. до близо 12,3% през 2024 г., но подобрението е крехко и податливо на циклични колебания, което отразява както структурата на търсенето на труд, така и демографското свиване на кохортите (NSI, 2025; Eurostat, 2025a). Пазарната абсорбция остава ограничена от ниската плътност на свободните работни места: България е сред държавите с по-нисък процент на вакантности през 2022–2024 г. спрямо северноевропейските икономики, на фона на общоевропейски връх през 2022 г., последван от спад през 2023–2024 г. (Eurostat, 2025b). На този фон изходящата миграция и отрицателната естествена промяна поддържат дългосрочно демографско свиване, което намалява броя на младежите, навлизащи на пазара на труда, и затруднява поддържането на висок оборот на заетостта в периферните региони (NSI, 2025). </w:t>
      </w:r>
    </w:p>
    <w:p w14:paraId="345EA7F4" w14:textId="77777777" w:rsidR="00D26F56" w:rsidRPr="00B41548" w:rsidRDefault="00D26F56" w:rsidP="00D26F56">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Като цяло</w:t>
      </w:r>
      <w:r w:rsidRPr="00B41548">
        <w:rPr>
          <w:rFonts w:ascii="Times New Roman" w:hAnsi="Times New Roman" w:cs="Times New Roman"/>
          <w:sz w:val="24"/>
          <w:szCs w:val="24"/>
        </w:rPr>
        <w:t>, икономическите детерминанти на младежката неактивност през 2020–2024 г. са обусловени от ниската възвращаемост на труда в долните квантилни разпределения на заплащането, слабия „мачинг“ между образователни профили и реални пазарни нужди и продължаващата регионална концентрация на инвестиции около София и няколко индустриални зони — конфигурация, която изисква паралелни интервенции в динамиката на заплащането, стимули за инвестиране извън столичния център и ускорено свързване на образованието с търсените умения (Invest Sofia, 2022; IME, 2018).</w:t>
      </w:r>
    </w:p>
    <w:p w14:paraId="2E5DFE8E" w14:textId="77777777" w:rsidR="00D26F56" w:rsidRPr="00DF65BB"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Социалното измерение</w:t>
      </w:r>
      <w:r w:rsidRPr="00DF65BB">
        <w:rPr>
          <w:rFonts w:ascii="Times New Roman" w:hAnsi="Times New Roman" w:cs="Times New Roman"/>
          <w:sz w:val="24"/>
          <w:szCs w:val="24"/>
        </w:rPr>
        <w:t xml:space="preserve"> на PESTEL профила на България се формира от съвкупност от демографско застаряване, изходяща миграция и устойчиви образователно-пазарни несъответствия, които забавят прехода към първа заетост на младите. Ниският естествен прираст и последователните миграционни отливи свиват кохортата 15–29 г. и редуцират „пула“ за младежка заетост, а натискът е по-силен в периферните и селските територии (NSI, 2025). Делът на младежите, които не работят и не учат, остава над средното за ЕС и се задържа около 12,9% през 2024 г. Най-рискови са лицата с ниско образование, живеещи </w:t>
      </w:r>
      <w:r w:rsidRPr="00DF65BB">
        <w:rPr>
          <w:rFonts w:ascii="Times New Roman" w:hAnsi="Times New Roman" w:cs="Times New Roman"/>
          <w:sz w:val="24"/>
          <w:szCs w:val="24"/>
        </w:rPr>
        <w:lastRenderedPageBreak/>
        <w:t>в малки населени места и икономически изоставащи региони. Жените извън големите градове по-често изпадат в продължителна неактивност поради грижи и ограничен локален достъп до услуги (Eurostat, 2025a).</w:t>
      </w:r>
    </w:p>
    <w:p w14:paraId="66FB48ED" w14:textId="77777777" w:rsidR="00D26F56" w:rsidRPr="00DF65BB" w:rsidRDefault="00D26F56" w:rsidP="00D26F56">
      <w:pPr>
        <w:spacing w:line="360" w:lineRule="auto"/>
        <w:ind w:firstLine="708"/>
        <w:jc w:val="both"/>
        <w:rPr>
          <w:rFonts w:ascii="Times New Roman" w:hAnsi="Times New Roman" w:cs="Times New Roman"/>
          <w:sz w:val="24"/>
          <w:szCs w:val="24"/>
        </w:rPr>
      </w:pPr>
      <w:r w:rsidRPr="00DF65BB">
        <w:rPr>
          <w:rFonts w:ascii="Times New Roman" w:hAnsi="Times New Roman" w:cs="Times New Roman"/>
          <w:sz w:val="24"/>
          <w:szCs w:val="24"/>
        </w:rPr>
        <w:t>Образователната ангажираност е структурно неравномерна. Наблюдават се дефицити в базови умения и в STEM/дигиталните компетентности, а високият дял на ранни отпадания в определени общности и сектори подкопава акумулирането на човешки капитал. В резултат съвпадането между завършени квалификации и търсенето на труда остава слабо, което удължава времето „училище–работа“ и намалява вероятността за стабилно включване (OECD, 2024; Eurostat, 2025b). Културните нагласи към труда и предприемачеството са по-консервативни в сравнение със средните за ЕС стойности. Това се проявява в по-ниска толерантност към риск и по-умерени намерения за стартиране на бизнес сред младите. Училищната среда рядко осигурява систематично кариерно ориентиране, а достъпът до психологическа подкрепа и ранна интервенция е ограничен, особено извън големите градове (GEM, 2023; OECD, 2024).</w:t>
      </w:r>
    </w:p>
    <w:p w14:paraId="5129A6E8" w14:textId="77777777" w:rsidR="00D26F56" w:rsidRPr="00DF65BB" w:rsidRDefault="00D26F56" w:rsidP="00D26F56">
      <w:pPr>
        <w:spacing w:line="360" w:lineRule="auto"/>
        <w:ind w:firstLine="708"/>
        <w:jc w:val="both"/>
        <w:rPr>
          <w:rFonts w:ascii="Times New Roman" w:hAnsi="Times New Roman" w:cs="Times New Roman"/>
          <w:sz w:val="24"/>
          <w:szCs w:val="24"/>
        </w:rPr>
      </w:pPr>
      <w:r w:rsidRPr="00DF65BB">
        <w:rPr>
          <w:rFonts w:ascii="Times New Roman" w:hAnsi="Times New Roman" w:cs="Times New Roman"/>
          <w:sz w:val="24"/>
          <w:szCs w:val="24"/>
        </w:rPr>
        <w:t>Бедността и зависимостите в домакинството повишават вероятността от продължителна неактивност. Младежите от домакинства с ниски доходи по-често прекъсват образованието, навлизат в нископлатени и несигурни форми на заетост или остават извън пазара. Така се възпроизвежда междупоколенен цикъл на уязвимост (Eurostat, 2025c). Тези фактори формират кумулативни бариери пред активирането. Демографията свива входа към пазара на труда, образователните дефицити намаляват пригодността за заетост, културните нагласи ограничават предприемаческата мобилизация, а неравномерният достъп до услуги и социалната уязвимост засилват риска от NEET. Най-силно засегнати са регионите с ниска плътност на работни места и ограничена транспортна свързаност (NSI, 2025; Eurostat, 2025a; OECD, 2024).</w:t>
      </w:r>
    </w:p>
    <w:p w14:paraId="45F4E0F5" w14:textId="77777777" w:rsidR="00D26F56" w:rsidRPr="00DF65BB"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Технологичното измерение</w:t>
      </w:r>
      <w:r w:rsidRPr="00DF65BB">
        <w:rPr>
          <w:rFonts w:ascii="Times New Roman" w:hAnsi="Times New Roman" w:cs="Times New Roman"/>
          <w:sz w:val="24"/>
          <w:szCs w:val="24"/>
        </w:rPr>
        <w:t xml:space="preserve"> на профила показва двойнствена динамика, в която напредъкът в цифровизацията на икономиката и електронните услуги съществува паралелно с дефицити в дигиталните умения и достъпа до високоскоростна свързаност. Индексът на дигитална икономика и общество отчита постепенни подобрения след 2020 г., но страната продължава да се позиционира в долната част на европейското разпределение по базова и надградена дигитална грамотност, както и по използване на е-услуги от </w:t>
      </w:r>
      <w:r w:rsidRPr="00DF65BB">
        <w:rPr>
          <w:rFonts w:ascii="Times New Roman" w:hAnsi="Times New Roman" w:cs="Times New Roman"/>
          <w:sz w:val="24"/>
          <w:szCs w:val="24"/>
        </w:rPr>
        <w:lastRenderedPageBreak/>
        <w:t>гражданите и бизнеса (European Commission, 2024). Разширяването на фиксираните и мобилните мрежи намалява, но не заличава разликите между градските центрове и периферията, където наличието на високоскоростен интернет и качествена вътрешнодомова инфраструктура остава по-ниско, а ценовата достъпност е по-проблемна за домакинствата с ниски доходи (World Bank, 2024; Eurostat, 2025d). В резултат дигиталните възможности се концентрират в по-развитите градски райони, докато селските и изоставащи региони запазват по-висок риск от цифрова изолация, особено сред млади хора извън образователната система или в неформална заетост (Eurostat, 2025d).</w:t>
      </w:r>
    </w:p>
    <w:p w14:paraId="5E66E634" w14:textId="77777777" w:rsidR="00D26F56" w:rsidRPr="00DF65BB" w:rsidRDefault="00D26F56" w:rsidP="00D26F56">
      <w:pPr>
        <w:spacing w:line="360" w:lineRule="auto"/>
        <w:ind w:firstLine="708"/>
        <w:jc w:val="both"/>
        <w:rPr>
          <w:rFonts w:ascii="Times New Roman" w:hAnsi="Times New Roman" w:cs="Times New Roman"/>
          <w:sz w:val="24"/>
          <w:szCs w:val="24"/>
        </w:rPr>
      </w:pPr>
      <w:r w:rsidRPr="00DF65BB">
        <w:rPr>
          <w:rFonts w:ascii="Times New Roman" w:hAnsi="Times New Roman" w:cs="Times New Roman"/>
          <w:sz w:val="24"/>
          <w:szCs w:val="24"/>
        </w:rPr>
        <w:t>Пандемията катализира приемането на дистанционна работа и дигитални форми на заетост, но ефектите са силно стратифицирани по квалификация и местоживеене. Младите с висше образование в големите градове се възползват по-често от хибридни режими и платформи за свободна заетост, докато нискоквалифицираните и живеещите в малки населени места по-рядко имат достъп до качествена техника, стабилна свързаност и адекватни умения за продуктивна дистанционна работа (OECD, 2024; Eurostat, 2025d). Публичните услуги по заетостта и училищната среда дигитализираха част от процесите, но липсата на интегрирани платформи за кариерно ориентиране, валидиране на умения и микроудостоверения, както и ограничената интероперативност на регистрите, затрудняват целенасоченото съвпадение между младежки профили и реално търсене на работна ръка (European Commission, 2024; NSI, 2025). Така технологичният напредък създава нови канали за включване, но едновременно задълбочава съществуващите неравенства, когато дигиталните компетентности, инфраструктурата и институционалните системи за подкрепа остават неравномерно развити в географско и социално отношение (European Commission, 2024; Eurostat, 2025d; OECD, 2024).</w:t>
      </w:r>
    </w:p>
    <w:p w14:paraId="2C9A3282" w14:textId="77777777" w:rsidR="00D26F56" w:rsidRPr="0090141A"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Екологичното измерение</w:t>
      </w:r>
      <w:r w:rsidRPr="0090141A">
        <w:rPr>
          <w:rFonts w:ascii="Times New Roman" w:hAnsi="Times New Roman" w:cs="Times New Roman"/>
          <w:sz w:val="24"/>
          <w:szCs w:val="24"/>
        </w:rPr>
        <w:t xml:space="preserve"> на профила очертава бавна и неравномерна адаптация към зеления преход, при която регулаторните ангажименти по линия на Европейския зелен пакт и свързаните фондове се превръщат в реални инвестиции и работни места със закъснение. Въглищните региони концентрират най-високия преходен риск: зависимостта от въглищната енергетика и свързаните дейности прави местните пазари на труда уязвими към затваряне или преструктуриране на мощности, докато механизмите на Фонда за справедлив преход и оперативните програми напредват, но по-бавно от темпа, наблюдаван </w:t>
      </w:r>
      <w:r w:rsidRPr="0090141A">
        <w:rPr>
          <w:rFonts w:ascii="Times New Roman" w:hAnsi="Times New Roman" w:cs="Times New Roman"/>
          <w:sz w:val="24"/>
          <w:szCs w:val="24"/>
        </w:rPr>
        <w:lastRenderedPageBreak/>
        <w:t>в Централна и Западна Европа (European Commission, 2024; World Bank, 2024). Резултатът е ограничен краткосрочен капацитет за преструктуриране на заетостта и задържане на младите хора в засегнатите територии, както и по-ниска динамика на нови екологични инвестиции извън отделни индустриални зони (OECD, 2024; Eurostat, 2025).</w:t>
      </w:r>
    </w:p>
    <w:p w14:paraId="329061FF" w14:textId="77777777" w:rsidR="00D26F56" w:rsidRPr="0090141A" w:rsidRDefault="00D26F56" w:rsidP="00D26F56">
      <w:pPr>
        <w:spacing w:line="360" w:lineRule="auto"/>
        <w:ind w:firstLine="708"/>
        <w:jc w:val="both"/>
        <w:rPr>
          <w:rFonts w:ascii="Times New Roman" w:hAnsi="Times New Roman" w:cs="Times New Roman"/>
          <w:sz w:val="24"/>
          <w:szCs w:val="24"/>
        </w:rPr>
      </w:pPr>
      <w:r w:rsidRPr="0090141A">
        <w:rPr>
          <w:rFonts w:ascii="Times New Roman" w:hAnsi="Times New Roman" w:cs="Times New Roman"/>
          <w:sz w:val="24"/>
          <w:szCs w:val="24"/>
        </w:rPr>
        <w:t>Пазарът на „зелени“ работни места се разширява, но търсенето е концентрирано в нишови подсектори като енергийна ефективност на сградите, възобновяеми източници и управление на отпадъци, където работодателите изискват комбинация от технически, цифрови и регулаторни компетентности. Липсата на целенасочени програми за „зелени умения“ в професионалното образование и обучението за възрастни, ограничената валидираща рамка за микроудостоверения и слабото партньорство между училища, центрове за квалификация и бизнеса задълбочават разминаването между наличните профили и реалното търсене (ILO, 2024; OECD, 2024). Това разминаване е по-остро в периферните региони, където достъпът до модерна лабораторна база, стажове и дуални програми е ограничен, а мобилността на младите е по-ниска поради транспортни и жилищни бариери (World Bank, 2024; Eurostat, 2025).</w:t>
      </w:r>
    </w:p>
    <w:p w14:paraId="680C3306" w14:textId="77777777" w:rsidR="00D26F56" w:rsidRPr="0090141A" w:rsidRDefault="00D26F56" w:rsidP="00D26F56">
      <w:pPr>
        <w:spacing w:line="360" w:lineRule="auto"/>
        <w:ind w:firstLine="708"/>
        <w:jc w:val="both"/>
        <w:rPr>
          <w:rFonts w:ascii="Times New Roman" w:hAnsi="Times New Roman" w:cs="Times New Roman"/>
          <w:sz w:val="24"/>
          <w:szCs w:val="24"/>
        </w:rPr>
      </w:pPr>
      <w:r w:rsidRPr="0090141A">
        <w:rPr>
          <w:rFonts w:ascii="Times New Roman" w:hAnsi="Times New Roman" w:cs="Times New Roman"/>
          <w:sz w:val="24"/>
          <w:szCs w:val="24"/>
        </w:rPr>
        <w:t>Инфраструктурните и социалните параметри допълнително влияят върху темпа на зеления преход. Високите равнища на енергийна бедност и ниската енергийна ефективност на жилищния фонд намаляват платежоспособното търсене на енергоспестяващи технологии и възпрепятстват бързото разгръщане на свързани услуги и заетост, докато екологичните стандарти и контролните режими стимулират инвестиции главно в по-големите урбанизирани центрове (EEA, 2024; European Commission, 2024). В този контекст потенциалът на зеления преход като източник на младежка заетост остава частично реализиран: необходими са системни програми за надграждане на умения, локални „школи по професия“ с екологичен профил, ускорена валидираща рамка за кратки обучения и регионални пактове за умения с участието на работодатели, за да се ускори пренасочването на млади кадри към устойчиви индустрии (ILO, 2024; OECD, 2024; European Commission, 2024).</w:t>
      </w:r>
    </w:p>
    <w:p w14:paraId="370E60A5" w14:textId="77777777" w:rsidR="00D26F56" w:rsidRPr="0090141A"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Правното измерение</w:t>
      </w:r>
      <w:r w:rsidRPr="0090141A">
        <w:rPr>
          <w:rFonts w:ascii="Times New Roman" w:hAnsi="Times New Roman" w:cs="Times New Roman"/>
          <w:sz w:val="24"/>
          <w:szCs w:val="24"/>
        </w:rPr>
        <w:t xml:space="preserve"> на българската среда е формално приведено в съответствие с европейското трудово законодателство, включително с изискванията на Директива (ЕС) 2019/1152 относно прозрачни и предвидими условия на труд, но реалната правна сигурност </w:t>
      </w:r>
      <w:r w:rsidRPr="0090141A">
        <w:rPr>
          <w:rFonts w:ascii="Times New Roman" w:hAnsi="Times New Roman" w:cs="Times New Roman"/>
          <w:sz w:val="24"/>
          <w:szCs w:val="24"/>
        </w:rPr>
        <w:lastRenderedPageBreak/>
        <w:t>остава ограничена поради непълно обхващане и слабо правоприлагане при гъвкавите форми на труд и при сивите сегменти на пазара (Директива (ЕС) 2019/1152; OECD, 2025b). Трудовият кодекс урежда дистанционната работа, стажовете и обучението на работното място и съдържа минимални стандарти за безопасност и здраве при работа от разстояние, но ефектът на тези норми силно зависи от административния капацитет за контрол и от практиката на инспекционните органи (Кодекс на труда, 2024; OECD, 2025b). Законът за насърчаване на заетостта и подзаконовите актове на Министерския съвет предоставят рамка за субсидирана заетост, стажантски позиции и мерки за първо включване на младежи до 29 години, както и за интегриране на работно-базирано обучение, но реализацията среща бариери като недостиг на работодатели-партньори, административна тежест и зависимост от цикли на външно финансиране (Закон за насърчаване на заетостта, 2024; OECD, 2025b). Дуалното обучение е нормативно закрепено чрез Закона за професионалното образование и обучение и съответните стандарти за придобиване на квалификация, но покритието и устойчивостта на тези схеми остават ограничени в отрасли с по-ниска плътност на работодателски мрежи и в региони с ниска вакантност (Закон за професионалното образование и обучение, 2023; Eurostat, 2025b; Eurostat, 2025c). Правната защита на младежката заетост в резултат остава по-скоро декларативна там, където нарушения като недекларирано работно време, поддекларирано заплащане или псевдосамонаемане трудно се идентифицират и санкционират, а регулацията на платформения труд и на временната заетост чрез посредници изостава спрямо динамиката на пазара (Кодекс на труда, 2024; OECD, 2025b). На макрониво това се свързва с ниски по международни стандарти разходи за активни политики и ограничена институционална способност за последователно прилагане и мониторинг на ефективността, което редуцира превантивния и възпиращ ефект на нормите и възпрепятства равномерното навлизане на младите в формална и защитена заетост (OECD, 2025b; Eurostat, 2025b; Eurostat, 2025e).</w:t>
      </w:r>
    </w:p>
    <w:p w14:paraId="3D9E7042" w14:textId="77777777" w:rsidR="00D26F56" w:rsidRDefault="00D26F56" w:rsidP="00D26F56">
      <w:pPr>
        <w:spacing w:line="360" w:lineRule="auto"/>
        <w:ind w:firstLine="708"/>
        <w:jc w:val="both"/>
        <w:rPr>
          <w:rFonts w:ascii="Times New Roman" w:hAnsi="Times New Roman" w:cs="Times New Roman"/>
          <w:sz w:val="24"/>
          <w:szCs w:val="24"/>
        </w:rPr>
      </w:pPr>
      <w:r w:rsidRPr="008D35C5">
        <w:rPr>
          <w:rFonts w:ascii="Times New Roman" w:hAnsi="Times New Roman" w:cs="Times New Roman"/>
          <w:sz w:val="24"/>
          <w:szCs w:val="24"/>
        </w:rPr>
        <w:t xml:space="preserve">В обобщение, PESTEL профилът на България показва среда, в която икономическите и социалните фактори на младежката неактивност доминират над институционалните и технологичните възможности за активиране. Налице е структурна несъразмерност между политическите намерения и ресурсната обезпеченост на активните мерки, както и недостиг на иновативни инструменти за преодоляване на социално-икономическите бариери. </w:t>
      </w:r>
      <w:r w:rsidRPr="008D35C5">
        <w:rPr>
          <w:rFonts w:ascii="Times New Roman" w:hAnsi="Times New Roman" w:cs="Times New Roman"/>
          <w:sz w:val="24"/>
          <w:szCs w:val="24"/>
        </w:rPr>
        <w:lastRenderedPageBreak/>
        <w:t>Въпреки умерения напредък през 2022–2024 г., страната остава в групата с най-висок риск от трайна младежка неактивност в рамките на Европейския съюз.</w:t>
      </w:r>
    </w:p>
    <w:p w14:paraId="2431250E" w14:textId="03A55B71" w:rsidR="00327A10" w:rsidRPr="00327A10" w:rsidRDefault="00327A10" w:rsidP="00D26F56">
      <w:pPr>
        <w:spacing w:line="360" w:lineRule="auto"/>
        <w:ind w:firstLine="708"/>
        <w:jc w:val="both"/>
        <w:rPr>
          <w:rFonts w:ascii="Times New Roman" w:hAnsi="Times New Roman" w:cs="Times New Roman"/>
          <w:b/>
          <w:bCs/>
          <w:sz w:val="24"/>
          <w:szCs w:val="24"/>
        </w:rPr>
      </w:pPr>
      <w:r w:rsidRPr="00327A10">
        <w:rPr>
          <w:rFonts w:ascii="Times New Roman" w:hAnsi="Times New Roman" w:cs="Times New Roman"/>
          <w:b/>
          <w:bCs/>
          <w:sz w:val="24"/>
          <w:szCs w:val="24"/>
        </w:rPr>
        <w:t xml:space="preserve">2.2. </w:t>
      </w:r>
      <w:r w:rsidRPr="00327A10">
        <w:rPr>
          <w:rFonts w:ascii="Times New Roman" w:hAnsi="Times New Roman" w:cs="Times New Roman"/>
          <w:b/>
          <w:bCs/>
          <w:sz w:val="24"/>
          <w:szCs w:val="24"/>
        </w:rPr>
        <w:t>PESTEL</w:t>
      </w:r>
      <w:r w:rsidRPr="00327A10">
        <w:rPr>
          <w:rFonts w:ascii="Times New Roman" w:hAnsi="Times New Roman" w:cs="Times New Roman"/>
          <w:b/>
          <w:bCs/>
          <w:sz w:val="24"/>
          <w:szCs w:val="24"/>
        </w:rPr>
        <w:t xml:space="preserve"> профил на Хърватска</w:t>
      </w:r>
    </w:p>
    <w:p w14:paraId="02457769" w14:textId="226D1475" w:rsidR="00D26F56" w:rsidRDefault="00D26F56" w:rsidP="00D26F56">
      <w:pPr>
        <w:spacing w:line="360" w:lineRule="auto"/>
        <w:ind w:firstLine="708"/>
        <w:jc w:val="both"/>
        <w:rPr>
          <w:rFonts w:ascii="Times New Roman" w:hAnsi="Times New Roman" w:cs="Times New Roman"/>
          <w:sz w:val="24"/>
          <w:szCs w:val="24"/>
        </w:rPr>
      </w:pPr>
      <w:bookmarkStart w:id="3" w:name="_Hlk213133620"/>
      <w:r w:rsidRPr="00FA4FE1">
        <w:rPr>
          <w:rFonts w:ascii="Times New Roman" w:hAnsi="Times New Roman" w:cs="Times New Roman"/>
          <w:sz w:val="24"/>
          <w:szCs w:val="24"/>
        </w:rPr>
        <w:t>PESTEL</w:t>
      </w:r>
      <w:bookmarkEnd w:id="3"/>
      <w:r w:rsidRPr="00FA4FE1">
        <w:rPr>
          <w:rFonts w:ascii="Times New Roman" w:hAnsi="Times New Roman" w:cs="Times New Roman"/>
          <w:sz w:val="24"/>
          <w:szCs w:val="24"/>
        </w:rPr>
        <w:t xml:space="preserve"> профилът на Хърватска очертава макросреда, в която се формират и изменят рисковете от младежка трудова неактивност в постпандемичния период. Страната е малка, отворена икономика със силно изразена сезонност на заетостта, ускорена конвергенция към европейските нива на доход и едновременно с това трайни демографски предизвикателства. След 2020 г. политиките и пазарните механизми работят в режим на възстановяване, а от 2023 г. членството в еврозоната и Шенген добавя нов институционален импулс. В тази рамка динамиката на младежката активност зависи от качеството на съвпадението между умения и търсене, от способността на институциите да „уловят“ сезонните и регионалните колебания и от темпа на технологична и зелена трансформация</w:t>
      </w:r>
      <w:r w:rsidR="00771F88">
        <w:rPr>
          <w:rFonts w:ascii="Times New Roman" w:hAnsi="Times New Roman" w:cs="Times New Roman"/>
          <w:sz w:val="24"/>
          <w:szCs w:val="24"/>
        </w:rPr>
        <w:t xml:space="preserve"> (Табл. 2)</w:t>
      </w:r>
      <w:r w:rsidRPr="00FA4FE1">
        <w:rPr>
          <w:rFonts w:ascii="Times New Roman" w:hAnsi="Times New Roman" w:cs="Times New Roman"/>
          <w:sz w:val="24"/>
          <w:szCs w:val="24"/>
        </w:rPr>
        <w:t>.</w:t>
      </w:r>
    </w:p>
    <w:p w14:paraId="723819BA" w14:textId="18A7652E" w:rsidR="00771F88" w:rsidRDefault="00771F88" w:rsidP="00771F8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Таблица 2. </w:t>
      </w:r>
      <w:r>
        <w:rPr>
          <w:rFonts w:ascii="Times New Roman" w:hAnsi="Times New Roman" w:cs="Times New Roman"/>
          <w:sz w:val="24"/>
          <w:szCs w:val="24"/>
          <w:lang w:val="en-GB"/>
        </w:rPr>
        <w:t xml:space="preserve">PESTEL </w:t>
      </w:r>
      <w:r>
        <w:rPr>
          <w:rFonts w:ascii="Times New Roman" w:hAnsi="Times New Roman" w:cs="Times New Roman"/>
          <w:sz w:val="24"/>
          <w:szCs w:val="24"/>
        </w:rPr>
        <w:t>профил на Хърватска</w:t>
      </w:r>
    </w:p>
    <w:p w14:paraId="28F1E362" w14:textId="7D17F548" w:rsidR="00771F88" w:rsidRDefault="00771F88" w:rsidP="00771F88">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Style w:val="TableGrid"/>
        <w:tblW w:w="0" w:type="auto"/>
        <w:tblLook w:val="04A0" w:firstRow="1" w:lastRow="0" w:firstColumn="1" w:lastColumn="0" w:noHBand="0" w:noVBand="1"/>
      </w:tblPr>
      <w:tblGrid>
        <w:gridCol w:w="1726"/>
        <w:gridCol w:w="4280"/>
        <w:gridCol w:w="3344"/>
      </w:tblGrid>
      <w:tr w:rsidR="00771F88" w:rsidRPr="00771F88" w14:paraId="359493E3" w14:textId="77777777" w:rsidTr="00771F88">
        <w:tc>
          <w:tcPr>
            <w:tcW w:w="0" w:type="auto"/>
            <w:hideMark/>
          </w:tcPr>
          <w:p w14:paraId="5AF46E89"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Измерение</w:t>
            </w:r>
            <w:proofErr w:type="spellEnd"/>
          </w:p>
        </w:tc>
        <w:tc>
          <w:tcPr>
            <w:tcW w:w="0" w:type="auto"/>
            <w:hideMark/>
          </w:tcPr>
          <w:p w14:paraId="6E4157FB"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Ключови</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наблюдения</w:t>
            </w:r>
            <w:proofErr w:type="spellEnd"/>
          </w:p>
        </w:tc>
        <w:tc>
          <w:tcPr>
            <w:tcW w:w="0" w:type="auto"/>
            <w:hideMark/>
          </w:tcPr>
          <w:p w14:paraId="5BD92CB2" w14:textId="77777777" w:rsidR="00771F88" w:rsidRPr="00771F88" w:rsidRDefault="00771F88" w:rsidP="00771F88">
            <w:pPr>
              <w:jc w:val="center"/>
              <w:rPr>
                <w:rFonts w:ascii="Times New Roman" w:eastAsia="Times New Roman" w:hAnsi="Times New Roman" w:cs="Times New Roman"/>
                <w:b/>
                <w:bCs/>
                <w:sz w:val="24"/>
                <w:szCs w:val="24"/>
                <w:lang w:val="en-GB" w:eastAsia="en-GB"/>
              </w:rPr>
            </w:pPr>
            <w:proofErr w:type="spellStart"/>
            <w:r w:rsidRPr="00771F88">
              <w:rPr>
                <w:rFonts w:ascii="Times New Roman" w:eastAsia="Times New Roman" w:hAnsi="Times New Roman" w:cs="Times New Roman"/>
                <w:b/>
                <w:bCs/>
                <w:sz w:val="24"/>
                <w:szCs w:val="24"/>
                <w:lang w:val="en-GB" w:eastAsia="en-GB"/>
              </w:rPr>
              <w:t>Последствия</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за</w:t>
            </w:r>
            <w:proofErr w:type="spellEnd"/>
            <w:r w:rsidRPr="00771F88">
              <w:rPr>
                <w:rFonts w:ascii="Times New Roman" w:eastAsia="Times New Roman" w:hAnsi="Times New Roman" w:cs="Times New Roman"/>
                <w:b/>
                <w:bCs/>
                <w:sz w:val="24"/>
                <w:szCs w:val="24"/>
                <w:lang w:val="en-GB" w:eastAsia="en-GB"/>
              </w:rPr>
              <w:t xml:space="preserve"> </w:t>
            </w:r>
            <w:proofErr w:type="spellStart"/>
            <w:r w:rsidRPr="00771F88">
              <w:rPr>
                <w:rFonts w:ascii="Times New Roman" w:eastAsia="Times New Roman" w:hAnsi="Times New Roman" w:cs="Times New Roman"/>
                <w:b/>
                <w:bCs/>
                <w:sz w:val="24"/>
                <w:szCs w:val="24"/>
                <w:lang w:val="en-GB" w:eastAsia="en-GB"/>
              </w:rPr>
              <w:t>младежите</w:t>
            </w:r>
            <w:proofErr w:type="spellEnd"/>
            <w:r w:rsidRPr="00771F88">
              <w:rPr>
                <w:rFonts w:ascii="Times New Roman" w:eastAsia="Times New Roman" w:hAnsi="Times New Roman" w:cs="Times New Roman"/>
                <w:b/>
                <w:bCs/>
                <w:sz w:val="24"/>
                <w:szCs w:val="24"/>
                <w:lang w:val="en-GB" w:eastAsia="en-GB"/>
              </w:rPr>
              <w:t xml:space="preserve"> (NEET)</w:t>
            </w:r>
          </w:p>
        </w:tc>
      </w:tr>
      <w:tr w:rsidR="00771F88" w:rsidRPr="00771F88" w14:paraId="4977EE9F" w14:textId="77777777" w:rsidTr="00771F88">
        <w:tc>
          <w:tcPr>
            <w:tcW w:w="0" w:type="auto"/>
            <w:hideMark/>
          </w:tcPr>
          <w:p w14:paraId="1FFA428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Политическо</w:t>
            </w:r>
            <w:proofErr w:type="spellEnd"/>
          </w:p>
        </w:tc>
        <w:tc>
          <w:tcPr>
            <w:tcW w:w="0" w:type="auto"/>
            <w:hideMark/>
          </w:tcPr>
          <w:p w14:paraId="5ED737CB"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Относителна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институционална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стабилност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разширени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активни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мерки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първа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работа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стажове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ваучери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самонаемане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силна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Гаранция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младежта</w:t>
            </w:r>
            <w:proofErr w:type="spellEnd"/>
            <w:r w:rsidRPr="00771F88">
              <w:rPr>
                <w:rFonts w:ascii="Times New Roman" w:eastAsia="Times New Roman" w:hAnsi="Times New Roman" w:cs="Times New Roman"/>
                <w:sz w:val="24"/>
                <w:szCs w:val="24"/>
                <w:lang w:val="en-GB" w:eastAsia="en-GB"/>
              </w:rPr>
              <w:t>“ и</w:t>
            </w:r>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по-добър</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резултатен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мониторинг</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еврозона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2023 г. </w:t>
            </w:r>
            <w:proofErr w:type="spellStart"/>
            <w:r w:rsidRPr="00771F88">
              <w:rPr>
                <w:rFonts w:ascii="Times New Roman" w:eastAsia="Times New Roman" w:hAnsi="Times New Roman" w:cs="Times New Roman"/>
                <w:sz w:val="24"/>
                <w:szCs w:val="24"/>
                <w:lang w:val="en-GB" w:eastAsia="en-GB"/>
              </w:rPr>
              <w:t>подобрява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многогодишното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планиране</w:t>
            </w:r>
            <w:proofErr w:type="spellEnd"/>
          </w:p>
        </w:tc>
        <w:tc>
          <w:tcPr>
            <w:tcW w:w="0" w:type="auto"/>
            <w:hideMark/>
          </w:tcPr>
          <w:p w14:paraId="01843F2A"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По-предвидими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пътеки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учене</w:t>
            </w:r>
            <w:proofErr w:type="spellEnd"/>
            <w:r w:rsidRPr="00771F88">
              <w:rPr>
                <w:rFonts w:ascii="Times New Roman" w:eastAsia="Times New Roman" w:hAnsi="Times New Roman" w:cs="Times New Roman"/>
                <w:sz w:val="24"/>
                <w:szCs w:val="24"/>
                <w:lang w:val="en-GB" w:eastAsia="en-GB"/>
              </w:rPr>
              <w:t>–</w:t>
            </w:r>
            <w:proofErr w:type="spellStart"/>
            <w:proofErr w:type="gramStart"/>
            <w:r w:rsidRPr="00771F88">
              <w:rPr>
                <w:rFonts w:ascii="Times New Roman" w:eastAsia="Times New Roman" w:hAnsi="Times New Roman" w:cs="Times New Roman"/>
                <w:sz w:val="24"/>
                <w:szCs w:val="24"/>
                <w:lang w:val="en-GB" w:eastAsia="en-GB"/>
              </w:rPr>
              <w:t>работа</w:t>
            </w:r>
            <w:proofErr w:type="spellEnd"/>
            <w:r w:rsidRPr="00771F88">
              <w:rPr>
                <w:rFonts w:ascii="Times New Roman" w:eastAsia="Times New Roman" w:hAnsi="Times New Roman" w:cs="Times New Roman"/>
                <w:sz w:val="24"/>
                <w:szCs w:val="24"/>
                <w:lang w:val="en-GB" w:eastAsia="en-GB"/>
              </w:rPr>
              <w:t>“</w:t>
            </w:r>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по-добро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таргетиране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уязвими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подгрупи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остава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неравномерна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местна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изпълнителска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способност</w:t>
            </w:r>
            <w:proofErr w:type="spellEnd"/>
          </w:p>
        </w:tc>
      </w:tr>
      <w:tr w:rsidR="00771F88" w:rsidRPr="00771F88" w14:paraId="68AC39EB" w14:textId="77777777" w:rsidTr="00771F88">
        <w:tc>
          <w:tcPr>
            <w:tcW w:w="0" w:type="auto"/>
            <w:hideMark/>
          </w:tcPr>
          <w:p w14:paraId="190A24BB"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Икономическо</w:t>
            </w:r>
            <w:proofErr w:type="spellEnd"/>
          </w:p>
        </w:tc>
        <w:tc>
          <w:tcPr>
            <w:tcW w:w="0" w:type="auto"/>
            <w:hideMark/>
          </w:tcPr>
          <w:p w14:paraId="352FC624"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Бързо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постпандемично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възстановяване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водено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туризма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висок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коефициент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вакантности</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услуги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инфлационен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натиск</w:t>
            </w:r>
            <w:proofErr w:type="spellEnd"/>
            <w:r w:rsidRPr="00771F88">
              <w:rPr>
                <w:rFonts w:ascii="Times New Roman" w:eastAsia="Times New Roman" w:hAnsi="Times New Roman" w:cs="Times New Roman"/>
                <w:sz w:val="24"/>
                <w:szCs w:val="24"/>
                <w:lang w:val="en-GB" w:eastAsia="en-GB"/>
              </w:rPr>
              <w:t xml:space="preserve"> 2022 г.; </w:t>
            </w:r>
            <w:proofErr w:type="spellStart"/>
            <w:r w:rsidRPr="00771F88">
              <w:rPr>
                <w:rFonts w:ascii="Times New Roman" w:eastAsia="Times New Roman" w:hAnsi="Times New Roman" w:cs="Times New Roman"/>
                <w:sz w:val="24"/>
                <w:szCs w:val="24"/>
                <w:lang w:val="en-GB" w:eastAsia="en-GB"/>
              </w:rPr>
              <w:t>ръст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МРЗ и </w:t>
            </w:r>
            <w:proofErr w:type="spellStart"/>
            <w:r w:rsidRPr="00771F88">
              <w:rPr>
                <w:rFonts w:ascii="Times New Roman" w:eastAsia="Times New Roman" w:hAnsi="Times New Roman" w:cs="Times New Roman"/>
                <w:sz w:val="24"/>
                <w:szCs w:val="24"/>
                <w:lang w:val="en-GB" w:eastAsia="en-GB"/>
              </w:rPr>
              <w:t>заплатите</w:t>
            </w:r>
            <w:proofErr w:type="spellEnd"/>
            <w:r w:rsidRPr="00771F88">
              <w:rPr>
                <w:rFonts w:ascii="Times New Roman" w:eastAsia="Times New Roman" w:hAnsi="Times New Roman" w:cs="Times New Roman"/>
                <w:sz w:val="24"/>
                <w:szCs w:val="24"/>
                <w:lang w:val="en-GB" w:eastAsia="en-GB"/>
              </w:rPr>
              <w:t xml:space="preserve"> 2023–2024 г.; </w:t>
            </w:r>
            <w:proofErr w:type="spellStart"/>
            <w:r w:rsidRPr="00771F88">
              <w:rPr>
                <w:rFonts w:ascii="Times New Roman" w:eastAsia="Times New Roman" w:hAnsi="Times New Roman" w:cs="Times New Roman"/>
                <w:sz w:val="24"/>
                <w:szCs w:val="24"/>
                <w:lang w:val="en-GB" w:eastAsia="en-GB"/>
              </w:rPr>
              <w:t>недостиг</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сектори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сезонност</w:t>
            </w:r>
            <w:proofErr w:type="spellEnd"/>
          </w:p>
        </w:tc>
        <w:tc>
          <w:tcPr>
            <w:tcW w:w="0" w:type="auto"/>
            <w:hideMark/>
          </w:tcPr>
          <w:p w14:paraId="04D1335D"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Повече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входни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позиции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риск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междусезонна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неактивност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нужда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кратки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обучения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стажове</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мобилност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региони</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сезони</w:t>
            </w:r>
            <w:proofErr w:type="spellEnd"/>
          </w:p>
        </w:tc>
      </w:tr>
      <w:tr w:rsidR="00771F88" w:rsidRPr="00771F88" w14:paraId="75139897" w14:textId="77777777" w:rsidTr="00771F88">
        <w:tc>
          <w:tcPr>
            <w:tcW w:w="0" w:type="auto"/>
            <w:hideMark/>
          </w:tcPr>
          <w:p w14:paraId="3236E2FC"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Социално</w:t>
            </w:r>
            <w:proofErr w:type="spellEnd"/>
          </w:p>
        </w:tc>
        <w:tc>
          <w:tcPr>
            <w:tcW w:w="0" w:type="auto"/>
            <w:hideMark/>
          </w:tcPr>
          <w:p w14:paraId="7EAEA5A0"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Селективна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миграция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20–29 г.; NEET </w:t>
            </w:r>
            <w:proofErr w:type="spellStart"/>
            <w:r w:rsidRPr="00771F88">
              <w:rPr>
                <w:rFonts w:ascii="Times New Roman" w:eastAsia="Times New Roman" w:hAnsi="Times New Roman" w:cs="Times New Roman"/>
                <w:sz w:val="24"/>
                <w:szCs w:val="24"/>
                <w:lang w:val="en-GB" w:eastAsia="en-GB"/>
              </w:rPr>
              <w:t>риск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концентриран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нискообразовани</w:t>
            </w:r>
            <w:proofErr w:type="spellEnd"/>
            <w:r w:rsidRPr="00771F88">
              <w:rPr>
                <w:rFonts w:ascii="Times New Roman" w:eastAsia="Times New Roman" w:hAnsi="Times New Roman" w:cs="Times New Roman"/>
                <w:sz w:val="24"/>
                <w:szCs w:val="24"/>
                <w:lang w:val="en-GB" w:eastAsia="en-GB"/>
              </w:rPr>
              <w:t xml:space="preserve"> и в </w:t>
            </w:r>
            <w:proofErr w:type="spellStart"/>
            <w:r w:rsidRPr="00771F88">
              <w:rPr>
                <w:rFonts w:ascii="Times New Roman" w:eastAsia="Times New Roman" w:hAnsi="Times New Roman" w:cs="Times New Roman"/>
                <w:sz w:val="24"/>
                <w:szCs w:val="24"/>
                <w:lang w:val="en-GB" w:eastAsia="en-GB"/>
              </w:rPr>
              <w:t>по-слабо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урбанизирани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райони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развиващо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дуално</w:t>
            </w:r>
            <w:proofErr w:type="spellEnd"/>
            <w:r w:rsidRPr="00771F88">
              <w:rPr>
                <w:rFonts w:ascii="Times New Roman" w:eastAsia="Times New Roman" w:hAnsi="Times New Roman" w:cs="Times New Roman"/>
                <w:sz w:val="24"/>
                <w:szCs w:val="24"/>
                <w:lang w:val="en-GB" w:eastAsia="en-GB"/>
              </w:rPr>
              <w:t xml:space="preserve">/ПОО с </w:t>
            </w:r>
            <w:proofErr w:type="spellStart"/>
            <w:r w:rsidRPr="00771F88">
              <w:rPr>
                <w:rFonts w:ascii="Times New Roman" w:eastAsia="Times New Roman" w:hAnsi="Times New Roman" w:cs="Times New Roman"/>
                <w:sz w:val="24"/>
                <w:szCs w:val="24"/>
                <w:lang w:val="en-GB" w:eastAsia="en-GB"/>
              </w:rPr>
              <w:t>неравномерен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обхват</w:t>
            </w:r>
            <w:proofErr w:type="spellEnd"/>
          </w:p>
        </w:tc>
        <w:tc>
          <w:tcPr>
            <w:tcW w:w="0" w:type="auto"/>
            <w:hideMark/>
          </w:tcPr>
          <w:p w14:paraId="0D14E14A"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По-бързи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преходи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там</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където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има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плътни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училище</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работодател</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мрежи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по-дълги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паузи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по-висок</w:t>
            </w:r>
            <w:proofErr w:type="spellEnd"/>
            <w:r w:rsidRPr="00771F88">
              <w:rPr>
                <w:rFonts w:ascii="Times New Roman" w:eastAsia="Times New Roman" w:hAnsi="Times New Roman" w:cs="Times New Roman"/>
                <w:sz w:val="24"/>
                <w:szCs w:val="24"/>
                <w:lang w:val="en-GB" w:eastAsia="en-GB"/>
              </w:rPr>
              <w:t xml:space="preserve"> NEET </w:t>
            </w:r>
            <w:proofErr w:type="spellStart"/>
            <w:r w:rsidRPr="00771F88">
              <w:rPr>
                <w:rFonts w:ascii="Times New Roman" w:eastAsia="Times New Roman" w:hAnsi="Times New Roman" w:cs="Times New Roman"/>
                <w:sz w:val="24"/>
                <w:szCs w:val="24"/>
                <w:lang w:val="en-GB" w:eastAsia="en-GB"/>
              </w:rPr>
              <w:t>риск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във</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вътрешността</w:t>
            </w:r>
            <w:proofErr w:type="spellEnd"/>
          </w:p>
        </w:tc>
      </w:tr>
      <w:tr w:rsidR="00771F88" w:rsidRPr="00771F88" w14:paraId="3EBD53AD" w14:textId="77777777" w:rsidTr="00771F88">
        <w:tc>
          <w:tcPr>
            <w:tcW w:w="0" w:type="auto"/>
            <w:hideMark/>
          </w:tcPr>
          <w:p w14:paraId="0BD1C85A"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Технологично</w:t>
            </w:r>
            <w:proofErr w:type="spellEnd"/>
          </w:p>
        </w:tc>
        <w:tc>
          <w:tcPr>
            <w:tcW w:w="0" w:type="auto"/>
            <w:hideMark/>
          </w:tcPr>
          <w:p w14:paraId="09FFE2F7"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Висока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свързаност</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дигитални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услуги</w:t>
            </w:r>
            <w:proofErr w:type="spellEnd"/>
            <w:r w:rsidRPr="00771F88">
              <w:rPr>
                <w:rFonts w:ascii="Times New Roman" w:eastAsia="Times New Roman" w:hAnsi="Times New Roman" w:cs="Times New Roman"/>
                <w:sz w:val="24"/>
                <w:szCs w:val="24"/>
                <w:lang w:val="en-GB" w:eastAsia="en-GB"/>
              </w:rPr>
              <w:t xml:space="preserve"> (e-</w:t>
            </w:r>
            <w:proofErr w:type="spellStart"/>
            <w:r w:rsidRPr="00771F88">
              <w:rPr>
                <w:rFonts w:ascii="Times New Roman" w:eastAsia="Times New Roman" w:hAnsi="Times New Roman" w:cs="Times New Roman"/>
                <w:sz w:val="24"/>
                <w:szCs w:val="24"/>
                <w:lang w:val="en-GB" w:eastAsia="en-GB"/>
              </w:rPr>
              <w:t>Građani</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онлайн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посредничество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r w:rsidRPr="00771F88">
              <w:rPr>
                <w:rFonts w:ascii="Times New Roman" w:eastAsia="Times New Roman" w:hAnsi="Times New Roman" w:cs="Times New Roman"/>
                <w:sz w:val="24"/>
                <w:szCs w:val="24"/>
                <w:lang w:val="en-GB" w:eastAsia="en-GB"/>
              </w:rPr>
              <w:lastRenderedPageBreak/>
              <w:t xml:space="preserve">HZZ; </w:t>
            </w:r>
            <w:proofErr w:type="spellStart"/>
            <w:r w:rsidRPr="00771F88">
              <w:rPr>
                <w:rFonts w:ascii="Times New Roman" w:eastAsia="Times New Roman" w:hAnsi="Times New Roman" w:cs="Times New Roman"/>
                <w:sz w:val="24"/>
                <w:szCs w:val="24"/>
                <w:lang w:val="en-GB" w:eastAsia="en-GB"/>
              </w:rPr>
              <w:t>силна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базова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грамотност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дефицит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напреднали</w:t>
            </w:r>
            <w:proofErr w:type="spellEnd"/>
            <w:r w:rsidRPr="00771F88">
              <w:rPr>
                <w:rFonts w:ascii="Times New Roman" w:eastAsia="Times New Roman" w:hAnsi="Times New Roman" w:cs="Times New Roman"/>
                <w:sz w:val="24"/>
                <w:szCs w:val="24"/>
                <w:lang w:val="en-GB" w:eastAsia="en-GB"/>
              </w:rPr>
              <w:t xml:space="preserve"> ИКТ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извън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големите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градове</w:t>
            </w:r>
            <w:proofErr w:type="spellEnd"/>
          </w:p>
        </w:tc>
        <w:tc>
          <w:tcPr>
            <w:tcW w:w="0" w:type="auto"/>
            <w:hideMark/>
          </w:tcPr>
          <w:p w14:paraId="38B2CF0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lastRenderedPageBreak/>
              <w:t>Улеснен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достъп</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мерки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работа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разстояние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lastRenderedPageBreak/>
              <w:t>ограничена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конверсия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към</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високоплатени</w:t>
            </w:r>
            <w:proofErr w:type="spellEnd"/>
            <w:r w:rsidRPr="00771F88">
              <w:rPr>
                <w:rFonts w:ascii="Times New Roman" w:eastAsia="Times New Roman" w:hAnsi="Times New Roman" w:cs="Times New Roman"/>
                <w:sz w:val="24"/>
                <w:szCs w:val="24"/>
                <w:lang w:val="en-GB" w:eastAsia="en-GB"/>
              </w:rPr>
              <w:t xml:space="preserve"> ИКТ </w:t>
            </w:r>
            <w:proofErr w:type="spellStart"/>
            <w:r w:rsidRPr="00771F88">
              <w:rPr>
                <w:rFonts w:ascii="Times New Roman" w:eastAsia="Times New Roman" w:hAnsi="Times New Roman" w:cs="Times New Roman"/>
                <w:sz w:val="24"/>
                <w:szCs w:val="24"/>
                <w:lang w:val="en-GB" w:eastAsia="en-GB"/>
              </w:rPr>
              <w:t>роли</w:t>
            </w:r>
            <w:proofErr w:type="spellEnd"/>
            <w:r w:rsidRPr="00771F88">
              <w:rPr>
                <w:rFonts w:ascii="Times New Roman" w:eastAsia="Times New Roman" w:hAnsi="Times New Roman" w:cs="Times New Roman"/>
                <w:sz w:val="24"/>
                <w:szCs w:val="24"/>
                <w:lang w:val="en-GB" w:eastAsia="en-GB"/>
              </w:rPr>
              <w:t xml:space="preserve"> в </w:t>
            </w:r>
            <w:proofErr w:type="spellStart"/>
            <w:r w:rsidRPr="00771F88">
              <w:rPr>
                <w:rFonts w:ascii="Times New Roman" w:eastAsia="Times New Roman" w:hAnsi="Times New Roman" w:cs="Times New Roman"/>
                <w:sz w:val="24"/>
                <w:szCs w:val="24"/>
                <w:lang w:val="en-GB" w:eastAsia="en-GB"/>
              </w:rPr>
              <w:t>периферията</w:t>
            </w:r>
            <w:proofErr w:type="spellEnd"/>
          </w:p>
        </w:tc>
      </w:tr>
      <w:tr w:rsidR="00771F88" w:rsidRPr="00771F88" w14:paraId="1FFB092C" w14:textId="77777777" w:rsidTr="00771F88">
        <w:tc>
          <w:tcPr>
            <w:tcW w:w="0" w:type="auto"/>
            <w:hideMark/>
          </w:tcPr>
          <w:p w14:paraId="003FF1A9"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lastRenderedPageBreak/>
              <w:t>Екологично</w:t>
            </w:r>
            <w:proofErr w:type="spellEnd"/>
          </w:p>
        </w:tc>
        <w:tc>
          <w:tcPr>
            <w:tcW w:w="0" w:type="auto"/>
            <w:hideMark/>
          </w:tcPr>
          <w:p w14:paraId="3026A3C2"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Зеленият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преход</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засяга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туризъм</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строителство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енергетика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транспорт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ваучери</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курсове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зелени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дигитални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умения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програми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енергийно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обновяване</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кръгова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икономика</w:t>
            </w:r>
            <w:proofErr w:type="spellEnd"/>
          </w:p>
        </w:tc>
        <w:tc>
          <w:tcPr>
            <w:tcW w:w="0" w:type="auto"/>
            <w:hideMark/>
          </w:tcPr>
          <w:p w14:paraId="55650844"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Растящи</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зелени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входни</w:t>
            </w:r>
            <w:proofErr w:type="spellEnd"/>
            <w:proofErr w:type="gram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работни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места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нужда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местни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партньорства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бърза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преквалификация</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задържане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извън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големите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центрове</w:t>
            </w:r>
            <w:proofErr w:type="spellEnd"/>
          </w:p>
        </w:tc>
      </w:tr>
      <w:tr w:rsidR="00771F88" w:rsidRPr="00771F88" w14:paraId="246B3090" w14:textId="77777777" w:rsidTr="00771F88">
        <w:tc>
          <w:tcPr>
            <w:tcW w:w="0" w:type="auto"/>
            <w:hideMark/>
          </w:tcPr>
          <w:p w14:paraId="7C9BA91C"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Правно</w:t>
            </w:r>
            <w:proofErr w:type="spellEnd"/>
          </w:p>
        </w:tc>
        <w:tc>
          <w:tcPr>
            <w:tcW w:w="0" w:type="auto"/>
            <w:hideMark/>
          </w:tcPr>
          <w:p w14:paraId="7AB385FD"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Съответствие</w:t>
            </w:r>
            <w:proofErr w:type="spellEnd"/>
            <w:r w:rsidRPr="00771F88">
              <w:rPr>
                <w:rFonts w:ascii="Times New Roman" w:eastAsia="Times New Roman" w:hAnsi="Times New Roman" w:cs="Times New Roman"/>
                <w:sz w:val="24"/>
                <w:szCs w:val="24"/>
                <w:lang w:val="en-GB" w:eastAsia="en-GB"/>
              </w:rPr>
              <w:t xml:space="preserve"> с </w:t>
            </w:r>
            <w:proofErr w:type="spellStart"/>
            <w:r w:rsidRPr="00771F88">
              <w:rPr>
                <w:rFonts w:ascii="Times New Roman" w:eastAsia="Times New Roman" w:hAnsi="Times New Roman" w:cs="Times New Roman"/>
                <w:sz w:val="24"/>
                <w:szCs w:val="24"/>
                <w:lang w:val="en-GB" w:eastAsia="en-GB"/>
              </w:rPr>
              <w:t>правото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w:t>
            </w:r>
            <w:proofErr w:type="spellEnd"/>
            <w:r w:rsidRPr="00771F88">
              <w:rPr>
                <w:rFonts w:ascii="Times New Roman" w:eastAsia="Times New Roman" w:hAnsi="Times New Roman" w:cs="Times New Roman"/>
                <w:sz w:val="24"/>
                <w:szCs w:val="24"/>
                <w:lang w:val="en-GB" w:eastAsia="en-GB"/>
              </w:rPr>
              <w:t xml:space="preserve"> ЕС; </w:t>
            </w:r>
            <w:proofErr w:type="spellStart"/>
            <w:r w:rsidRPr="00771F88">
              <w:rPr>
                <w:rFonts w:ascii="Times New Roman" w:eastAsia="Times New Roman" w:hAnsi="Times New Roman" w:cs="Times New Roman"/>
                <w:sz w:val="24"/>
                <w:szCs w:val="24"/>
                <w:lang w:val="en-GB" w:eastAsia="en-GB"/>
              </w:rPr>
              <w:t>дигитализирани</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стандартизирани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процедури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през</w:t>
            </w:r>
            <w:proofErr w:type="spellEnd"/>
            <w:r w:rsidRPr="00771F88">
              <w:rPr>
                <w:rFonts w:ascii="Times New Roman" w:eastAsia="Times New Roman" w:hAnsi="Times New Roman" w:cs="Times New Roman"/>
                <w:sz w:val="24"/>
                <w:szCs w:val="24"/>
                <w:lang w:val="en-GB" w:eastAsia="en-GB"/>
              </w:rPr>
              <w:t xml:space="preserve"> HZZ; </w:t>
            </w:r>
            <w:proofErr w:type="spellStart"/>
            <w:r w:rsidRPr="00771F88">
              <w:rPr>
                <w:rFonts w:ascii="Times New Roman" w:eastAsia="Times New Roman" w:hAnsi="Times New Roman" w:cs="Times New Roman"/>
                <w:sz w:val="24"/>
                <w:szCs w:val="24"/>
                <w:lang w:val="en-GB" w:eastAsia="en-GB"/>
              </w:rPr>
              <w:t>по-висока</w:t>
            </w:r>
            <w:proofErr w:type="spellEnd"/>
            <w:r w:rsidRPr="00771F88">
              <w:rPr>
                <w:rFonts w:ascii="Times New Roman" w:eastAsia="Times New Roman" w:hAnsi="Times New Roman" w:cs="Times New Roman"/>
                <w:sz w:val="24"/>
                <w:szCs w:val="24"/>
                <w:lang w:val="en-GB" w:eastAsia="en-GB"/>
              </w:rPr>
              <w:t xml:space="preserve"> МРЗ и </w:t>
            </w:r>
            <w:proofErr w:type="spellStart"/>
            <w:r w:rsidRPr="00771F88">
              <w:rPr>
                <w:rFonts w:ascii="Times New Roman" w:eastAsia="Times New Roman" w:hAnsi="Times New Roman" w:cs="Times New Roman"/>
                <w:sz w:val="24"/>
                <w:szCs w:val="24"/>
                <w:lang w:val="en-GB" w:eastAsia="en-GB"/>
              </w:rPr>
              <w:t>колективно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договаряне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риск</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от</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сегментация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сезонни</w:t>
            </w:r>
            <w:proofErr w:type="spellEnd"/>
            <w:r w:rsidRPr="00771F88">
              <w:rPr>
                <w:rFonts w:ascii="Times New Roman" w:eastAsia="Times New Roman" w:hAnsi="Times New Roman" w:cs="Times New Roman"/>
                <w:sz w:val="24"/>
                <w:szCs w:val="24"/>
                <w:lang w:val="en-GB" w:eastAsia="en-GB"/>
              </w:rPr>
              <w:t>/</w:t>
            </w:r>
            <w:proofErr w:type="spellStart"/>
            <w:r w:rsidRPr="00771F88">
              <w:rPr>
                <w:rFonts w:ascii="Times New Roman" w:eastAsia="Times New Roman" w:hAnsi="Times New Roman" w:cs="Times New Roman"/>
                <w:sz w:val="24"/>
                <w:szCs w:val="24"/>
                <w:lang w:val="en-GB" w:eastAsia="en-GB"/>
              </w:rPr>
              <w:t>кратки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договори</w:t>
            </w:r>
            <w:proofErr w:type="spellEnd"/>
          </w:p>
        </w:tc>
        <w:tc>
          <w:tcPr>
            <w:tcW w:w="0" w:type="auto"/>
            <w:hideMark/>
          </w:tcPr>
          <w:p w14:paraId="54282DA0" w14:textId="77777777" w:rsidR="00771F88" w:rsidRPr="00771F88" w:rsidRDefault="00771F88" w:rsidP="00771F88">
            <w:pPr>
              <w:rPr>
                <w:rFonts w:ascii="Times New Roman" w:eastAsia="Times New Roman" w:hAnsi="Times New Roman" w:cs="Times New Roman"/>
                <w:sz w:val="24"/>
                <w:szCs w:val="24"/>
                <w:lang w:val="en-GB" w:eastAsia="en-GB"/>
              </w:rPr>
            </w:pPr>
            <w:proofErr w:type="spellStart"/>
            <w:r w:rsidRPr="00771F88">
              <w:rPr>
                <w:rFonts w:ascii="Times New Roman" w:eastAsia="Times New Roman" w:hAnsi="Times New Roman" w:cs="Times New Roman"/>
                <w:sz w:val="24"/>
                <w:szCs w:val="24"/>
                <w:lang w:val="en-GB" w:eastAsia="en-GB"/>
              </w:rPr>
              <w:t>По-лесен</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първи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наем</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кратки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обучителни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цикли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важни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наставничество</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проследяване</w:t>
            </w:r>
            <w:proofErr w:type="spellEnd"/>
            <w:r w:rsidRPr="00771F88">
              <w:rPr>
                <w:rFonts w:ascii="Times New Roman" w:eastAsia="Times New Roman" w:hAnsi="Times New Roman" w:cs="Times New Roman"/>
                <w:sz w:val="24"/>
                <w:szCs w:val="24"/>
                <w:lang w:val="en-GB" w:eastAsia="en-GB"/>
              </w:rPr>
              <w:t xml:space="preserve"> и </w:t>
            </w:r>
            <w:proofErr w:type="spellStart"/>
            <w:r w:rsidRPr="00771F88">
              <w:rPr>
                <w:rFonts w:ascii="Times New Roman" w:eastAsia="Times New Roman" w:hAnsi="Times New Roman" w:cs="Times New Roman"/>
                <w:sz w:val="24"/>
                <w:szCs w:val="24"/>
                <w:lang w:val="en-GB" w:eastAsia="en-GB"/>
              </w:rPr>
              <w:t>ясни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пътеки</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прогресия</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за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да</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се</w:t>
            </w:r>
            <w:proofErr w:type="spellEnd"/>
            <w:r w:rsidRPr="00771F88">
              <w:rPr>
                <w:rFonts w:ascii="Times New Roman" w:eastAsia="Times New Roman" w:hAnsi="Times New Roman" w:cs="Times New Roman"/>
                <w:sz w:val="24"/>
                <w:szCs w:val="24"/>
                <w:lang w:val="en-GB" w:eastAsia="en-GB"/>
              </w:rPr>
              <w:t xml:space="preserve"> </w:t>
            </w:r>
            <w:proofErr w:type="spellStart"/>
            <w:r w:rsidRPr="00771F88">
              <w:rPr>
                <w:rFonts w:ascii="Times New Roman" w:eastAsia="Times New Roman" w:hAnsi="Times New Roman" w:cs="Times New Roman"/>
                <w:sz w:val="24"/>
                <w:szCs w:val="24"/>
                <w:lang w:val="en-GB" w:eastAsia="en-GB"/>
              </w:rPr>
              <w:t>избегне</w:t>
            </w:r>
            <w:proofErr w:type="spellEnd"/>
            <w:r w:rsidRPr="00771F88">
              <w:rPr>
                <w:rFonts w:ascii="Times New Roman" w:eastAsia="Times New Roman" w:hAnsi="Times New Roman" w:cs="Times New Roman"/>
                <w:sz w:val="24"/>
                <w:szCs w:val="24"/>
                <w:lang w:val="en-GB" w:eastAsia="en-GB"/>
              </w:rPr>
              <w:t xml:space="preserve"> „</w:t>
            </w:r>
            <w:proofErr w:type="spellStart"/>
            <w:proofErr w:type="gramStart"/>
            <w:r w:rsidRPr="00771F88">
              <w:rPr>
                <w:rFonts w:ascii="Times New Roman" w:eastAsia="Times New Roman" w:hAnsi="Times New Roman" w:cs="Times New Roman"/>
                <w:sz w:val="24"/>
                <w:szCs w:val="24"/>
                <w:lang w:val="en-GB" w:eastAsia="en-GB"/>
              </w:rPr>
              <w:t>заклещване</w:t>
            </w:r>
            <w:proofErr w:type="spellEnd"/>
            <w:r w:rsidRPr="00771F88">
              <w:rPr>
                <w:rFonts w:ascii="Times New Roman" w:eastAsia="Times New Roman" w:hAnsi="Times New Roman" w:cs="Times New Roman"/>
                <w:sz w:val="24"/>
                <w:szCs w:val="24"/>
                <w:lang w:val="en-GB" w:eastAsia="en-GB"/>
              </w:rPr>
              <w:t>“</w:t>
            </w:r>
            <w:proofErr w:type="gramEnd"/>
          </w:p>
        </w:tc>
      </w:tr>
    </w:tbl>
    <w:p w14:paraId="2A046148" w14:textId="77777777" w:rsidR="00771F88" w:rsidRPr="00771F88" w:rsidRDefault="00771F88" w:rsidP="00771F88">
      <w:pPr>
        <w:spacing w:line="360" w:lineRule="auto"/>
        <w:ind w:firstLine="708"/>
        <w:jc w:val="center"/>
        <w:rPr>
          <w:rFonts w:ascii="Times New Roman" w:hAnsi="Times New Roman" w:cs="Times New Roman"/>
          <w:sz w:val="24"/>
          <w:szCs w:val="24"/>
        </w:rPr>
      </w:pPr>
    </w:p>
    <w:p w14:paraId="3E02AC0B" w14:textId="77777777" w:rsidR="00D26F56" w:rsidRPr="00963523"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Политическото измерение</w:t>
      </w:r>
      <w:r w:rsidRPr="00963523">
        <w:rPr>
          <w:rFonts w:ascii="Times New Roman" w:hAnsi="Times New Roman" w:cs="Times New Roman"/>
          <w:sz w:val="24"/>
          <w:szCs w:val="24"/>
        </w:rPr>
        <w:t xml:space="preserve"> в Хърватия след 2020 г. се характеризира с относителна институционална стабилност и постепенна модернизация на инструментите за активиране на младите, при която Хърватската служба по заетостта разширява портфейла от активни мерки—субсидирана заетост за първа работа, стажантски програми, ваучери за кратки обучения и стимули за самонаемане—в логика, съгласувана с динамиката на младежката заетост и NEET показателите (OECD, 2025a; OECD, 2025b; Eurostat, 2024b). Рамката на „Гаранция за младежта“ остава централен канал за ранна интервенция до 29-годишна възраст, като координацията с училища, университети и местни власти в туристически доминирани региони цели да смекчи сезонните флуктуации и да ускори прехода към обучение или работа (Eurostat, 2024b; Eurostat, 2024c). Присъединяването към еврозоната от 2023 г., в комбинация с по-строго бюджетиране в условия на постпандемична макроикономическа волатилност, допринася за по-висока предвидимост на публичните разходи и по-добра рамка за многогодишно планиране на програмите на пазара на труда (Eurostat, 2025e; Trading Economics, 2025a). На равнище управление се засилват мониторингът и оценката чрез резултатни индикатори—устойчивост на заетостта, доходна динамика и преходи от сезонна към целогодишна заетост—както и чрез по-тясно приоритизиране на мерки за рискови подгрупи в NEET, включително нискоквалифицирани младежи и млади жени с грижи (OECD, 2025a; Eurostat, 2024b). Паралелно, корекциите в минималната заплата и свързаните фискални решения изпращат по-ясни ценови сигнали към работодатели и участници, което подпомага предвидимостта на наемането в началото </w:t>
      </w:r>
      <w:r w:rsidRPr="00963523">
        <w:rPr>
          <w:rFonts w:ascii="Times New Roman" w:hAnsi="Times New Roman" w:cs="Times New Roman"/>
          <w:sz w:val="24"/>
          <w:szCs w:val="24"/>
        </w:rPr>
        <w:lastRenderedPageBreak/>
        <w:t>на кариерата (Tsoneva, 2025; Eurostat, 2025e). Въпреки напредъка, остават предизвикателства, свързани с неравномерна административна готовност на местно равнище и по-слаб работодателски капацитет във вътрешността спрямо крайбрежието, което налага продължаващо таргетиране на активните мерки и стабилно финансиране, за да се материализира траен спад на NEET и по-качествени преходи „образование–работа“ (OECD, 2025a; OECD, 2025b; Eurostat, 2024b).</w:t>
      </w:r>
    </w:p>
    <w:p w14:paraId="078F04FC" w14:textId="58916DEF" w:rsidR="00D26F56" w:rsidRPr="00963523"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Икономическото измерение</w:t>
      </w:r>
      <w:r w:rsidRPr="00963523">
        <w:rPr>
          <w:rFonts w:ascii="Times New Roman" w:hAnsi="Times New Roman" w:cs="Times New Roman"/>
          <w:sz w:val="24"/>
          <w:szCs w:val="24"/>
        </w:rPr>
        <w:t xml:space="preserve"> на </w:t>
      </w:r>
      <w:r w:rsidR="00327A10">
        <w:rPr>
          <w:rFonts w:ascii="Times New Roman" w:hAnsi="Times New Roman" w:cs="Times New Roman"/>
          <w:sz w:val="24"/>
          <w:szCs w:val="24"/>
        </w:rPr>
        <w:t xml:space="preserve">профила на </w:t>
      </w:r>
      <w:r w:rsidRPr="00963523">
        <w:rPr>
          <w:rFonts w:ascii="Times New Roman" w:hAnsi="Times New Roman" w:cs="Times New Roman"/>
          <w:sz w:val="24"/>
          <w:szCs w:val="24"/>
        </w:rPr>
        <w:t>Хърват</w:t>
      </w:r>
      <w:r w:rsidR="00327A10">
        <w:rPr>
          <w:rFonts w:ascii="Times New Roman" w:hAnsi="Times New Roman" w:cs="Times New Roman"/>
          <w:sz w:val="24"/>
          <w:szCs w:val="24"/>
        </w:rPr>
        <w:t>ска</w:t>
      </w:r>
      <w:r w:rsidRPr="00963523">
        <w:rPr>
          <w:rFonts w:ascii="Times New Roman" w:hAnsi="Times New Roman" w:cs="Times New Roman"/>
          <w:sz w:val="24"/>
          <w:szCs w:val="24"/>
        </w:rPr>
        <w:t xml:space="preserve"> след пандемията съчетава бързо възстановяване с отчетлива цикличност, водена от туризма и свързаните услуги, което засилва търсенето на труд и повишава коефициента на свободни работни места над предпандемичните равнища, особено в хотелиерство, ресторантьорство, транспорт и логистика (Eurostat, 2025b; Eurostat, 2025c). Инфлационният епизод през 2022 г., допълнен от краткосрочните ефекти на въвеждането на еврото, ерозира реалните доходи и забавя част от преходите „училище–работа“ за нискоквалифицираните, което временно повишава риска от фрикционна неактивност между сезоните (Trading Economics, 2025a; Eurostat, 2025e). Повишаването на минималната работна заплата и на средните възнаграждения през 2023–2024 г. подобрява ценовите стимули за участие и подкрепя възстановяването на заетостта, като едновременно с това задава по-висока отправна точка за началните позиции на младите (Eurostat, 2025e; Eurostat, 2025g). Въпреки тези позитиви недостигът на умения в определени сектори поддържа напрежение на пазара и генерира несъответствия между търсене и предлагане, видими по линията на Бевъридж кривата и сезонните амплитуди на вакантностите в услуги с висока туристическа експозиция (Eurostat, 2025b; Eurostat, 2025f). В резултат макрорамката остава благоприятна за активиране на младежите, но изисква фино таргетиране по региони и отрасли чрез мерки за бързо наваксващо обучение, стажове и подкрепа за мобилност в пиковите сезони, за да се ограничи временната неактивност и да се ускори устойчивият преход към заетост (Eurostat, 2024b; Eurostat, 2024c; OECD, 2025a).</w:t>
      </w:r>
    </w:p>
    <w:p w14:paraId="14BED9A4" w14:textId="42409248" w:rsidR="00D26F56" w:rsidRPr="005C2B62"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Социалното измерение</w:t>
      </w:r>
      <w:r w:rsidRPr="005C2B62">
        <w:rPr>
          <w:rFonts w:ascii="Times New Roman" w:hAnsi="Times New Roman" w:cs="Times New Roman"/>
          <w:sz w:val="24"/>
          <w:szCs w:val="24"/>
        </w:rPr>
        <w:t xml:space="preserve"> на Хърват</w:t>
      </w:r>
      <w:r w:rsidR="00327A10">
        <w:rPr>
          <w:rFonts w:ascii="Times New Roman" w:hAnsi="Times New Roman" w:cs="Times New Roman"/>
          <w:sz w:val="24"/>
          <w:szCs w:val="24"/>
        </w:rPr>
        <w:t>ска</w:t>
      </w:r>
      <w:r w:rsidRPr="005C2B62">
        <w:rPr>
          <w:rFonts w:ascii="Times New Roman" w:hAnsi="Times New Roman" w:cs="Times New Roman"/>
          <w:sz w:val="24"/>
          <w:szCs w:val="24"/>
        </w:rPr>
        <w:t xml:space="preserve"> се определя от взаимодействието между демографската динамика и образователно-пазарните преходи, което оформя различни рискови профили за младежката неактивност. Данните на Държавния статически институт показват силно мобилна възрастова група 20–29 години в международната миграция през 2024 г., което продължава да свива локалното предлагане на млад труд в редица вътрешни </w:t>
      </w:r>
      <w:r w:rsidRPr="005C2B62">
        <w:rPr>
          <w:rFonts w:ascii="Times New Roman" w:hAnsi="Times New Roman" w:cs="Times New Roman"/>
          <w:sz w:val="24"/>
          <w:szCs w:val="24"/>
        </w:rPr>
        <w:lastRenderedPageBreak/>
        <w:t>региони, въпреки положителния общ миграционен баланс (70 391 преселили се към Хърват</w:t>
      </w:r>
      <w:r w:rsidR="00327A10">
        <w:rPr>
          <w:rFonts w:ascii="Times New Roman" w:hAnsi="Times New Roman" w:cs="Times New Roman"/>
          <w:sz w:val="24"/>
          <w:szCs w:val="24"/>
        </w:rPr>
        <w:t>ска</w:t>
      </w:r>
      <w:r w:rsidRPr="005C2B62">
        <w:rPr>
          <w:rFonts w:ascii="Times New Roman" w:hAnsi="Times New Roman" w:cs="Times New Roman"/>
          <w:sz w:val="24"/>
          <w:szCs w:val="24"/>
        </w:rPr>
        <w:t xml:space="preserve"> срещу 38 997 напуснали; най-голям дял на отлив между 20–39 г.) (DZS, 2025). На този фон рискът от NEET остава концентриран сред младежите с по-ниско образование, в по-слабо урбанизирани райони и в „междусезонните“ интервали на туристическите пазари на труда, което се потвърждава от хоризонтални оценки на активните политики за групата 15–29 години (Kolarić, 2025). </w:t>
      </w:r>
    </w:p>
    <w:p w14:paraId="78B034DA" w14:textId="77777777" w:rsidR="00D26F56" w:rsidRPr="005C2B62" w:rsidRDefault="00D26F56" w:rsidP="00D26F56">
      <w:pPr>
        <w:spacing w:line="360" w:lineRule="auto"/>
        <w:ind w:firstLine="708"/>
        <w:jc w:val="both"/>
        <w:rPr>
          <w:rFonts w:ascii="Times New Roman" w:hAnsi="Times New Roman" w:cs="Times New Roman"/>
          <w:sz w:val="24"/>
          <w:szCs w:val="24"/>
        </w:rPr>
      </w:pPr>
      <w:r w:rsidRPr="005C2B62">
        <w:rPr>
          <w:rFonts w:ascii="Times New Roman" w:hAnsi="Times New Roman" w:cs="Times New Roman"/>
          <w:sz w:val="24"/>
          <w:szCs w:val="24"/>
        </w:rPr>
        <w:t>Развитието на дуалното и професионалното образование след 2018 г. цели да ускори прехода „училище–работа“ чрез обучение, основано на практика и ко-дизайн на учебни планове с работодатели (MZOM, 2025). Емпирични обобщения за първите вълни по дуалния модел показват ограничен, но нарастващ обхват в профили като „продавач“ и „CNC оператор“, с участието на мрежа от стоково-търговски и индустриални компании и над десетина стручни училища, което е сигнал за работещи локални връзки училища–работодатели там, където те са налични</w:t>
      </w:r>
      <w:r w:rsidRPr="003E1F48">
        <w:rPr>
          <w:rFonts w:ascii="Times New Roman" w:hAnsi="Times New Roman" w:cs="Times New Roman"/>
          <w:sz w:val="24"/>
          <w:szCs w:val="24"/>
        </w:rPr>
        <w:t>. В</w:t>
      </w:r>
      <w:r w:rsidRPr="005C2B62">
        <w:rPr>
          <w:rFonts w:ascii="Times New Roman" w:hAnsi="Times New Roman" w:cs="Times New Roman"/>
          <w:sz w:val="24"/>
          <w:szCs w:val="24"/>
        </w:rPr>
        <w:t xml:space="preserve">ъпреки това ефектът остава хетерогенен: в крайбрежните и силно туристически райони преходите са по-бързи, докато във вътрешността ограничената плътност на работодатели и по-малките възможности за практика поддържат по-дълги периоди на преход и по-висока вероятност за временно отпадане в статуса NEET (MZOM, 2025; Kolarić, 2025). </w:t>
      </w:r>
    </w:p>
    <w:p w14:paraId="1AE88BF4" w14:textId="77777777" w:rsidR="00D26F56" w:rsidRPr="005C2B62" w:rsidRDefault="00D26F56" w:rsidP="00D26F56">
      <w:pPr>
        <w:spacing w:line="360" w:lineRule="auto"/>
        <w:ind w:firstLine="708"/>
        <w:jc w:val="both"/>
        <w:rPr>
          <w:rFonts w:ascii="Times New Roman" w:hAnsi="Times New Roman" w:cs="Times New Roman"/>
          <w:sz w:val="24"/>
          <w:szCs w:val="24"/>
        </w:rPr>
      </w:pPr>
      <w:r w:rsidRPr="005C2B62">
        <w:rPr>
          <w:rFonts w:ascii="Times New Roman" w:hAnsi="Times New Roman" w:cs="Times New Roman"/>
          <w:sz w:val="24"/>
          <w:szCs w:val="24"/>
        </w:rPr>
        <w:t xml:space="preserve">Формите на ранно кариерно ориентиране и таргетираните интервенции към уязвими младежи до 29 години са институционализирани като приоритет в националната младежка политика, но изпълнението им изисква тясно съгласуване с местните образователни и работодателски мрежи, за да се поддържа активност и през „междинните“ месеци между сезоните (Nacionalni program za mlade 2023–2025). В съвкупност, демографското стесняване на кохортата 15–29 години, селективната емиграция и неравномерният достъп до дуални/стажантски пътеки водят до териториално различна уязвимост към неактивност; там, където съществуват плътни училищно-работодателски мрежи и ранни услуги за ориентиране, преходите са по-бързи, докато в периферните общини сезонността и ограничените възможности задълбочават рисковете за младежите с по-ниско образование (DZS, 2025; MZOM, 2025). </w:t>
      </w:r>
    </w:p>
    <w:p w14:paraId="664DD3C0" w14:textId="7C69FD8D" w:rsidR="00D26F56" w:rsidRPr="00BA5128"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Технологичното измерение</w:t>
      </w:r>
      <w:r w:rsidRPr="00BA5128">
        <w:rPr>
          <w:rFonts w:ascii="Times New Roman" w:hAnsi="Times New Roman" w:cs="Times New Roman"/>
          <w:sz w:val="24"/>
          <w:szCs w:val="24"/>
        </w:rPr>
        <w:t xml:space="preserve"> на </w:t>
      </w:r>
      <w:r w:rsidRPr="003E1F48">
        <w:rPr>
          <w:rFonts w:ascii="Times New Roman" w:hAnsi="Times New Roman" w:cs="Times New Roman"/>
          <w:sz w:val="24"/>
          <w:szCs w:val="24"/>
        </w:rPr>
        <w:t xml:space="preserve">PESTEL профила </w:t>
      </w:r>
      <w:r w:rsidR="00327A10">
        <w:rPr>
          <w:rFonts w:ascii="Times New Roman" w:hAnsi="Times New Roman" w:cs="Times New Roman"/>
          <w:sz w:val="24"/>
          <w:szCs w:val="24"/>
        </w:rPr>
        <w:t xml:space="preserve">на </w:t>
      </w:r>
      <w:r w:rsidRPr="00BA5128">
        <w:rPr>
          <w:rFonts w:ascii="Times New Roman" w:hAnsi="Times New Roman" w:cs="Times New Roman"/>
          <w:sz w:val="24"/>
          <w:szCs w:val="24"/>
        </w:rPr>
        <w:t>Хърват</w:t>
      </w:r>
      <w:r w:rsidR="00327A10">
        <w:rPr>
          <w:rFonts w:ascii="Times New Roman" w:hAnsi="Times New Roman" w:cs="Times New Roman"/>
          <w:sz w:val="24"/>
          <w:szCs w:val="24"/>
        </w:rPr>
        <w:t>ска</w:t>
      </w:r>
      <w:r w:rsidRPr="00BA5128">
        <w:rPr>
          <w:rFonts w:ascii="Times New Roman" w:hAnsi="Times New Roman" w:cs="Times New Roman"/>
          <w:sz w:val="24"/>
          <w:szCs w:val="24"/>
        </w:rPr>
        <w:t xml:space="preserve"> разкрива ускорено, но неравномерно усвояване на цифрови решения, при което широкото проникване на </w:t>
      </w:r>
      <w:r w:rsidRPr="00BA5128">
        <w:rPr>
          <w:rFonts w:ascii="Times New Roman" w:hAnsi="Times New Roman" w:cs="Times New Roman"/>
          <w:sz w:val="24"/>
          <w:szCs w:val="24"/>
        </w:rPr>
        <w:lastRenderedPageBreak/>
        <w:t xml:space="preserve">интернет и модернизацията на публичните услуги подпомагат посредничеството на HZZ и частните агенции чрез онлайн платформи, дистанционно интервюиране и електронно обучение (HZZ, 2024). Регистрира се стабилно високо ниво на свързаност на домакинствата и устойчиво използване на интернет във всички възрастови групи, като младежите традиционно имат по-висока дигитална активност от средното за населението, което създава предпоставки за навлизане в ИКТ и свързаните услуги (DZS, 2024). Успоредно с това институционалната дигитализация напредва чрез системата e-Građani, която разширява достъпа до е-услуги и улеснява обмена на данни между граждани, администрации и пазара на труда, но регионалните различия в използването на услугите и в качеството на свързаността продължават да ограничават обхвата (Središnji državni ured za razvoj digitalnog društva, 2024). Въпреки силната базова грамотност, недостигът на напреднали умения—програмиране, анализ на данни, киберсигурност—се проявява в по-ниска конвертируемост на част от младежите към високоплатени ИКТ позиции извън големите градове, което се отразява и в по-бавен преход към стабилна заетост в периферните райони (DZS, 2024). Следпандемичното разширяване на дистанционната и хибридната заетост отвори нови ниши за студенти и млади специалисти, но значителният дял сезонни работни места в туризма и свързаните услуги остава по-слабо дигитализиран и зависим от физическо присъствие, поддържайки структурни различия в преходите между сезони и региони (HZZ, 2023; HZZ, 2024). </w:t>
      </w:r>
    </w:p>
    <w:p w14:paraId="52C14ADC" w14:textId="1935A6D0" w:rsidR="00D26F56" w:rsidRPr="00BA5128"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Екологичното измерение</w:t>
      </w:r>
      <w:r w:rsidRPr="00BA5128">
        <w:rPr>
          <w:rFonts w:ascii="Times New Roman" w:hAnsi="Times New Roman" w:cs="Times New Roman"/>
          <w:sz w:val="24"/>
          <w:szCs w:val="24"/>
        </w:rPr>
        <w:t xml:space="preserve"> на профила на Хърват</w:t>
      </w:r>
      <w:r w:rsidR="00327A10">
        <w:rPr>
          <w:rFonts w:ascii="Times New Roman" w:hAnsi="Times New Roman" w:cs="Times New Roman"/>
          <w:sz w:val="24"/>
          <w:szCs w:val="24"/>
        </w:rPr>
        <w:t xml:space="preserve">ска </w:t>
      </w:r>
      <w:r w:rsidRPr="00BA5128">
        <w:rPr>
          <w:rFonts w:ascii="Times New Roman" w:hAnsi="Times New Roman" w:cs="Times New Roman"/>
          <w:sz w:val="24"/>
          <w:szCs w:val="24"/>
        </w:rPr>
        <w:t xml:space="preserve">разкрива висока експозиция към зеления преход в туризма, строителството, енергетиката и транспорта, където въвежданите изисквания за енергийна ефективност, управление на отпадъци и устойчиви вериги на доставка постепенно пренасочват търсенето към „зелени“ умения и нови позиции за млади хора с подходяща квалификация (European Parliament, 2025; European Environment Agency [EEA], 2025). Тези промени се подкрепят от европейското финансиране по Зелената сделка и Механизма за възстановяване и устойчивост чрез националния план на Хърватия, в който са заложени ваучери за обучение по зелени и цифрови компетентности и интегриране на такива умения в стандартите за професионално образование и обучение (European Commission, 2024; European Commission, 2025). Секторните политики допълват посоката: програмите за енергийно обновяване на сгради и насочената подкрепа за домакинства в енергийна бедност съчетават намаляване на емисиите с локално търсене на </w:t>
      </w:r>
      <w:r w:rsidRPr="00BA5128">
        <w:rPr>
          <w:rFonts w:ascii="Times New Roman" w:hAnsi="Times New Roman" w:cs="Times New Roman"/>
          <w:sz w:val="24"/>
          <w:szCs w:val="24"/>
        </w:rPr>
        <w:lastRenderedPageBreak/>
        <w:t xml:space="preserve">монтажници, енергийни одитори и техници по обновяване, като създават входни „зелени“ работни места за младежи и канали за преквалификация (Build Up, 2025; Balkan Green Energy News, 2025; Ministry of Physical Planning, Construction and State Assets, n.d.). От страна на кръговата икономика, новият План за управление на отпадъците 2023–2028 и подготвяната регулация за такси по разширена отговорност на производителя насочват инвестиции към събиране, сортиране, повторна употреба и рециркулация, което разширява спектъра от „зелени“ роли в логистиката и услугите по управление на ресурси (EEA, 2025). </w:t>
      </w:r>
    </w:p>
    <w:p w14:paraId="5C61B928" w14:textId="77777777" w:rsidR="00D26F56" w:rsidRPr="00BA5128" w:rsidRDefault="00D26F56" w:rsidP="00D26F56">
      <w:pPr>
        <w:spacing w:line="360" w:lineRule="auto"/>
        <w:ind w:firstLine="708"/>
        <w:jc w:val="both"/>
        <w:rPr>
          <w:rFonts w:ascii="Times New Roman" w:hAnsi="Times New Roman" w:cs="Times New Roman"/>
          <w:sz w:val="24"/>
          <w:szCs w:val="24"/>
        </w:rPr>
      </w:pPr>
      <w:r w:rsidRPr="00BA5128">
        <w:rPr>
          <w:rFonts w:ascii="Times New Roman" w:hAnsi="Times New Roman" w:cs="Times New Roman"/>
          <w:sz w:val="24"/>
          <w:szCs w:val="24"/>
        </w:rPr>
        <w:t xml:space="preserve">Реалната скорост на усвояване обаче зависи от местния капацитет за изпълнение и от партньорства между училища, центрове за обучение и фирми. Там, където регионалните мрежи са плътни, ваучерните схеми и кратките курсове по зелени компетентности достигат по-бързо до младежи в преход, докато в по-слабо урбанизирани общини ограничената инфраструктура и по-малкият брой работодатели забавят конверсията на уменията в устойчива заетост (European Commission, 2025; Government of Croatia, 2023). В енергетиката и транспорта стратегическите документи за нисковъглеродно развитие и актуализираният национален план „Енергетика и климат“ до 2030 г. задават рамка за декарбонизация и енергийна ефективност, но изискват последователно териториално изпълнение, за да се превърнат в устойчиво търсене на младежки труд извън няколко големи центъра (Ministry of Economy and Sustainable Development, 2020; European Commission, 2023). В този контекст екологичните стандарти играят двойна роля: от една страна повишават качеството на работните места чрез по-високи изисквания за квалификация и безопасност; от друга страна постепенно ограничават нископродуктивни и слабо устойчиви сезонни ниши, традиционно абсорбиращи младежки труд, което налага целенасочени програми за преквалификация и сезонно „мостово“ обучение, за да се задържи активността през междинните месеци (European Parliament, 2025; European Commission, 2024). </w:t>
      </w:r>
    </w:p>
    <w:p w14:paraId="2C090834" w14:textId="77777777" w:rsidR="00D26F56" w:rsidRPr="00AE79B9" w:rsidRDefault="00D26F56" w:rsidP="00D26F56">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Що се отнася до </w:t>
      </w:r>
      <w:r w:rsidRPr="00327A10">
        <w:rPr>
          <w:rFonts w:ascii="Times New Roman" w:hAnsi="Times New Roman" w:cs="Times New Roman"/>
          <w:b/>
          <w:bCs/>
          <w:sz w:val="24"/>
          <w:szCs w:val="24"/>
        </w:rPr>
        <w:t>правните фактори</w:t>
      </w:r>
      <w:r w:rsidRPr="003E1F48">
        <w:rPr>
          <w:rFonts w:ascii="Times New Roman" w:hAnsi="Times New Roman" w:cs="Times New Roman"/>
          <w:sz w:val="24"/>
          <w:szCs w:val="24"/>
        </w:rPr>
        <w:t xml:space="preserve"> на средата,</w:t>
      </w:r>
      <w:r w:rsidRPr="00AE79B9">
        <w:rPr>
          <w:rFonts w:ascii="Times New Roman" w:hAnsi="Times New Roman" w:cs="Times New Roman"/>
          <w:sz w:val="24"/>
          <w:szCs w:val="24"/>
        </w:rPr>
        <w:t xml:space="preserve"> Хърватия е в съответствие с правото на ЕС и подкрепя гъвкави форми на заетост, стажове и обучение на работното място, като постпандемичното разширяване на временните и сезонните договори улеснява входа на младите на пазара, но изисква политики срещу прекомерна сегментация и „заклещване“ в краткосрочна заетост без перспектива за прогресия (OECD, 2025a). Регулациите за стажуване и субсидирано наемане са относително ясни, а процедурите през HZZ са </w:t>
      </w:r>
      <w:r w:rsidRPr="00AE79B9">
        <w:rPr>
          <w:rFonts w:ascii="Times New Roman" w:hAnsi="Times New Roman" w:cs="Times New Roman"/>
          <w:sz w:val="24"/>
          <w:szCs w:val="24"/>
        </w:rPr>
        <w:lastRenderedPageBreak/>
        <w:t>дигитализирани и стандартизирани, което съкращава времето от регистрация до включване в мярка и намалява транзакционните разходи за работодателите и кандидатите (OECD, 2025a). В съчетание с ниските стойности на безработица в ЕС през 2024 г. това създава по-прозрачен режим за първи наем и за кратки обучителни цикли, но поставя и по-високи изисквания към качеството на наставничеството и проследяването на резултатите след мярка (Eurostat, 2025e). Повишаването на минималната работна заплата през 2023–2024 г., подкрепено от целенасочени фискални решения, заедно с колективното договаряне в определени сектори, подобрява предвидимостта на възнагражденията в началото на кариерата, но едновременно увеличава изискванията към производителността, което прави кратките обучения на работното място, дуалните формати и менторските програми ключови за задържането на младите и за преход от сезонна към по-устойчива заетост (Tsoneva, 2025; Eurostat, 2025e). На практика ефективността на тази рамка зависи от капацитета за контрол и оценка—особено при временното и сезонното наемане—и от способността да се ограничат повтарящите се кратки договори чрез ясни пътеки за прогресия, валидиране на придобити умения и обвързване на субсидиите с последващо задържане (OECD, 2025a).</w:t>
      </w:r>
    </w:p>
    <w:p w14:paraId="718C701B" w14:textId="77777777" w:rsidR="00D26F56" w:rsidRDefault="00D26F56" w:rsidP="00D26F56">
      <w:pPr>
        <w:spacing w:line="360" w:lineRule="auto"/>
        <w:ind w:firstLine="708"/>
        <w:jc w:val="both"/>
        <w:rPr>
          <w:rFonts w:ascii="Times New Roman" w:hAnsi="Times New Roman" w:cs="Times New Roman"/>
          <w:sz w:val="24"/>
          <w:szCs w:val="24"/>
        </w:rPr>
      </w:pPr>
      <w:r w:rsidRPr="00FA4FE1">
        <w:rPr>
          <w:rFonts w:ascii="Times New Roman" w:hAnsi="Times New Roman" w:cs="Times New Roman"/>
          <w:sz w:val="24"/>
          <w:szCs w:val="24"/>
        </w:rPr>
        <w:t>В обобщение, PESTEL профилът на Хърватска очертава среда с благоприятни циклични условия за младежка активизация, подсилени от политическа и институционална стабилност и от интеграционни ефекти след 2023 г. Основните рискове са структурни: сезонност, регионални неравенства, изтичане на млади и несъответствие на уменията в нарастваща икономика на услуги. Ефективността на политиките зависи от способността да се „сезонизира“ активирането чрез бързи и кратки интервенции между кампании, да се скалират обученията към зелени и дигитални профили и да се задълбочат местните партньорства между HZZ, образователните институции и работодателите. Там, където тези механизми са по-силни, преходите „образование–работа“ са по-бързи и рискът от трайна неактивност намалява; където са по-слаби, младежите остават уязвими към циклични прекъсвания и временни изтегляния от пазара.</w:t>
      </w:r>
    </w:p>
    <w:p w14:paraId="3D165232" w14:textId="2EDE1556" w:rsidR="00327A10" w:rsidRPr="00327A10" w:rsidRDefault="00327A10" w:rsidP="00D26F56">
      <w:pPr>
        <w:spacing w:line="360" w:lineRule="auto"/>
        <w:ind w:firstLine="708"/>
        <w:jc w:val="both"/>
        <w:rPr>
          <w:rFonts w:ascii="Times New Roman" w:hAnsi="Times New Roman" w:cs="Times New Roman"/>
          <w:b/>
          <w:bCs/>
          <w:sz w:val="24"/>
          <w:szCs w:val="24"/>
        </w:rPr>
      </w:pPr>
      <w:r w:rsidRPr="00327A10">
        <w:rPr>
          <w:rFonts w:ascii="Times New Roman" w:hAnsi="Times New Roman" w:cs="Times New Roman"/>
          <w:b/>
          <w:bCs/>
          <w:sz w:val="24"/>
          <w:szCs w:val="24"/>
        </w:rPr>
        <w:t xml:space="preserve">2.3. </w:t>
      </w:r>
      <w:r w:rsidRPr="00327A10">
        <w:rPr>
          <w:rFonts w:ascii="Times New Roman" w:hAnsi="Times New Roman" w:cs="Times New Roman"/>
          <w:b/>
          <w:bCs/>
          <w:sz w:val="24"/>
          <w:szCs w:val="24"/>
        </w:rPr>
        <w:t>PESTEL</w:t>
      </w:r>
      <w:r w:rsidRPr="00327A10">
        <w:rPr>
          <w:rFonts w:ascii="Times New Roman" w:hAnsi="Times New Roman" w:cs="Times New Roman"/>
          <w:b/>
          <w:bCs/>
          <w:sz w:val="24"/>
          <w:szCs w:val="24"/>
        </w:rPr>
        <w:t xml:space="preserve"> профил на Нидерландия</w:t>
      </w:r>
    </w:p>
    <w:p w14:paraId="33B5A502" w14:textId="39628C5B" w:rsidR="00D26F56" w:rsidRDefault="00D26F56" w:rsidP="00D26F56">
      <w:pPr>
        <w:spacing w:line="360" w:lineRule="auto"/>
        <w:ind w:firstLine="708"/>
        <w:jc w:val="both"/>
        <w:rPr>
          <w:rFonts w:ascii="Times New Roman" w:hAnsi="Times New Roman" w:cs="Times New Roman"/>
          <w:sz w:val="24"/>
          <w:szCs w:val="24"/>
        </w:rPr>
      </w:pPr>
      <w:r w:rsidRPr="00FA4FE1">
        <w:rPr>
          <w:rFonts w:ascii="Times New Roman" w:hAnsi="Times New Roman" w:cs="Times New Roman"/>
          <w:sz w:val="24"/>
          <w:szCs w:val="24"/>
        </w:rPr>
        <w:t xml:space="preserve">PESTEL профилът на Нидерландия разкрива макросреда, в която младежката трудова неактивност остава трайно ниска и колебанията след пандемията се абсорбират </w:t>
      </w:r>
      <w:r w:rsidRPr="00FA4FE1">
        <w:rPr>
          <w:rFonts w:ascii="Times New Roman" w:hAnsi="Times New Roman" w:cs="Times New Roman"/>
          <w:sz w:val="24"/>
          <w:szCs w:val="24"/>
        </w:rPr>
        <w:lastRenderedPageBreak/>
        <w:t>бързо. Страната комбинира силни институционални механизми на пазара на труда, висока дигитална зрялост и активни политики за посредничество и обучение, което съкращава времето на преходите „образование–работа“ и намалява риска младите да останат извън заетост и образование</w:t>
      </w:r>
      <w:r w:rsidR="00A2433D">
        <w:rPr>
          <w:rFonts w:ascii="Times New Roman" w:hAnsi="Times New Roman" w:cs="Times New Roman"/>
          <w:sz w:val="24"/>
          <w:szCs w:val="24"/>
        </w:rPr>
        <w:t xml:space="preserve"> (Табл. 3)</w:t>
      </w:r>
      <w:r w:rsidRPr="00FA4FE1">
        <w:rPr>
          <w:rFonts w:ascii="Times New Roman" w:hAnsi="Times New Roman" w:cs="Times New Roman"/>
          <w:sz w:val="24"/>
          <w:szCs w:val="24"/>
        </w:rPr>
        <w:t>.</w:t>
      </w:r>
    </w:p>
    <w:p w14:paraId="26A47936" w14:textId="1A04A82E" w:rsidR="00A2433D" w:rsidRDefault="00A2433D" w:rsidP="00A2433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Таблица 3. </w:t>
      </w:r>
      <w:r w:rsidRPr="00A2433D">
        <w:rPr>
          <w:rFonts w:ascii="Times New Roman" w:hAnsi="Times New Roman" w:cs="Times New Roman"/>
          <w:sz w:val="24"/>
          <w:szCs w:val="24"/>
        </w:rPr>
        <w:t>PESTEL</w:t>
      </w:r>
      <w:r>
        <w:rPr>
          <w:rFonts w:ascii="Times New Roman" w:hAnsi="Times New Roman" w:cs="Times New Roman"/>
          <w:sz w:val="24"/>
          <w:szCs w:val="24"/>
        </w:rPr>
        <w:t xml:space="preserve"> профил на Нидерландия</w:t>
      </w:r>
    </w:p>
    <w:p w14:paraId="10B9D45F" w14:textId="47BD0277" w:rsidR="00A2433D" w:rsidRDefault="00A2433D" w:rsidP="00A2433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Style w:val="TableGrid"/>
        <w:tblW w:w="0" w:type="auto"/>
        <w:tblLook w:val="04A0" w:firstRow="1" w:lastRow="0" w:firstColumn="1" w:lastColumn="0" w:noHBand="0" w:noVBand="1"/>
      </w:tblPr>
      <w:tblGrid>
        <w:gridCol w:w="1726"/>
        <w:gridCol w:w="4461"/>
        <w:gridCol w:w="3163"/>
      </w:tblGrid>
      <w:tr w:rsidR="00A2433D" w:rsidRPr="00A2433D" w14:paraId="18D95A53" w14:textId="77777777" w:rsidTr="00A2433D">
        <w:tc>
          <w:tcPr>
            <w:tcW w:w="0" w:type="auto"/>
            <w:hideMark/>
          </w:tcPr>
          <w:p w14:paraId="65821B2A" w14:textId="77777777" w:rsidR="00A2433D" w:rsidRPr="00A2433D" w:rsidRDefault="00A2433D" w:rsidP="00A2433D">
            <w:pPr>
              <w:jc w:val="center"/>
              <w:rPr>
                <w:rFonts w:ascii="Times New Roman" w:eastAsia="Times New Roman" w:hAnsi="Times New Roman" w:cs="Times New Roman"/>
                <w:b/>
                <w:bCs/>
                <w:sz w:val="24"/>
                <w:szCs w:val="24"/>
                <w:lang w:val="en-GB" w:eastAsia="en-GB"/>
              </w:rPr>
            </w:pPr>
            <w:proofErr w:type="spellStart"/>
            <w:r w:rsidRPr="00A2433D">
              <w:rPr>
                <w:rFonts w:ascii="Times New Roman" w:eastAsia="Times New Roman" w:hAnsi="Times New Roman" w:cs="Times New Roman"/>
                <w:b/>
                <w:bCs/>
                <w:sz w:val="24"/>
                <w:szCs w:val="24"/>
                <w:lang w:val="en-GB" w:eastAsia="en-GB"/>
              </w:rPr>
              <w:t>Измерение</w:t>
            </w:r>
            <w:proofErr w:type="spellEnd"/>
          </w:p>
        </w:tc>
        <w:tc>
          <w:tcPr>
            <w:tcW w:w="0" w:type="auto"/>
            <w:hideMark/>
          </w:tcPr>
          <w:p w14:paraId="4B5903FB" w14:textId="77777777" w:rsidR="00A2433D" w:rsidRPr="00A2433D" w:rsidRDefault="00A2433D" w:rsidP="00A2433D">
            <w:pPr>
              <w:jc w:val="center"/>
              <w:rPr>
                <w:rFonts w:ascii="Times New Roman" w:eastAsia="Times New Roman" w:hAnsi="Times New Roman" w:cs="Times New Roman"/>
                <w:b/>
                <w:bCs/>
                <w:sz w:val="24"/>
                <w:szCs w:val="24"/>
                <w:lang w:val="en-GB" w:eastAsia="en-GB"/>
              </w:rPr>
            </w:pPr>
            <w:proofErr w:type="spellStart"/>
            <w:r w:rsidRPr="00A2433D">
              <w:rPr>
                <w:rFonts w:ascii="Times New Roman" w:eastAsia="Times New Roman" w:hAnsi="Times New Roman" w:cs="Times New Roman"/>
                <w:b/>
                <w:bCs/>
                <w:sz w:val="24"/>
                <w:szCs w:val="24"/>
                <w:lang w:val="en-GB" w:eastAsia="en-GB"/>
              </w:rPr>
              <w:t>Ключови</w:t>
            </w:r>
            <w:proofErr w:type="spellEnd"/>
            <w:r w:rsidRPr="00A2433D">
              <w:rPr>
                <w:rFonts w:ascii="Times New Roman" w:eastAsia="Times New Roman" w:hAnsi="Times New Roman" w:cs="Times New Roman"/>
                <w:b/>
                <w:bCs/>
                <w:sz w:val="24"/>
                <w:szCs w:val="24"/>
                <w:lang w:val="en-GB" w:eastAsia="en-GB"/>
              </w:rPr>
              <w:t xml:space="preserve"> </w:t>
            </w:r>
            <w:proofErr w:type="spellStart"/>
            <w:r w:rsidRPr="00A2433D">
              <w:rPr>
                <w:rFonts w:ascii="Times New Roman" w:eastAsia="Times New Roman" w:hAnsi="Times New Roman" w:cs="Times New Roman"/>
                <w:b/>
                <w:bCs/>
                <w:sz w:val="24"/>
                <w:szCs w:val="24"/>
                <w:lang w:val="en-GB" w:eastAsia="en-GB"/>
              </w:rPr>
              <w:t>наблюдения</w:t>
            </w:r>
            <w:proofErr w:type="spellEnd"/>
          </w:p>
        </w:tc>
        <w:tc>
          <w:tcPr>
            <w:tcW w:w="0" w:type="auto"/>
            <w:hideMark/>
          </w:tcPr>
          <w:p w14:paraId="30FA9957" w14:textId="77777777" w:rsidR="00A2433D" w:rsidRPr="00A2433D" w:rsidRDefault="00A2433D" w:rsidP="00A2433D">
            <w:pPr>
              <w:jc w:val="center"/>
              <w:rPr>
                <w:rFonts w:ascii="Times New Roman" w:eastAsia="Times New Roman" w:hAnsi="Times New Roman" w:cs="Times New Roman"/>
                <w:b/>
                <w:bCs/>
                <w:sz w:val="24"/>
                <w:szCs w:val="24"/>
                <w:lang w:val="en-GB" w:eastAsia="en-GB"/>
              </w:rPr>
            </w:pPr>
            <w:proofErr w:type="spellStart"/>
            <w:r w:rsidRPr="00A2433D">
              <w:rPr>
                <w:rFonts w:ascii="Times New Roman" w:eastAsia="Times New Roman" w:hAnsi="Times New Roman" w:cs="Times New Roman"/>
                <w:b/>
                <w:bCs/>
                <w:sz w:val="24"/>
                <w:szCs w:val="24"/>
                <w:lang w:val="en-GB" w:eastAsia="en-GB"/>
              </w:rPr>
              <w:t>Последствия</w:t>
            </w:r>
            <w:proofErr w:type="spellEnd"/>
            <w:r w:rsidRPr="00A2433D">
              <w:rPr>
                <w:rFonts w:ascii="Times New Roman" w:eastAsia="Times New Roman" w:hAnsi="Times New Roman" w:cs="Times New Roman"/>
                <w:b/>
                <w:bCs/>
                <w:sz w:val="24"/>
                <w:szCs w:val="24"/>
                <w:lang w:val="en-GB" w:eastAsia="en-GB"/>
              </w:rPr>
              <w:t xml:space="preserve"> </w:t>
            </w:r>
            <w:proofErr w:type="spellStart"/>
            <w:r w:rsidRPr="00A2433D">
              <w:rPr>
                <w:rFonts w:ascii="Times New Roman" w:eastAsia="Times New Roman" w:hAnsi="Times New Roman" w:cs="Times New Roman"/>
                <w:b/>
                <w:bCs/>
                <w:sz w:val="24"/>
                <w:szCs w:val="24"/>
                <w:lang w:val="en-GB" w:eastAsia="en-GB"/>
              </w:rPr>
              <w:t>за</w:t>
            </w:r>
            <w:proofErr w:type="spellEnd"/>
            <w:r w:rsidRPr="00A2433D">
              <w:rPr>
                <w:rFonts w:ascii="Times New Roman" w:eastAsia="Times New Roman" w:hAnsi="Times New Roman" w:cs="Times New Roman"/>
                <w:b/>
                <w:bCs/>
                <w:sz w:val="24"/>
                <w:szCs w:val="24"/>
                <w:lang w:val="en-GB" w:eastAsia="en-GB"/>
              </w:rPr>
              <w:t xml:space="preserve"> </w:t>
            </w:r>
            <w:proofErr w:type="spellStart"/>
            <w:r w:rsidRPr="00A2433D">
              <w:rPr>
                <w:rFonts w:ascii="Times New Roman" w:eastAsia="Times New Roman" w:hAnsi="Times New Roman" w:cs="Times New Roman"/>
                <w:b/>
                <w:bCs/>
                <w:sz w:val="24"/>
                <w:szCs w:val="24"/>
                <w:lang w:val="en-GB" w:eastAsia="en-GB"/>
              </w:rPr>
              <w:t>младежите</w:t>
            </w:r>
            <w:proofErr w:type="spellEnd"/>
            <w:r w:rsidRPr="00A2433D">
              <w:rPr>
                <w:rFonts w:ascii="Times New Roman" w:eastAsia="Times New Roman" w:hAnsi="Times New Roman" w:cs="Times New Roman"/>
                <w:b/>
                <w:bCs/>
                <w:sz w:val="24"/>
                <w:szCs w:val="24"/>
                <w:lang w:val="en-GB" w:eastAsia="en-GB"/>
              </w:rPr>
              <w:t xml:space="preserve"> (NEET)</w:t>
            </w:r>
          </w:p>
        </w:tc>
      </w:tr>
      <w:tr w:rsidR="00A2433D" w:rsidRPr="00A2433D" w14:paraId="78034F6E" w14:textId="77777777" w:rsidTr="00A2433D">
        <w:tc>
          <w:tcPr>
            <w:tcW w:w="0" w:type="auto"/>
            <w:hideMark/>
          </w:tcPr>
          <w:p w14:paraId="656AF313"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Политическо</w:t>
            </w:r>
            <w:proofErr w:type="spellEnd"/>
          </w:p>
        </w:tc>
        <w:tc>
          <w:tcPr>
            <w:tcW w:w="0" w:type="auto"/>
            <w:hideMark/>
          </w:tcPr>
          <w:p w14:paraId="52FC0056"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Двустепенна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система</w:t>
            </w:r>
            <w:proofErr w:type="spellEnd"/>
            <w:r w:rsidRPr="00A2433D">
              <w:rPr>
                <w:rFonts w:ascii="Times New Roman" w:eastAsia="Times New Roman" w:hAnsi="Times New Roman" w:cs="Times New Roman"/>
                <w:sz w:val="24"/>
                <w:szCs w:val="24"/>
                <w:lang w:val="en-GB" w:eastAsia="en-GB"/>
              </w:rPr>
              <w:t xml:space="preserve">: UWV </w:t>
            </w:r>
            <w:proofErr w:type="spellStart"/>
            <w:r w:rsidRPr="00A2433D">
              <w:rPr>
                <w:rFonts w:ascii="Times New Roman" w:eastAsia="Times New Roman" w:hAnsi="Times New Roman" w:cs="Times New Roman"/>
                <w:sz w:val="24"/>
                <w:szCs w:val="24"/>
                <w:lang w:val="en-GB" w:eastAsia="en-GB"/>
              </w:rPr>
              <w:t>задава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стандарти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общините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изпълняват</w:t>
            </w:r>
            <w:proofErr w:type="spellEnd"/>
            <w:r w:rsidRPr="00A2433D">
              <w:rPr>
                <w:rFonts w:ascii="Times New Roman" w:eastAsia="Times New Roman" w:hAnsi="Times New Roman" w:cs="Times New Roman"/>
                <w:sz w:val="24"/>
                <w:szCs w:val="24"/>
                <w:lang w:val="en-GB" w:eastAsia="en-GB"/>
              </w:rPr>
              <w:t>; „</w:t>
            </w:r>
            <w:proofErr w:type="spellStart"/>
            <w:r w:rsidRPr="00A2433D">
              <w:rPr>
                <w:rFonts w:ascii="Times New Roman" w:eastAsia="Times New Roman" w:hAnsi="Times New Roman" w:cs="Times New Roman"/>
                <w:sz w:val="24"/>
                <w:szCs w:val="24"/>
                <w:lang w:val="en-GB" w:eastAsia="en-GB"/>
              </w:rPr>
              <w:t>едно</w:t>
            </w:r>
            <w:proofErr w:type="spellEnd"/>
            <w:r w:rsidRPr="00A2433D">
              <w:rPr>
                <w:rFonts w:ascii="Times New Roman" w:eastAsia="Times New Roman" w:hAnsi="Times New Roman" w:cs="Times New Roman"/>
                <w:sz w:val="24"/>
                <w:szCs w:val="24"/>
                <w:lang w:val="en-GB" w:eastAsia="en-GB"/>
              </w:rPr>
              <w:t xml:space="preserve"> </w:t>
            </w:r>
            <w:proofErr w:type="spellStart"/>
            <w:proofErr w:type="gramStart"/>
            <w:r w:rsidRPr="00A2433D">
              <w:rPr>
                <w:rFonts w:ascii="Times New Roman" w:eastAsia="Times New Roman" w:hAnsi="Times New Roman" w:cs="Times New Roman"/>
                <w:sz w:val="24"/>
                <w:szCs w:val="24"/>
                <w:lang w:val="en-GB" w:eastAsia="en-GB"/>
              </w:rPr>
              <w:t>гише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услуги</w:t>
            </w:r>
            <w:proofErr w:type="spellEnd"/>
            <w:proofErr w:type="gram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силно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социално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партньорство</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секторни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договори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бърза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активация</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ранно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насочване</w:t>
            </w:r>
            <w:proofErr w:type="spellEnd"/>
          </w:p>
        </w:tc>
        <w:tc>
          <w:tcPr>
            <w:tcW w:w="0" w:type="auto"/>
            <w:hideMark/>
          </w:tcPr>
          <w:p w14:paraId="28A5B451"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Кратко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време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регистрация</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услуга</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работа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по-нисък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риск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продължителна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неактивност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по-добро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покритие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уязвими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подгрупи</w:t>
            </w:r>
            <w:proofErr w:type="spellEnd"/>
          </w:p>
        </w:tc>
      </w:tr>
      <w:tr w:rsidR="00A2433D" w:rsidRPr="00A2433D" w14:paraId="7830D98A" w14:textId="77777777" w:rsidTr="00A2433D">
        <w:tc>
          <w:tcPr>
            <w:tcW w:w="0" w:type="auto"/>
            <w:hideMark/>
          </w:tcPr>
          <w:p w14:paraId="320B1E28"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Икономическо</w:t>
            </w:r>
            <w:proofErr w:type="spellEnd"/>
          </w:p>
        </w:tc>
        <w:tc>
          <w:tcPr>
            <w:tcW w:w="0" w:type="auto"/>
            <w:hideMark/>
          </w:tcPr>
          <w:p w14:paraId="6F90AD49"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Ниска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безработица</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устойчиво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висока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вакантност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силен</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дял</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услуги</w:t>
            </w:r>
            <w:proofErr w:type="spellEnd"/>
            <w:r w:rsidRPr="00A2433D">
              <w:rPr>
                <w:rFonts w:ascii="Times New Roman" w:eastAsia="Times New Roman" w:hAnsi="Times New Roman" w:cs="Times New Roman"/>
                <w:sz w:val="24"/>
                <w:szCs w:val="24"/>
                <w:lang w:val="en-GB" w:eastAsia="en-GB"/>
              </w:rPr>
              <w:t xml:space="preserve"> с </w:t>
            </w:r>
            <w:proofErr w:type="spellStart"/>
            <w:r w:rsidRPr="00A2433D">
              <w:rPr>
                <w:rFonts w:ascii="Times New Roman" w:eastAsia="Times New Roman" w:hAnsi="Times New Roman" w:cs="Times New Roman"/>
                <w:sz w:val="24"/>
                <w:szCs w:val="24"/>
                <w:lang w:val="en-GB" w:eastAsia="en-GB"/>
              </w:rPr>
              <w:t>висока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добавена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стойност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корекции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МРЗ и </w:t>
            </w:r>
            <w:proofErr w:type="spellStart"/>
            <w:r w:rsidRPr="00A2433D">
              <w:rPr>
                <w:rFonts w:ascii="Times New Roman" w:eastAsia="Times New Roman" w:hAnsi="Times New Roman" w:cs="Times New Roman"/>
                <w:sz w:val="24"/>
                <w:szCs w:val="24"/>
                <w:lang w:val="en-GB" w:eastAsia="en-GB"/>
              </w:rPr>
              <w:t>договаряни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заплати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прозрачно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почасово</w:t>
            </w:r>
            <w:proofErr w:type="spellEnd"/>
            <w:r w:rsidRPr="00A2433D">
              <w:rPr>
                <w:rFonts w:ascii="Times New Roman" w:eastAsia="Times New Roman" w:hAnsi="Times New Roman" w:cs="Times New Roman"/>
                <w:sz w:val="24"/>
                <w:szCs w:val="24"/>
                <w:lang w:val="en-GB" w:eastAsia="en-GB"/>
              </w:rPr>
              <w:t xml:space="preserve"> МРЗ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2024)</w:t>
            </w:r>
          </w:p>
        </w:tc>
        <w:tc>
          <w:tcPr>
            <w:tcW w:w="0" w:type="auto"/>
            <w:hideMark/>
          </w:tcPr>
          <w:p w14:paraId="1C54B1AC"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Бърз</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мачинг</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много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входни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позиции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стабилни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стимули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ранно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включване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нужда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таргетиране</w:t>
            </w:r>
            <w:proofErr w:type="spellEnd"/>
            <w:r w:rsidRPr="00A2433D">
              <w:rPr>
                <w:rFonts w:ascii="Times New Roman" w:eastAsia="Times New Roman" w:hAnsi="Times New Roman" w:cs="Times New Roman"/>
                <w:sz w:val="24"/>
                <w:szCs w:val="24"/>
                <w:lang w:val="en-GB" w:eastAsia="en-GB"/>
              </w:rPr>
              <w:t xml:space="preserve"> в </w:t>
            </w:r>
            <w:proofErr w:type="spellStart"/>
            <w:r w:rsidRPr="00A2433D">
              <w:rPr>
                <w:rFonts w:ascii="Times New Roman" w:eastAsia="Times New Roman" w:hAnsi="Times New Roman" w:cs="Times New Roman"/>
                <w:sz w:val="24"/>
                <w:szCs w:val="24"/>
                <w:lang w:val="en-GB" w:eastAsia="en-GB"/>
              </w:rPr>
              <w:t>сектори</w:t>
            </w:r>
            <w:proofErr w:type="spellEnd"/>
            <w:r w:rsidRPr="00A2433D">
              <w:rPr>
                <w:rFonts w:ascii="Times New Roman" w:eastAsia="Times New Roman" w:hAnsi="Times New Roman" w:cs="Times New Roman"/>
                <w:sz w:val="24"/>
                <w:szCs w:val="24"/>
                <w:lang w:val="en-GB" w:eastAsia="en-GB"/>
              </w:rPr>
              <w:t xml:space="preserve"> с </w:t>
            </w:r>
            <w:proofErr w:type="spellStart"/>
            <w:r w:rsidRPr="00A2433D">
              <w:rPr>
                <w:rFonts w:ascii="Times New Roman" w:eastAsia="Times New Roman" w:hAnsi="Times New Roman" w:cs="Times New Roman"/>
                <w:sz w:val="24"/>
                <w:szCs w:val="24"/>
                <w:lang w:val="en-GB" w:eastAsia="en-GB"/>
              </w:rPr>
              <w:t>недостиг</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умения</w:t>
            </w:r>
            <w:proofErr w:type="spellEnd"/>
          </w:p>
        </w:tc>
      </w:tr>
      <w:tr w:rsidR="00A2433D" w:rsidRPr="00A2433D" w14:paraId="12512ED4" w14:textId="77777777" w:rsidTr="00A2433D">
        <w:tc>
          <w:tcPr>
            <w:tcW w:w="0" w:type="auto"/>
            <w:hideMark/>
          </w:tcPr>
          <w:p w14:paraId="05167CF8"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Социално</w:t>
            </w:r>
            <w:proofErr w:type="spellEnd"/>
          </w:p>
        </w:tc>
        <w:tc>
          <w:tcPr>
            <w:tcW w:w="0" w:type="auto"/>
            <w:hideMark/>
          </w:tcPr>
          <w:p w14:paraId="4AC4F70E"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Висока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образователна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ангажираност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устойчиви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дуални</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стажантски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пътеки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култура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непълно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работно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време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таргетирани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мерки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квартали</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групи</w:t>
            </w:r>
            <w:proofErr w:type="spellEnd"/>
          </w:p>
        </w:tc>
        <w:tc>
          <w:tcPr>
            <w:tcW w:w="0" w:type="auto"/>
            <w:hideMark/>
          </w:tcPr>
          <w:p w14:paraId="0146C070"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Къси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преходи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училище</w:t>
            </w:r>
            <w:proofErr w:type="spellEnd"/>
            <w:r w:rsidRPr="00A2433D">
              <w:rPr>
                <w:rFonts w:ascii="Times New Roman" w:eastAsia="Times New Roman" w:hAnsi="Times New Roman" w:cs="Times New Roman"/>
                <w:sz w:val="24"/>
                <w:szCs w:val="24"/>
                <w:lang w:val="en-GB" w:eastAsia="en-GB"/>
              </w:rPr>
              <w:t>–</w:t>
            </w:r>
            <w:proofErr w:type="spellStart"/>
            <w:proofErr w:type="gramStart"/>
            <w:r w:rsidRPr="00A2433D">
              <w:rPr>
                <w:rFonts w:ascii="Times New Roman" w:eastAsia="Times New Roman" w:hAnsi="Times New Roman" w:cs="Times New Roman"/>
                <w:sz w:val="24"/>
                <w:szCs w:val="24"/>
                <w:lang w:val="en-GB" w:eastAsia="en-GB"/>
              </w:rPr>
              <w:t>работа</w:t>
            </w:r>
            <w:proofErr w:type="spellEnd"/>
            <w:r w:rsidRPr="00A2433D">
              <w:rPr>
                <w:rFonts w:ascii="Times New Roman" w:eastAsia="Times New Roman" w:hAnsi="Times New Roman" w:cs="Times New Roman"/>
                <w:sz w:val="24"/>
                <w:szCs w:val="24"/>
                <w:lang w:val="en-GB" w:eastAsia="en-GB"/>
              </w:rPr>
              <w:t>“</w:t>
            </w:r>
            <w:proofErr w:type="gram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много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възможности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комбиниране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учене</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труд</w:t>
            </w:r>
            <w:proofErr w:type="spellEnd"/>
            <w:r w:rsidRPr="00A2433D">
              <w:rPr>
                <w:rFonts w:ascii="Times New Roman" w:eastAsia="Times New Roman" w:hAnsi="Times New Roman" w:cs="Times New Roman"/>
                <w:sz w:val="24"/>
                <w:szCs w:val="24"/>
                <w:lang w:val="en-GB" w:eastAsia="en-GB"/>
              </w:rPr>
              <w:t xml:space="preserve">; NEET </w:t>
            </w:r>
            <w:proofErr w:type="spellStart"/>
            <w:r w:rsidRPr="00A2433D">
              <w:rPr>
                <w:rFonts w:ascii="Times New Roman" w:eastAsia="Times New Roman" w:hAnsi="Times New Roman" w:cs="Times New Roman"/>
                <w:sz w:val="24"/>
                <w:szCs w:val="24"/>
                <w:lang w:val="en-GB" w:eastAsia="en-GB"/>
              </w:rPr>
              <w:t>ниски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по-висок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риск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младежи</w:t>
            </w:r>
            <w:proofErr w:type="spellEnd"/>
            <w:r w:rsidRPr="00A2433D">
              <w:rPr>
                <w:rFonts w:ascii="Times New Roman" w:eastAsia="Times New Roman" w:hAnsi="Times New Roman" w:cs="Times New Roman"/>
                <w:sz w:val="24"/>
                <w:szCs w:val="24"/>
                <w:lang w:val="en-GB" w:eastAsia="en-GB"/>
              </w:rPr>
              <w:t xml:space="preserve"> с </w:t>
            </w:r>
            <w:proofErr w:type="spellStart"/>
            <w:r w:rsidRPr="00A2433D">
              <w:rPr>
                <w:rFonts w:ascii="Times New Roman" w:eastAsia="Times New Roman" w:hAnsi="Times New Roman" w:cs="Times New Roman"/>
                <w:sz w:val="24"/>
                <w:szCs w:val="24"/>
                <w:lang w:val="en-GB" w:eastAsia="en-GB"/>
              </w:rPr>
              <w:t>мигрантски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произход</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по-ниско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образование</w:t>
            </w:r>
            <w:proofErr w:type="spellEnd"/>
          </w:p>
        </w:tc>
      </w:tr>
      <w:tr w:rsidR="00A2433D" w:rsidRPr="00A2433D" w14:paraId="517F8175" w14:textId="77777777" w:rsidTr="00A2433D">
        <w:tc>
          <w:tcPr>
            <w:tcW w:w="0" w:type="auto"/>
            <w:hideMark/>
          </w:tcPr>
          <w:p w14:paraId="4F7E3FF3"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Технологично</w:t>
            </w:r>
            <w:proofErr w:type="spellEnd"/>
          </w:p>
        </w:tc>
        <w:tc>
          <w:tcPr>
            <w:tcW w:w="0" w:type="auto"/>
            <w:hideMark/>
          </w:tcPr>
          <w:p w14:paraId="396836D1"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Висока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дигитална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готовност</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свързаност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интегрирани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профили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микроквалификации</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edubadges</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зрели</w:t>
            </w:r>
            <w:proofErr w:type="spellEnd"/>
            <w:r w:rsidRPr="00A2433D">
              <w:rPr>
                <w:rFonts w:ascii="Times New Roman" w:eastAsia="Times New Roman" w:hAnsi="Times New Roman" w:cs="Times New Roman"/>
                <w:sz w:val="24"/>
                <w:szCs w:val="24"/>
                <w:lang w:val="en-GB" w:eastAsia="en-GB"/>
              </w:rPr>
              <w:t xml:space="preserve"> е-</w:t>
            </w:r>
            <w:proofErr w:type="spellStart"/>
            <w:r w:rsidRPr="00A2433D">
              <w:rPr>
                <w:rFonts w:ascii="Times New Roman" w:eastAsia="Times New Roman" w:hAnsi="Times New Roman" w:cs="Times New Roman"/>
                <w:sz w:val="24"/>
                <w:szCs w:val="24"/>
                <w:lang w:val="en-GB" w:eastAsia="en-GB"/>
              </w:rPr>
              <w:t>услуги</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широк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достъп</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дистанционна</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хибридна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заетост</w:t>
            </w:r>
            <w:proofErr w:type="spellEnd"/>
          </w:p>
        </w:tc>
        <w:tc>
          <w:tcPr>
            <w:tcW w:w="0" w:type="auto"/>
            <w:hideMark/>
          </w:tcPr>
          <w:p w14:paraId="6E0BB083"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Ускорено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валидиране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умения</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бърз</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достъп</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мерки</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работа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по-нисък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риск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обезкуражаване</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преходи</w:t>
            </w:r>
            <w:proofErr w:type="spellEnd"/>
          </w:p>
        </w:tc>
      </w:tr>
      <w:tr w:rsidR="00A2433D" w:rsidRPr="00A2433D" w14:paraId="0257EC32" w14:textId="77777777" w:rsidTr="00A2433D">
        <w:tc>
          <w:tcPr>
            <w:tcW w:w="0" w:type="auto"/>
            <w:hideMark/>
          </w:tcPr>
          <w:p w14:paraId="239646B0"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Екологично</w:t>
            </w:r>
            <w:proofErr w:type="spellEnd"/>
          </w:p>
        </w:tc>
        <w:tc>
          <w:tcPr>
            <w:tcW w:w="0" w:type="auto"/>
            <w:hideMark/>
          </w:tcPr>
          <w:p w14:paraId="572297F7"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Ясни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климатични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цели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w:t>
            </w:r>
            <w:proofErr w:type="spellEnd"/>
            <w:r w:rsidRPr="00A2433D">
              <w:rPr>
                <w:rFonts w:ascii="Times New Roman" w:eastAsia="Times New Roman" w:hAnsi="Times New Roman" w:cs="Times New Roman"/>
                <w:sz w:val="24"/>
                <w:szCs w:val="24"/>
                <w:lang w:val="en-GB" w:eastAsia="en-GB"/>
              </w:rPr>
              <w:t xml:space="preserve"> 2030/2050); </w:t>
            </w:r>
            <w:proofErr w:type="spellStart"/>
            <w:r w:rsidRPr="00A2433D">
              <w:rPr>
                <w:rFonts w:ascii="Times New Roman" w:eastAsia="Times New Roman" w:hAnsi="Times New Roman" w:cs="Times New Roman"/>
                <w:sz w:val="24"/>
                <w:szCs w:val="24"/>
                <w:lang w:val="en-GB" w:eastAsia="en-GB"/>
              </w:rPr>
              <w:t>офшорна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вятърна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експанзия</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вълна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сградни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реновации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политики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кръгова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икономика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локални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ваучери</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кратки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зелени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курсове</w:t>
            </w:r>
            <w:proofErr w:type="spellEnd"/>
          </w:p>
        </w:tc>
        <w:tc>
          <w:tcPr>
            <w:tcW w:w="0" w:type="auto"/>
            <w:hideMark/>
          </w:tcPr>
          <w:p w14:paraId="652CCA40"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Ръст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w:t>
            </w:r>
            <w:proofErr w:type="spellEnd"/>
            <w:r w:rsidRPr="00A2433D">
              <w:rPr>
                <w:rFonts w:ascii="Times New Roman" w:eastAsia="Times New Roman" w:hAnsi="Times New Roman" w:cs="Times New Roman"/>
                <w:sz w:val="24"/>
                <w:szCs w:val="24"/>
                <w:lang w:val="en-GB" w:eastAsia="en-GB"/>
              </w:rPr>
              <w:t xml:space="preserve"> „</w:t>
            </w:r>
            <w:proofErr w:type="spellStart"/>
            <w:proofErr w:type="gramStart"/>
            <w:r w:rsidRPr="00A2433D">
              <w:rPr>
                <w:rFonts w:ascii="Times New Roman" w:eastAsia="Times New Roman" w:hAnsi="Times New Roman" w:cs="Times New Roman"/>
                <w:sz w:val="24"/>
                <w:szCs w:val="24"/>
                <w:lang w:val="en-GB" w:eastAsia="en-GB"/>
              </w:rPr>
              <w:t>зелени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входни</w:t>
            </w:r>
            <w:proofErr w:type="spellEnd"/>
            <w:proofErr w:type="gram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работни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места</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пътеки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преквалификация</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по-силно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задържане</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прогресия</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подкрепени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местни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партньорства</w:t>
            </w:r>
            <w:proofErr w:type="spellEnd"/>
          </w:p>
        </w:tc>
      </w:tr>
      <w:tr w:rsidR="00A2433D" w:rsidRPr="00A2433D" w14:paraId="26420462" w14:textId="77777777" w:rsidTr="00A2433D">
        <w:tc>
          <w:tcPr>
            <w:tcW w:w="0" w:type="auto"/>
            <w:hideMark/>
          </w:tcPr>
          <w:p w14:paraId="020CDFB5"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Правно</w:t>
            </w:r>
            <w:proofErr w:type="spellEnd"/>
          </w:p>
        </w:tc>
        <w:tc>
          <w:tcPr>
            <w:tcW w:w="0" w:type="auto"/>
            <w:hideMark/>
          </w:tcPr>
          <w:p w14:paraId="42EED64F"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t>Широко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колективно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договаряне</w:t>
            </w:r>
            <w:proofErr w:type="spellEnd"/>
            <w:r w:rsidRPr="00A2433D">
              <w:rPr>
                <w:rFonts w:ascii="Times New Roman" w:eastAsia="Times New Roman" w:hAnsi="Times New Roman" w:cs="Times New Roman"/>
                <w:sz w:val="24"/>
                <w:szCs w:val="24"/>
                <w:lang w:val="en-GB" w:eastAsia="en-GB"/>
              </w:rPr>
              <w:t xml:space="preserve"> + </w:t>
            </w:r>
            <w:proofErr w:type="spellStart"/>
            <w:r w:rsidRPr="00A2433D">
              <w:rPr>
                <w:rFonts w:ascii="Times New Roman" w:eastAsia="Times New Roman" w:hAnsi="Times New Roman" w:cs="Times New Roman"/>
                <w:sz w:val="24"/>
                <w:szCs w:val="24"/>
                <w:lang w:val="en-GB" w:eastAsia="en-GB"/>
              </w:rPr>
              <w:t>секторни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обучителни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фондове</w:t>
            </w:r>
            <w:proofErr w:type="spellEnd"/>
            <w:r w:rsidRPr="00A2433D">
              <w:rPr>
                <w:rFonts w:ascii="Times New Roman" w:eastAsia="Times New Roman" w:hAnsi="Times New Roman" w:cs="Times New Roman"/>
                <w:sz w:val="24"/>
                <w:szCs w:val="24"/>
                <w:lang w:val="en-GB" w:eastAsia="en-GB"/>
              </w:rPr>
              <w:t xml:space="preserve"> (O&amp;O); </w:t>
            </w:r>
            <w:proofErr w:type="spellStart"/>
            <w:r w:rsidRPr="00A2433D">
              <w:rPr>
                <w:rFonts w:ascii="Times New Roman" w:eastAsia="Times New Roman" w:hAnsi="Times New Roman" w:cs="Times New Roman"/>
                <w:sz w:val="24"/>
                <w:szCs w:val="24"/>
                <w:lang w:val="en-GB" w:eastAsia="en-GB"/>
              </w:rPr>
              <w:lastRenderedPageBreak/>
              <w:t>реформи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за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баланс</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гъвкавост</w:t>
            </w:r>
            <w:proofErr w:type="spellEnd"/>
            <w:r w:rsidRPr="00A2433D">
              <w:rPr>
                <w:rFonts w:ascii="Times New Roman" w:eastAsia="Times New Roman" w:hAnsi="Times New Roman" w:cs="Times New Roman"/>
                <w:sz w:val="24"/>
                <w:szCs w:val="24"/>
                <w:lang w:val="en-GB" w:eastAsia="en-GB"/>
              </w:rPr>
              <w:t>/</w:t>
            </w:r>
            <w:proofErr w:type="spellStart"/>
            <w:r w:rsidRPr="00A2433D">
              <w:rPr>
                <w:rFonts w:ascii="Times New Roman" w:eastAsia="Times New Roman" w:hAnsi="Times New Roman" w:cs="Times New Roman"/>
                <w:sz w:val="24"/>
                <w:szCs w:val="24"/>
                <w:lang w:val="en-GB" w:eastAsia="en-GB"/>
              </w:rPr>
              <w:t>сигурност</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институционализирани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стажове</w:t>
            </w:r>
            <w:proofErr w:type="spellEnd"/>
            <w:r w:rsidRPr="00A2433D">
              <w:rPr>
                <w:rFonts w:ascii="Times New Roman" w:eastAsia="Times New Roman" w:hAnsi="Times New Roman" w:cs="Times New Roman"/>
                <w:sz w:val="24"/>
                <w:szCs w:val="24"/>
                <w:lang w:val="en-GB" w:eastAsia="en-GB"/>
              </w:rPr>
              <w:t xml:space="preserve"> (BBL/BOL); </w:t>
            </w:r>
            <w:proofErr w:type="spellStart"/>
            <w:r w:rsidRPr="00A2433D">
              <w:rPr>
                <w:rFonts w:ascii="Times New Roman" w:eastAsia="Times New Roman" w:hAnsi="Times New Roman" w:cs="Times New Roman"/>
                <w:sz w:val="24"/>
                <w:szCs w:val="24"/>
                <w:lang w:val="en-GB" w:eastAsia="en-GB"/>
              </w:rPr>
              <w:t>единна</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почасова</w:t>
            </w:r>
            <w:proofErr w:type="spellEnd"/>
            <w:r w:rsidRPr="00A2433D">
              <w:rPr>
                <w:rFonts w:ascii="Times New Roman" w:eastAsia="Times New Roman" w:hAnsi="Times New Roman" w:cs="Times New Roman"/>
                <w:sz w:val="24"/>
                <w:szCs w:val="24"/>
                <w:lang w:val="en-GB" w:eastAsia="en-GB"/>
              </w:rPr>
              <w:t xml:space="preserve"> МРЗ</w:t>
            </w:r>
          </w:p>
        </w:tc>
        <w:tc>
          <w:tcPr>
            <w:tcW w:w="0" w:type="auto"/>
            <w:hideMark/>
          </w:tcPr>
          <w:p w14:paraId="5FA05DF9" w14:textId="77777777" w:rsidR="00A2433D" w:rsidRPr="00A2433D" w:rsidRDefault="00A2433D" w:rsidP="00A2433D">
            <w:pPr>
              <w:rPr>
                <w:rFonts w:ascii="Times New Roman" w:eastAsia="Times New Roman" w:hAnsi="Times New Roman" w:cs="Times New Roman"/>
                <w:sz w:val="24"/>
                <w:szCs w:val="24"/>
                <w:lang w:val="en-GB" w:eastAsia="en-GB"/>
              </w:rPr>
            </w:pPr>
            <w:proofErr w:type="spellStart"/>
            <w:r w:rsidRPr="00A2433D">
              <w:rPr>
                <w:rFonts w:ascii="Times New Roman" w:eastAsia="Times New Roman" w:hAnsi="Times New Roman" w:cs="Times New Roman"/>
                <w:sz w:val="24"/>
                <w:szCs w:val="24"/>
                <w:lang w:val="en-GB" w:eastAsia="en-GB"/>
              </w:rPr>
              <w:lastRenderedPageBreak/>
              <w:t>Прозрачен</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първи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наем</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финансирани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кратки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lastRenderedPageBreak/>
              <w:t>обучения</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наставничество</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по-малък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риск</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от</w:t>
            </w:r>
            <w:proofErr w:type="spellEnd"/>
            <w:r w:rsidRPr="00A2433D">
              <w:rPr>
                <w:rFonts w:ascii="Times New Roman" w:eastAsia="Times New Roman" w:hAnsi="Times New Roman" w:cs="Times New Roman"/>
                <w:sz w:val="24"/>
                <w:szCs w:val="24"/>
                <w:lang w:val="en-GB" w:eastAsia="en-GB"/>
              </w:rPr>
              <w:t xml:space="preserve"> „</w:t>
            </w:r>
            <w:proofErr w:type="spellStart"/>
            <w:proofErr w:type="gramStart"/>
            <w:r w:rsidRPr="00A2433D">
              <w:rPr>
                <w:rFonts w:ascii="Times New Roman" w:eastAsia="Times New Roman" w:hAnsi="Times New Roman" w:cs="Times New Roman"/>
                <w:sz w:val="24"/>
                <w:szCs w:val="24"/>
                <w:lang w:val="en-GB" w:eastAsia="en-GB"/>
              </w:rPr>
              <w:t>заклещване</w:t>
            </w:r>
            <w:proofErr w:type="spellEnd"/>
            <w:r w:rsidRPr="00A2433D">
              <w:rPr>
                <w:rFonts w:ascii="Times New Roman" w:eastAsia="Times New Roman" w:hAnsi="Times New Roman" w:cs="Times New Roman"/>
                <w:sz w:val="24"/>
                <w:szCs w:val="24"/>
                <w:lang w:val="en-GB" w:eastAsia="en-GB"/>
              </w:rPr>
              <w:t>“ в</w:t>
            </w:r>
            <w:proofErr w:type="gram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нестабилни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договори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при</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добър</w:t>
            </w:r>
            <w:proofErr w:type="spellEnd"/>
            <w:r w:rsidRPr="00A2433D">
              <w:rPr>
                <w:rFonts w:ascii="Times New Roman" w:eastAsia="Times New Roman" w:hAnsi="Times New Roman" w:cs="Times New Roman"/>
                <w:sz w:val="24"/>
                <w:szCs w:val="24"/>
                <w:lang w:val="en-GB" w:eastAsia="en-GB"/>
              </w:rPr>
              <w:t xml:space="preserve"> </w:t>
            </w:r>
            <w:proofErr w:type="spellStart"/>
            <w:r w:rsidRPr="00A2433D">
              <w:rPr>
                <w:rFonts w:ascii="Times New Roman" w:eastAsia="Times New Roman" w:hAnsi="Times New Roman" w:cs="Times New Roman"/>
                <w:sz w:val="24"/>
                <w:szCs w:val="24"/>
                <w:lang w:val="en-GB" w:eastAsia="en-GB"/>
              </w:rPr>
              <w:t>контрол</w:t>
            </w:r>
            <w:proofErr w:type="spellEnd"/>
            <w:r w:rsidRPr="00A2433D">
              <w:rPr>
                <w:rFonts w:ascii="Times New Roman" w:eastAsia="Times New Roman" w:hAnsi="Times New Roman" w:cs="Times New Roman"/>
                <w:sz w:val="24"/>
                <w:szCs w:val="24"/>
                <w:lang w:val="en-GB" w:eastAsia="en-GB"/>
              </w:rPr>
              <w:t xml:space="preserve"> и </w:t>
            </w:r>
            <w:proofErr w:type="spellStart"/>
            <w:r w:rsidRPr="00A2433D">
              <w:rPr>
                <w:rFonts w:ascii="Times New Roman" w:eastAsia="Times New Roman" w:hAnsi="Times New Roman" w:cs="Times New Roman"/>
                <w:sz w:val="24"/>
                <w:szCs w:val="24"/>
                <w:lang w:val="en-GB" w:eastAsia="en-GB"/>
              </w:rPr>
              <w:t>проследяване</w:t>
            </w:r>
            <w:proofErr w:type="spellEnd"/>
          </w:p>
        </w:tc>
      </w:tr>
    </w:tbl>
    <w:p w14:paraId="5A881877" w14:textId="77777777" w:rsidR="00D26F56" w:rsidRPr="0013794C"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lastRenderedPageBreak/>
        <w:t>Политическата среда</w:t>
      </w:r>
      <w:r w:rsidRPr="0013794C">
        <w:rPr>
          <w:rFonts w:ascii="Times New Roman" w:hAnsi="Times New Roman" w:cs="Times New Roman"/>
          <w:sz w:val="24"/>
          <w:szCs w:val="24"/>
        </w:rPr>
        <w:t xml:space="preserve"> в Нидерландия </w:t>
      </w:r>
      <w:r w:rsidRPr="003E1F48">
        <w:rPr>
          <w:rFonts w:ascii="Times New Roman" w:hAnsi="Times New Roman" w:cs="Times New Roman"/>
          <w:sz w:val="24"/>
          <w:szCs w:val="24"/>
        </w:rPr>
        <w:t xml:space="preserve">се характеризира с </w:t>
      </w:r>
      <w:r w:rsidRPr="0013794C">
        <w:rPr>
          <w:rFonts w:ascii="Times New Roman" w:hAnsi="Times New Roman" w:cs="Times New Roman"/>
          <w:sz w:val="24"/>
          <w:szCs w:val="24"/>
        </w:rPr>
        <w:t>последователно и добре координирано управление на активните политики на пазара на труда, при което Националната служба по заетост и социално осигуряване (UWV) определя и прилага националните стандарти за посредничество, обезщетения и активиращи мерки, а силно децентрализираните общини разработват и изпълняват локални програми за реинтеграция и подкрепа на младежите. Тази двустепенна архитектура осигурява ранно идентифициране на риска от отпадане от образование, бързо насочване към кариерно консултиране и при нужда — към кратки обучения или субсидирани схеми за първа заетост. В резултат времето от регистрация до включване в услуга и до наемане е скъсено, подпомогнато от макросреда с ниска безработица и устойчиво високи нива на свободни работни места в ЕС, което повишава налягането за ефективен мачинг (OECD, 2025b; Eurostat, 2025e; Eurostat, 2025b).</w:t>
      </w:r>
    </w:p>
    <w:p w14:paraId="321F65CC" w14:textId="77777777" w:rsidR="00D26F56" w:rsidRPr="0013794C" w:rsidRDefault="00D26F56" w:rsidP="00D26F56">
      <w:pPr>
        <w:spacing w:line="360" w:lineRule="auto"/>
        <w:ind w:firstLine="708"/>
        <w:jc w:val="both"/>
        <w:rPr>
          <w:rFonts w:ascii="Times New Roman" w:hAnsi="Times New Roman" w:cs="Times New Roman"/>
          <w:sz w:val="24"/>
          <w:szCs w:val="24"/>
        </w:rPr>
      </w:pPr>
      <w:r w:rsidRPr="0013794C">
        <w:rPr>
          <w:rFonts w:ascii="Times New Roman" w:hAnsi="Times New Roman" w:cs="Times New Roman"/>
          <w:sz w:val="24"/>
          <w:szCs w:val="24"/>
        </w:rPr>
        <w:t>Капацитетът за изпълнение се подсилва от предвидимо бюджетиране и от утвърдените практики на секторно колективно договаряне, където работодатели и синдикати уговарят рамки за стажове, ученически договори и фондове за обучение, финансирани на браншово равнище. Тези институции създават ясни пътеки за вход на младите, привързват обучението към реалното търсене на умения и улесняват признаването на резултати от кратки курсове и обучения на работното място, което ускорява прехода „училище–работа“ и намалява риска от продължителна неактивност (OECD, 2025b). В общините „едно гише“ екипи обединяват социални, образователни и трудови услуги, така че младежите да получават консултиране, подкрепа за доход, насочване към обучение и оферти за работа без прекъсване между системите; този интегриран модел е допълнително подкрепен от активни мерки, насочени специално към подгрупи в риск, включително ранни отпаднали и млади с повишени социални бариери (OECD, 2025a; OECD, 2025b).</w:t>
      </w:r>
    </w:p>
    <w:p w14:paraId="79911168" w14:textId="77777777" w:rsidR="00D26F56" w:rsidRPr="003E1F48" w:rsidRDefault="00D26F56" w:rsidP="00D26F56">
      <w:pPr>
        <w:spacing w:line="360" w:lineRule="auto"/>
        <w:ind w:firstLine="708"/>
        <w:jc w:val="both"/>
        <w:rPr>
          <w:rFonts w:ascii="Times New Roman" w:hAnsi="Times New Roman" w:cs="Times New Roman"/>
          <w:sz w:val="24"/>
          <w:szCs w:val="24"/>
        </w:rPr>
      </w:pPr>
      <w:r w:rsidRPr="0013794C">
        <w:rPr>
          <w:rFonts w:ascii="Times New Roman" w:hAnsi="Times New Roman" w:cs="Times New Roman"/>
          <w:sz w:val="24"/>
          <w:szCs w:val="24"/>
        </w:rPr>
        <w:t xml:space="preserve">Допълващи роли имат институциите за определяне на заплатите. Периодичните корекции на законовата минимална заплата и широкото секторно договаряне създават прозрачни „еталони“ за входни възнаграждения и редуцират информационната асиметрия при първите оферти, което улеснява мачинга и сигнализира възвращаемост от </w:t>
      </w:r>
      <w:r w:rsidRPr="0013794C">
        <w:rPr>
          <w:rFonts w:ascii="Times New Roman" w:hAnsi="Times New Roman" w:cs="Times New Roman"/>
          <w:sz w:val="24"/>
          <w:szCs w:val="24"/>
        </w:rPr>
        <w:lastRenderedPageBreak/>
        <w:t>раннокариерни инвестиции в обучение. Последните корекции на минималното възнаграждение и свързаните договорени начални ставки в ключови сектори стабилизират очакванията на работодатели и млади работници, като същевременно поддържат изисквания към производителността и нуждата от наставничество и дообучаване на работното място (Government of the Netherlands, 2025; Statistics Netherlands, 2025a; EU Staffing, 2025). В съвкупност стабилната архитектура на управление, социално-партньорската координация и предвидимото финансиране се материализират в високо покритие и навременна активация, докато „плътните“ Beveridge динамики на холандския пазар — ниска безработица срещу устойчиво търсене — поддържат постоянен стимул за бързо съвпадение и предотвратяване на продължителна неактивност сред младите (Eurostat, 2025b; Eurostat, 2025e).</w:t>
      </w:r>
    </w:p>
    <w:p w14:paraId="4D55BBDD" w14:textId="77777777" w:rsidR="00D26F56" w:rsidRPr="0013794C"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Икономиката</w:t>
      </w:r>
      <w:r w:rsidRPr="0013794C">
        <w:rPr>
          <w:rFonts w:ascii="Times New Roman" w:hAnsi="Times New Roman" w:cs="Times New Roman"/>
          <w:sz w:val="24"/>
          <w:szCs w:val="24"/>
        </w:rPr>
        <w:t xml:space="preserve"> на Нидерландия се развива в условия на </w:t>
      </w:r>
      <w:r w:rsidRPr="003E1F48">
        <w:rPr>
          <w:rFonts w:ascii="Times New Roman" w:hAnsi="Times New Roman" w:cs="Times New Roman"/>
          <w:sz w:val="24"/>
          <w:szCs w:val="24"/>
        </w:rPr>
        <w:t>развит</w:t>
      </w:r>
      <w:r w:rsidRPr="0013794C">
        <w:rPr>
          <w:rFonts w:ascii="Times New Roman" w:hAnsi="Times New Roman" w:cs="Times New Roman"/>
          <w:sz w:val="24"/>
          <w:szCs w:val="24"/>
        </w:rPr>
        <w:t xml:space="preserve"> пазар на труда и устойчива търсеща страна. След спадa през 2020 г. коефициентът на свободни работни места достига исторически върхове през 2021–2022 г. и остава над средните за ЕС, така че комбинацията от висока вакантност и ниска безработица по кривата на Бевъридж съкращава времето до първа заетост и поддържа младежката безработица и NEET сред най-ниските в Европа (Eurostat, 2025b; Eurostat, 2025e; OECD, 2025a). „Плътността“ на търсенето се подпомага от секторна структура с висок дял на услуги с висока добавена стойност, ИКТ, логистика и здравеопазване, което разширява фронта на входни позиции, ученически договори и стажове за завършващи и млади професионалисти (OECD, 2025a). Инфлационният шок през 2022 г. е рязък, но последван от ускорение на договорените и часовите възнаграждения, които компенсират част от реалните загуби, докато официалната статистика отчита около 10% годишна инфлация за 2022 г. (Statistics Netherlands, 2025b; Statistics Netherlands, 2025a). Реформата на минималната работна заплата, включително преминаването към единна почасова ставка за лица над 21 години от 2024 г., повишава прозрачността на входните възнаграждения и стабилизира стимулите за участие на ранно-кариерните групи (Government of the Netherlands, 2024; Government of the Netherlands, 2025). На фона на силното търсене и международната отвореност на икономиката се наблюдава устойчив приток и вътрешна мобилност на работна сила, което ускорява мачинга и намалява фрикционните загуби при преходите „училище–работа“, докато нивата на възнагражденията остават конкурентни в европейски контекст и подпомагат привличането </w:t>
      </w:r>
      <w:r w:rsidRPr="0013794C">
        <w:rPr>
          <w:rFonts w:ascii="Times New Roman" w:hAnsi="Times New Roman" w:cs="Times New Roman"/>
          <w:sz w:val="24"/>
          <w:szCs w:val="24"/>
        </w:rPr>
        <w:lastRenderedPageBreak/>
        <w:t>и задържането на млади кадри (Eurostat, 2025e; EU Staffing, 2025). В съвкупност тези фактори оформят макросреда, която насърчава бърза трудова интеграция на младежите, като същевременно изисква прецизно таргетиране на недостига на умения в отделни отрасли, за да се избягват локални тесни места дори при общо висока заетост (Eurostat, 2025b; Eurostat, 2025c).</w:t>
      </w:r>
    </w:p>
    <w:p w14:paraId="6D14FB81" w14:textId="77777777" w:rsidR="00D26F56" w:rsidRPr="00BA3FEE"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Социалната среда</w:t>
      </w:r>
      <w:r w:rsidRPr="00BA3FEE">
        <w:rPr>
          <w:rFonts w:ascii="Times New Roman" w:hAnsi="Times New Roman" w:cs="Times New Roman"/>
          <w:sz w:val="24"/>
          <w:szCs w:val="24"/>
        </w:rPr>
        <w:t xml:space="preserve"> в Нидерландия се отличава с висока образователна ангажираност, добре институционализирани пътеки между училище и работа и широка култура на частична заетост, която улеснява съвместяването на обучение и труд. Централно място заемат професионалното средно образование и висшето образование, където дуалните и стажантските формати са устойчиво внедрени чрез партньорства между училища и работодатели, което съкращава времето за преход към първа заетост и повишава вероятността за задържане в работа след дипломиране (OECD, 2025a). Публичните и общинските услуги поддържат ранна интервенция чрез кариерно консултиране, механизми за ранно предупреждение при отсъствия и наставнически програми, които адресират рисковете от отпадане още по време на обучението и подпомагат целевото включване в кратки обучения и стажове (OECD, 2025b).</w:t>
      </w:r>
    </w:p>
    <w:p w14:paraId="5901651E" w14:textId="77777777" w:rsidR="00D26F56" w:rsidRPr="00BA3FEE" w:rsidRDefault="00D26F56" w:rsidP="00D26F56">
      <w:pPr>
        <w:spacing w:line="360" w:lineRule="auto"/>
        <w:ind w:firstLine="708"/>
        <w:jc w:val="both"/>
        <w:rPr>
          <w:rFonts w:ascii="Times New Roman" w:hAnsi="Times New Roman" w:cs="Times New Roman"/>
          <w:sz w:val="24"/>
          <w:szCs w:val="24"/>
        </w:rPr>
      </w:pPr>
      <w:r w:rsidRPr="00BA3FEE">
        <w:rPr>
          <w:rFonts w:ascii="Times New Roman" w:hAnsi="Times New Roman" w:cs="Times New Roman"/>
          <w:sz w:val="24"/>
          <w:szCs w:val="24"/>
        </w:rPr>
        <w:t xml:space="preserve">Рискът от неактивност остава сравнително нисък на фона на ЕС, но е по-концентриран сред младежи от мигрантски произход, лица с по-ниско образование и в отделни градски квартали, където социално-икономическите бариери затрудняват устойчивото включване (Eurostat, 2024b). Систематичното прилагане на таргетирани субсидии за наемане, комбинирани с наставничество и мониторинг на преходите, редуцира вероятността тези групи да останат в статуса NEET за продължителни периоди, като същевременно общата тенденция в ЕС е към допълнително понижение на младежката неактивност през последните години (Eurostat, 2024c; OECD, 2025a). Широкото приемане на непълно работно време, включително студентски труд и гъвкави договори, намалява бариерите за първо навлизане на пазара и позволява плавно натрупване на трудов опит по време на обучение, което допринася за кратки интервали извън заетост и образование (OECD, 2025a). В контекст на ниска безработица и устойчиво търсене на труд тези институционални и културни особености поддържат висока скорост на мачинг и бързи </w:t>
      </w:r>
      <w:r w:rsidRPr="00BA3FEE">
        <w:rPr>
          <w:rFonts w:ascii="Times New Roman" w:hAnsi="Times New Roman" w:cs="Times New Roman"/>
          <w:sz w:val="24"/>
          <w:szCs w:val="24"/>
        </w:rPr>
        <w:lastRenderedPageBreak/>
        <w:t>преходи „училище–работа“, което държи младежката безработица и дела на NEET сред най-ниските в Европа (Eurostat, 2025e; Eurostat, 2025b; Eurostat, 2024b).</w:t>
      </w:r>
    </w:p>
    <w:p w14:paraId="4CA1B61E" w14:textId="77777777" w:rsidR="00D26F56" w:rsidRPr="00BA3FEE"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Технологичната среда</w:t>
      </w:r>
      <w:r w:rsidRPr="00BA3FEE">
        <w:rPr>
          <w:rFonts w:ascii="Times New Roman" w:hAnsi="Times New Roman" w:cs="Times New Roman"/>
          <w:sz w:val="24"/>
          <w:szCs w:val="24"/>
        </w:rPr>
        <w:t xml:space="preserve"> в Нидерландия действа като ключов модератор на риска от неактивност, защото комбинира висока дигитална готовност, плътна свързаност и широко използване на електронни услуги. Индикаторите по линията на Digital Decade показват, че страната поддържа водещи позиции в инфраструктура, е-услуги и цифрови умения, което съкращава пътя от регистрация до услуга и ускорява съвпадението между търсените и наличните компетентности (European Commission, 2024). В тази екосистема платформите на публичната служба по заетостта и частните агенции работят с интегрирани профили и дигитални удостоверения/микроквалификации, което улеснява валидирането на уменията и „превода“ им в конкретни позиции (OECD, 2024; European Commission, 2024). Разпространението на дистанционна и хибридна заетост след 2020 г. разширява началните ниши за студенти и завършващи, особено в ИКТ, административни услуги и клиентска поддръжка, където възможността за работа от разстояние е над средната за ЕС (Statistics Netherlands, 2024; Eurostat, 2025). </w:t>
      </w:r>
    </w:p>
    <w:p w14:paraId="72D487F8" w14:textId="77777777" w:rsidR="00D26F56" w:rsidRPr="00BA3FEE" w:rsidRDefault="00D26F56" w:rsidP="00D26F56">
      <w:pPr>
        <w:spacing w:line="360" w:lineRule="auto"/>
        <w:ind w:firstLine="708"/>
        <w:jc w:val="both"/>
        <w:rPr>
          <w:rFonts w:ascii="Times New Roman" w:hAnsi="Times New Roman" w:cs="Times New Roman"/>
          <w:sz w:val="24"/>
          <w:szCs w:val="24"/>
        </w:rPr>
      </w:pPr>
      <w:r w:rsidRPr="00BA3FEE">
        <w:rPr>
          <w:rFonts w:ascii="Times New Roman" w:hAnsi="Times New Roman" w:cs="Times New Roman"/>
          <w:sz w:val="24"/>
          <w:szCs w:val="24"/>
        </w:rPr>
        <w:t xml:space="preserve">Високата дигитална грамотност при младите и наличието на кратки, сертифицирани обучения позволяват бърза корекция на дефицити в уменията и намаляват вероятността от обезкуражаване при прехода „училище–работа“. Европейската рамка за микроквалификации задава стандарти за качество и преносимост, а холандските университети и професионални платформи разгръщат edubadge решения, които се признават от работодателите и се „стапят“ в индивидуални образователни пътеки (European Commission, 2024; Utrecht University, n.d.; University of Groningen, n.d.). Когато тези механизми се съчетаят с висока свързаност и зрели е-услуги, резултатът е бърз „мачинг“ и по-нисък риск от продължителна неактивност дори при краткосрочни шокове на търсенето (eGovernment Benchmark, 2024). </w:t>
      </w:r>
    </w:p>
    <w:p w14:paraId="5E712496" w14:textId="77777777" w:rsidR="00D26F56" w:rsidRPr="00AF1FCB" w:rsidRDefault="00D26F56" w:rsidP="00D26F56">
      <w:pPr>
        <w:spacing w:line="360" w:lineRule="auto"/>
        <w:ind w:firstLine="708"/>
        <w:jc w:val="both"/>
        <w:rPr>
          <w:rFonts w:ascii="Times New Roman" w:hAnsi="Times New Roman" w:cs="Times New Roman"/>
          <w:sz w:val="24"/>
          <w:szCs w:val="24"/>
        </w:rPr>
      </w:pPr>
      <w:r w:rsidRPr="00327A10">
        <w:rPr>
          <w:rFonts w:ascii="Times New Roman" w:hAnsi="Times New Roman" w:cs="Times New Roman"/>
          <w:b/>
          <w:bCs/>
          <w:sz w:val="24"/>
          <w:szCs w:val="24"/>
        </w:rPr>
        <w:t>Екологичната среда</w:t>
      </w:r>
      <w:r w:rsidRPr="00AF1FCB">
        <w:rPr>
          <w:rFonts w:ascii="Times New Roman" w:hAnsi="Times New Roman" w:cs="Times New Roman"/>
          <w:sz w:val="24"/>
          <w:szCs w:val="24"/>
        </w:rPr>
        <w:t xml:space="preserve"> в Нидерландия действа като активен ускорител на младежката заетост чрез ясни цели за декарбонизация и мащабни инвестиции в чиста енергия, сградна ефективност и кръгова икономика. Националната рамка по Климатичния закон фиксира намаление на нетните емисии с поне 55% до 2030 г. и климатична неутралност до 2050 г., допълнена от ориентир за безвъглероден електроенергиен сектор до 2035 г., което </w:t>
      </w:r>
      <w:r w:rsidRPr="00AF1FCB">
        <w:rPr>
          <w:rFonts w:ascii="Times New Roman" w:hAnsi="Times New Roman" w:cs="Times New Roman"/>
          <w:sz w:val="24"/>
          <w:szCs w:val="24"/>
        </w:rPr>
        <w:lastRenderedPageBreak/>
        <w:t>предвидимо разширява търсенето на „зелени“ компетентности по веригата на проектиране, изграждане, експлоатация и поддръжка (Government of the Netherlands, 2025; European Parliament, 2024). Ускорената програма за офшорна вятърна енергетика—с планирани 21 GW до края на 2032 г. и допълнителни зони по пътната карта до 2030 г.—генерира нужди от инженери, техници по монтаж и обслужване, морска логистика и HSE специалисти, като същевременно мултиплицира свързаните наземни дейности по мрежова интеграция и пристанищна инфраструктура (RVO, 2025; North Sea Programme, 2025; Climate Policy Radar, 2018). Паралелно политиките за енергийна ефективност в сградния фонд и европейската EPBD рамка усилват вълната от реновации и ускоряват внедряването на топлинни помпи, фотоволтаици и интелигентни системи за управление, подпомогнати от данъчни облекчения и грантови схеми, което разкрива входни позиции за млади монтажници, енергийни одитори и координатори по обновяване (BDO, 2025; RE-DWELL, 2024; IEA, 2025). Кръговата икономика е вторият стълб на зеления преход: правителствената програма „Circular Economy by 2050“ залага междинна цел за 50% намаляване на използването на първични суровини до 2030 г. и стимулира нови услуги по повторна употреба, ремонт, сортиране и рециклиране, което разширява спектъра от зелени роли в логистиката, ресурсния мениджмънт и сервизните дейности (Government of the Netherlands, 2025; Circle Economy, 2017/2024).</w:t>
      </w:r>
    </w:p>
    <w:p w14:paraId="3595731F" w14:textId="77777777" w:rsidR="00D26F56" w:rsidRPr="00AF1FCB" w:rsidRDefault="00D26F56" w:rsidP="00D26F56">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Реалната конверсия на тези инвестиции в първи работни места за младежи се подпомага от мрежа секторни фондове за обучение, финансирани чрез колективни споразумения, които субсидират кратки квалификационни модули и преходи между сектори; наличието на над 100 такива фонда улеснява бързото „донастройване“ на умения към търсенето в турбинни паркове, енергийно обновяване и кръгови вериги (UNESCO-UNEVOC, 2022; OECD, 2025). На местно ниво общините комбинират европейско и национално финансиране в ваучерни схеми и кратки курсове по зелени компетентности, което намалява времето от обучение до заетост и ограничава риска от продължителни периоди извън дейност след завършване (OECD, 2025; IEA, 2025). Сумарно стратегическата предвидимост на климатичните цели, офшорната вятърна експанзия, сградните реновации и кръговите политики създават широк набор от входни позиции с перспектива за кариера; когато към това се добавят секторните обучителни фондове и локалните партньорства, вероятността млади търсещи да останат извън заетост и обучение чувствително намалява </w:t>
      </w:r>
      <w:r w:rsidRPr="00AF1FCB">
        <w:rPr>
          <w:rFonts w:ascii="Times New Roman" w:hAnsi="Times New Roman" w:cs="Times New Roman"/>
          <w:sz w:val="24"/>
          <w:szCs w:val="24"/>
        </w:rPr>
        <w:lastRenderedPageBreak/>
        <w:t xml:space="preserve">дори при циклични колебания на пазара (Government of the Netherlands, 2025; RVO, 2025; European Parliament, 2024). </w:t>
      </w:r>
    </w:p>
    <w:p w14:paraId="416E43EE" w14:textId="77777777" w:rsidR="00D26F56" w:rsidRPr="00AF1FCB" w:rsidRDefault="00D26F56" w:rsidP="00D26F56">
      <w:pPr>
        <w:spacing w:line="360" w:lineRule="auto"/>
        <w:ind w:firstLine="708"/>
        <w:jc w:val="both"/>
        <w:rPr>
          <w:rFonts w:ascii="Times New Roman" w:hAnsi="Times New Roman" w:cs="Times New Roman"/>
          <w:sz w:val="24"/>
          <w:szCs w:val="24"/>
        </w:rPr>
      </w:pPr>
      <w:r w:rsidRPr="003B1ACC">
        <w:rPr>
          <w:rFonts w:ascii="Times New Roman" w:hAnsi="Times New Roman" w:cs="Times New Roman"/>
          <w:b/>
          <w:bCs/>
          <w:sz w:val="24"/>
          <w:szCs w:val="24"/>
        </w:rPr>
        <w:t>Правната среда</w:t>
      </w:r>
      <w:r w:rsidRPr="00AF1FCB">
        <w:rPr>
          <w:rFonts w:ascii="Times New Roman" w:hAnsi="Times New Roman" w:cs="Times New Roman"/>
          <w:sz w:val="24"/>
          <w:szCs w:val="24"/>
        </w:rPr>
        <w:t xml:space="preserve"> в Нидерландия предоставя предвидима рамка, в която високо покритие на колективните трудови договори и активни механизми за социално партньорство подкрепят плавния вход на младите на пазара и последващата прогресия. Секторното колективно договаряне не само урежда заплащането и работното време, но и финансира устойчиви обучителни инфраструктури чрез т.нар. секторни фондове за обучение (O&amp;O-fondsen), създадени по силата на браншови споразумения и финансирани с договорени от социалните партньори вноски; над стотина такива фонда покриват широк спектър отрасли и субсидират кратки курсове, рескилинг и първи стажантски назначения (CEDEFOP, n.d.; UNESCO-UNEVOC, 2022; OECD, 2025). Реформите в баланса между сигурност и гъвкавост целят да ограничат прекомерната ротация по много кратки договори, без да елиминират възможностите за частична и сезонна заетост, които са ключови за младежкия вход; това се подпомага от ясни насоки за използване на временни форми на работа и от засилен мониторинг на качеството на условията на труд и равните възможности (OECD, 2025; Government of the Netherlands, 2023). </w:t>
      </w:r>
    </w:p>
    <w:p w14:paraId="3E30C8DE" w14:textId="77777777" w:rsidR="00D26F56" w:rsidRPr="00AF1FCB" w:rsidRDefault="00D26F56" w:rsidP="00D26F56">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Статутът на стажовете и ученическите договори е институционализиран чрез МБО системата и дуалния трак BBL/BOL, при който обучението на работното място е подкрепено с практико-ориентирани субсидии за работодателите и формализирани изисквания към наставничеството и съдържанието на обучението; държавата периодично оценява схемата и публикува междинни доклади за ефективност и достъп (Government of the Netherlands, 2023a, 2023b). В рамките на доходната предвидимост, преминаването към единна законова минимална почасова заплата от 1 януари 2024 г. улеснява сравнимостта на оферти и повишава прозрачността на входните възнаграждения за лица над 21 години, като допълва договорените по сектори начални ставки (Government of the Netherlands, 2024, 2025). Наред с това, публичните разяснителни материали за правото на минимално възнаграждение и обхвата по възрастови групи, както и консултативните канали, намаляват информационната асиметрия при първите наемания (Government of the Netherlands, 2025). </w:t>
      </w:r>
    </w:p>
    <w:p w14:paraId="7096CA75" w14:textId="77777777" w:rsidR="00D26F56" w:rsidRPr="00AF1FCB" w:rsidRDefault="00D26F56" w:rsidP="00D26F56">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Контролът върху условията на труд и равните възможности се поддържа чрез законови ангажименти за равнопоставено третиране и изисквания по Закона за условията </w:t>
      </w:r>
      <w:r w:rsidRPr="00AF1FCB">
        <w:rPr>
          <w:rFonts w:ascii="Times New Roman" w:hAnsi="Times New Roman" w:cs="Times New Roman"/>
          <w:sz w:val="24"/>
          <w:szCs w:val="24"/>
        </w:rPr>
        <w:lastRenderedPageBreak/>
        <w:t xml:space="preserve">на труд, които задължават работодателите да имат политика по безопасност и превенция на неблагоприятни практики; този нормативен пласт подпомага ограничаването на сегментацията на младите в несигурни форми и изисква от програмите по стажове и ученически договори проследяване на резултатите (Government of the Netherlands, 2023; 2023a). В комбинация с активната роля на секторните фондове—които покриват част от разходите за обучение, валидират кратки квалификационни модули и насочват към дефицитни роли—това правно-институционално устройство гарантира устойчиво финансиране на придобиването на умения и бързи преходи от първа заетост към по-висока продуктивност (CEDEFOP, n.d.; UNESCO-UNEVOC, 2022). </w:t>
      </w:r>
    </w:p>
    <w:p w14:paraId="63E1D43A" w14:textId="77777777" w:rsidR="00D26F56" w:rsidRDefault="00D26F56" w:rsidP="00D26F56">
      <w:pPr>
        <w:spacing w:line="360" w:lineRule="auto"/>
        <w:ind w:firstLine="708"/>
        <w:jc w:val="both"/>
        <w:rPr>
          <w:rFonts w:ascii="Times New Roman" w:hAnsi="Times New Roman" w:cs="Times New Roman"/>
          <w:sz w:val="24"/>
          <w:szCs w:val="24"/>
        </w:rPr>
      </w:pPr>
      <w:r w:rsidRPr="00FA4FE1">
        <w:rPr>
          <w:rFonts w:ascii="Times New Roman" w:hAnsi="Times New Roman" w:cs="Times New Roman"/>
          <w:sz w:val="24"/>
          <w:szCs w:val="24"/>
        </w:rPr>
        <w:t>В обобщение, PESTEL профилът на Нидерландия съчетава силни политико-институционални инструменти, благоприятна икономическа конюнктура, висока социална и дигитална включеност, активен зелен преход и ясни правни правила. Тази конфигурация прави преходите „образование–работа“ кратки и предвидими и поддържа NEET на много ниски нива дори при външни шокове. Предизвикателствата, които остават, са свързани с интеграцията на уязвими младежи от мигрантски произход, адресирането на локални джобове на неравенство и управлението на балансa между гъвкавост и сигурност в условията на бързо технологично обновяване, но институционалната рамка дава адекватни инструменти за смекчаването им.</w:t>
      </w:r>
    </w:p>
    <w:p w14:paraId="40EB6F9F" w14:textId="59B05671" w:rsidR="003B1ACC" w:rsidRPr="003B1ACC" w:rsidRDefault="003B1ACC" w:rsidP="00D26F56">
      <w:pPr>
        <w:spacing w:line="360" w:lineRule="auto"/>
        <w:ind w:firstLine="708"/>
        <w:jc w:val="both"/>
        <w:rPr>
          <w:rFonts w:ascii="Times New Roman" w:hAnsi="Times New Roman" w:cs="Times New Roman"/>
          <w:b/>
          <w:bCs/>
          <w:sz w:val="24"/>
          <w:szCs w:val="24"/>
        </w:rPr>
      </w:pPr>
      <w:r w:rsidRPr="003B1ACC">
        <w:rPr>
          <w:rFonts w:ascii="Times New Roman" w:hAnsi="Times New Roman" w:cs="Times New Roman"/>
          <w:b/>
          <w:bCs/>
          <w:sz w:val="24"/>
          <w:szCs w:val="24"/>
        </w:rPr>
        <w:t xml:space="preserve">2.4. Сравнителен анализ на </w:t>
      </w:r>
      <w:r w:rsidRPr="003B1ACC">
        <w:rPr>
          <w:rFonts w:ascii="Times New Roman" w:hAnsi="Times New Roman" w:cs="Times New Roman"/>
          <w:b/>
          <w:bCs/>
          <w:sz w:val="24"/>
          <w:szCs w:val="24"/>
        </w:rPr>
        <w:t>PESTEL</w:t>
      </w:r>
      <w:r w:rsidRPr="003B1ACC">
        <w:rPr>
          <w:rFonts w:ascii="Times New Roman" w:hAnsi="Times New Roman" w:cs="Times New Roman"/>
          <w:b/>
          <w:bCs/>
          <w:sz w:val="24"/>
          <w:szCs w:val="24"/>
        </w:rPr>
        <w:t xml:space="preserve"> профилите на България, Хърватска и Нидерландия</w:t>
      </w:r>
    </w:p>
    <w:p w14:paraId="69979A4C" w14:textId="77777777"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 xml:space="preserve">Съпоставката на политическите конфигурации показва, че Нидерландия капитализира върху стабилна, двустепенна архитектура и силно колективно договаряне, превръщайки ранната интервенция и кариерното посредничество в стандарт, който съкращава преходите и намалява риска от продължителна неактивност. Хърватия поддържа работеща, макар и по-централизирана система, която след 2020 г. ускорява дигитализацията на услугите и калибрира мерките към сезонната икономика; предимството ѝ е по-добра програмна дисциплина след въвеждането на еврото, но зависимостта от туризма оставя „междусезонни“ уязвимости. България има формално изграден инструментариум и съпоставими по вид мерки, но институционалната последователност и аналитичното проследяване на резултатите изостават; предимство е гъвкавостта да се заимстват практики, </w:t>
      </w:r>
      <w:r w:rsidRPr="005C2699">
        <w:rPr>
          <w:rFonts w:ascii="Times New Roman" w:hAnsi="Times New Roman" w:cs="Times New Roman"/>
          <w:sz w:val="24"/>
          <w:szCs w:val="24"/>
        </w:rPr>
        <w:lastRenderedPageBreak/>
        <w:t>а недостатък е фрагментираното изпълнение, което прави ефектите неравномерни по региони.</w:t>
      </w:r>
    </w:p>
    <w:p w14:paraId="78073EA8" w14:textId="77777777"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Икономическите профили разкриват три различни механизма на съгласуване между търсене и предлагане на труд. Нидерландия използва хронично „стегнат“ трудов пазар с високи равнища на свободни работни места, който привлича младите бързо към първа заетост и нормализира кратките, но прогресивни преходи между роли; рискът е локализиран в дефицити на умения и изисква постоянни обучения на работното място. Хърватия функционира в циклична среда, където сезонните върхове усилват търсенето, но създават временни прекъсвания; силната страна е способността да се абсорбира бързо търсене в услуги, а слабата — уязвимост към ценови и сезонни шокове, които отлагат преходите на нискоквалифицирани. България се подобрява догонващо, но комбинацията от по-ниска плътност на свободните работни места и регионална концентрация на инвестиции ограничава скоростта на съвпадение между умения и позиции; предимство е конкурентното ценово предлагане за нови инвеститори, а недостатък — по-бавна конверсия на младежкия потенциал в стабилна заетост извън столицата.</w:t>
      </w:r>
    </w:p>
    <w:p w14:paraId="48FBA632" w14:textId="77777777"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Социалното измерение диференцира дълбочината на човешкия капитал и културните „пътеки“ към заетост. Нидерландия печели от висока образователна ангажираност, институционализирани дуални и стажантски формати и култура на непълно работно време, която поддържа непрекъснато участие; уязвимости остават в части от градската периферия и сред младежи от мигрантски произход, където са нужни допълнителни мостове. Хърватия намалява рисковете чрез ваучери, ранно ориентиране и стажове, но ефектите са хетерогенни и зависят от плътността на местни работодателски мрежи; силата ѝ е в бързите „сезонни входове“, слабост — задържането между сезоните. България носи най-голям социален градиент: регионални и образователни неравенства, по-ограничен достъп до кариерни услуги и по-високи бариери за групи с ниско образование; предимство е наличието на ясно дефинирани целеви групи и възможност за таргетиране, недостатък — тънък слой услуги там, където нуждата е най-голяма.</w:t>
      </w:r>
    </w:p>
    <w:p w14:paraId="7923AD0B" w14:textId="77777777"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 xml:space="preserve">В технологичен план Нидерландия превръща дигиталната инфраструктура и микроквалификациите в реално по-бързо съвпадение между умения и позиции: профили, цифрови значки и интегрирани платформи скъсяват времето от придобито умение до </w:t>
      </w:r>
      <w:r w:rsidRPr="005C2699">
        <w:rPr>
          <w:rFonts w:ascii="Times New Roman" w:hAnsi="Times New Roman" w:cs="Times New Roman"/>
          <w:sz w:val="24"/>
          <w:szCs w:val="24"/>
        </w:rPr>
        <w:lastRenderedPageBreak/>
        <w:t>оферта; рискът е недостигът на напреднали компетентности в специфични домейни и необходимостта от непрекъснато дообучаване. Хърватия напредва ускорено в дигитализацията на посредничеството и дистанционните формати, но регионалните различия и зависимостта от сектори с по-ниска цифровизация ограничават обхвата; предимство е бързото мащабиране на онлайн услуги, недостатък — поляризация между крайбрежие и вътрешност. България се модернизира неравномерно: дигиталната готовност позволи дистанционни канали и обучение, но недостигът на напреднали умения и по-ниската интероперативност на системите забавят превръщането на компетентности в заетост; силата е наличната основа за ускорен скок, слабост — фрагментираното прилагане и цифровите пропасти.</w:t>
      </w:r>
    </w:p>
    <w:p w14:paraId="68B279E0" w14:textId="77777777"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Екологичните профили разкриват различни траектории на „зеления“ преход като източник на първи работни места. Нидерландия превръща ясни цели за декарбонизация, офшорна вятърна енергетика, масови санирания и кръгови политики в предвидимо търсене на „зелени“ умения и подпомага това търсене със секторни обучителни фондове; предизвикателство е конкуренцията за таланти и нуждата от ускорен рескилинг. Хърватия има значителен потенциал в енергийна ефективност и управление на ресурси, но реализацията зависи от местен капацитет и партньорства; силата е достъпът до европейско финансиране, слабост — неравномерното усвояване по региони. България е на кръстопът: трансформацията на въглищни територии и зелените инвестиции могат да отворят входни ниши за младежи, но бавният напредък и ограничените „зелени“ програми в професионалното образование рискуват да пропуснат прозорец на възможност.</w:t>
      </w:r>
    </w:p>
    <w:p w14:paraId="21FA8262" w14:textId="77777777" w:rsidR="00D26F56"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 xml:space="preserve">Правните режими показват предимствата на предвидимостта и социалното партньорство за младежкия вход. Нидерландия комбинира ясно дефинирани статути на стажове и ученически договори, минимална почасова ставка и висок контрол на качеството, като поставя изисквания за наставничество и стъпала на прогресия; управленският риск е да се предотврати „заклещване“ в поредица кратки договори чрез ясни пътеки за повишаване на квалификацията. Хърватия уреди процедурите и дигитализира достъпа до мерки, което намалява транзакционните разходи; силата е правната яснота и бързият достъп, слабост — нуждата от по-строги гаранции срещу прекомерна сезонна сегментация. България е хармонизирана по норми, но изпълнителният капацитет и контролът върху </w:t>
      </w:r>
      <w:r w:rsidRPr="005C2699">
        <w:rPr>
          <w:rFonts w:ascii="Times New Roman" w:hAnsi="Times New Roman" w:cs="Times New Roman"/>
          <w:sz w:val="24"/>
          <w:szCs w:val="24"/>
        </w:rPr>
        <w:lastRenderedPageBreak/>
        <w:t>новите форми на труд остават променливи; предимство е наличната правна база за дуални и стажантски пътеки, недостатък — непълното прилагане и слабите стимули за устойчиво задържане.</w:t>
      </w:r>
    </w:p>
    <w:p w14:paraId="25714CB3" w14:textId="2D49E5A8" w:rsidR="003B1ACC" w:rsidRPr="005C2699" w:rsidRDefault="003B1ACC" w:rsidP="00D26F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ИЗВОДИ ПО ВТОРА ГЛАВА</w:t>
      </w:r>
    </w:p>
    <w:p w14:paraId="2DCC87CC" w14:textId="77777777" w:rsidR="003B1ACC"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 xml:space="preserve">Нидерландия максимизира ефекта на всяко звено в ПЕСТЕЛ веригата чрез стабилно управление, технологична интеграция и правна предвидимост, което прави риска от неактивност краткотраен и локализиран. </w:t>
      </w:r>
    </w:p>
    <w:p w14:paraId="176838FD" w14:textId="77777777" w:rsidR="003B1ACC"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 xml:space="preserve">Хърватия използва комбинация от програмна дисциплина, сезонни канали и дигитализация, за да минимизира „дупките“ между кампании, но остава чувствителна към циклични и ценови шокове. </w:t>
      </w:r>
    </w:p>
    <w:p w14:paraId="2268B4AF" w14:textId="1A8264F8" w:rsidR="00D26F56" w:rsidRPr="005C2699" w:rsidRDefault="00D26F56" w:rsidP="00D26F56">
      <w:pPr>
        <w:spacing w:line="360" w:lineRule="auto"/>
        <w:ind w:firstLine="708"/>
        <w:jc w:val="both"/>
        <w:rPr>
          <w:rFonts w:ascii="Times New Roman" w:hAnsi="Times New Roman" w:cs="Times New Roman"/>
          <w:sz w:val="24"/>
          <w:szCs w:val="24"/>
        </w:rPr>
      </w:pPr>
      <w:r w:rsidRPr="005C2699">
        <w:rPr>
          <w:rFonts w:ascii="Times New Roman" w:hAnsi="Times New Roman" w:cs="Times New Roman"/>
          <w:sz w:val="24"/>
          <w:szCs w:val="24"/>
        </w:rPr>
        <w:t>България разполага с ключови елементи на архитектурата, но за да постигне сходна ефективност, трябва да уплътни връзките между тях: да превърне цифровизацията и зелените инвестиции в реални входни позиции, да засили правоприлагането и да пренасочи ресурсите към най-уязвимите региони, така че социалните и икономическите детерминанти да започнат да работят в синхрон, а не в противотежест.</w:t>
      </w:r>
    </w:p>
    <w:p w14:paraId="63DE67FF" w14:textId="77777777" w:rsidR="00D26F56" w:rsidRPr="00D26F56" w:rsidRDefault="00D26F56" w:rsidP="00D26F56">
      <w:pPr>
        <w:spacing w:line="360" w:lineRule="auto"/>
        <w:ind w:firstLine="708"/>
        <w:jc w:val="both"/>
        <w:rPr>
          <w:rFonts w:ascii="Times New Roman" w:hAnsi="Times New Roman" w:cs="Times New Roman"/>
          <w:sz w:val="24"/>
          <w:szCs w:val="24"/>
        </w:rPr>
      </w:pPr>
    </w:p>
    <w:p w14:paraId="5C7FF122" w14:textId="77777777" w:rsidR="00D26F56" w:rsidRDefault="00D26F56">
      <w:pPr>
        <w:rPr>
          <w:rFonts w:ascii="Times New Roman" w:hAnsi="Times New Roman" w:cs="Times New Roman"/>
          <w:b/>
          <w:bCs/>
          <w:sz w:val="24"/>
          <w:szCs w:val="24"/>
        </w:rPr>
      </w:pPr>
      <w:r>
        <w:rPr>
          <w:rFonts w:ascii="Times New Roman" w:hAnsi="Times New Roman" w:cs="Times New Roman"/>
          <w:b/>
          <w:bCs/>
          <w:sz w:val="24"/>
          <w:szCs w:val="24"/>
        </w:rPr>
        <w:br w:type="page"/>
      </w:r>
    </w:p>
    <w:p w14:paraId="0836FEFA" w14:textId="25E85134" w:rsidR="000A495F" w:rsidRPr="003E1F48" w:rsidRDefault="000A495F" w:rsidP="000A495F">
      <w:pPr>
        <w:spacing w:line="360" w:lineRule="auto"/>
        <w:ind w:firstLine="708"/>
        <w:jc w:val="both"/>
        <w:rPr>
          <w:rFonts w:ascii="Times New Roman" w:hAnsi="Times New Roman" w:cs="Times New Roman"/>
          <w:b/>
          <w:bCs/>
          <w:sz w:val="24"/>
          <w:szCs w:val="24"/>
        </w:rPr>
      </w:pPr>
      <w:r w:rsidRPr="003E1F48">
        <w:rPr>
          <w:rFonts w:ascii="Times New Roman" w:hAnsi="Times New Roman" w:cs="Times New Roman"/>
          <w:b/>
          <w:bCs/>
          <w:sz w:val="24"/>
          <w:szCs w:val="24"/>
        </w:rPr>
        <w:lastRenderedPageBreak/>
        <w:t>Трета глава. Представяне и анализ на резултатите от емпиричното изследване</w:t>
      </w:r>
    </w:p>
    <w:p w14:paraId="0CA4BB75" w14:textId="52F8A154" w:rsidR="00C02E88" w:rsidRPr="003E1F48" w:rsidRDefault="003B1ACC" w:rsidP="000A495F">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3.1</w:t>
      </w:r>
      <w:r w:rsidR="00C02E88" w:rsidRPr="003E1F48">
        <w:rPr>
          <w:rFonts w:ascii="Times New Roman" w:hAnsi="Times New Roman" w:cs="Times New Roman"/>
          <w:b/>
          <w:bCs/>
          <w:sz w:val="24"/>
          <w:szCs w:val="24"/>
        </w:rPr>
        <w:t>. Динамика на младежката неактивност и NEET в макроикономически контекст (2020–2024)</w:t>
      </w:r>
    </w:p>
    <w:p w14:paraId="10EA26D1" w14:textId="12826072" w:rsidR="0027285D" w:rsidRPr="003E1F48"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Наблюдаваната през 2020–2024 г. динамика на младежката неактивност и NEET в Европейския съюз може да бъде описана като последователност от три ясно разграничими фази: първоначален шок, последван от период на възстановяване и стабилизиране на по-ниски равнища</w:t>
      </w:r>
      <w:r w:rsidRPr="003E1F48">
        <w:rPr>
          <w:rFonts w:ascii="Times New Roman" w:hAnsi="Times New Roman" w:cs="Times New Roman"/>
          <w:sz w:val="24"/>
          <w:szCs w:val="24"/>
        </w:rPr>
        <w:t xml:space="preserve"> (Фиг. 1)</w:t>
      </w:r>
      <w:r w:rsidRPr="0027285D">
        <w:rPr>
          <w:rFonts w:ascii="Times New Roman" w:hAnsi="Times New Roman" w:cs="Times New Roman"/>
          <w:sz w:val="24"/>
          <w:szCs w:val="24"/>
        </w:rPr>
        <w:t xml:space="preserve">. </w:t>
      </w:r>
    </w:p>
    <w:p w14:paraId="4BDC6E41" w14:textId="44AFF115" w:rsidR="0027285D" w:rsidRPr="003E1F48" w:rsidRDefault="00CE4181" w:rsidP="0027285D">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drawing>
          <wp:inline distT="0" distB="0" distL="0" distR="0" wp14:anchorId="44A155B4" wp14:editId="2C80382D">
            <wp:extent cx="4921260" cy="2808605"/>
            <wp:effectExtent l="0" t="0" r="0" b="0"/>
            <wp:docPr id="136178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88"/>
                    <a:stretch>
                      <a:fillRect/>
                    </a:stretch>
                  </pic:blipFill>
                  <pic:spPr bwMode="auto">
                    <a:xfrm>
                      <a:off x="0" y="0"/>
                      <a:ext cx="4949367" cy="2824646"/>
                    </a:xfrm>
                    <a:prstGeom prst="rect">
                      <a:avLst/>
                    </a:prstGeom>
                    <a:noFill/>
                    <a:ln>
                      <a:noFill/>
                    </a:ln>
                    <a:extLst>
                      <a:ext uri="{53640926-AAD7-44D8-BBD7-CCE9431645EC}">
                        <a14:shadowObscured xmlns:a14="http://schemas.microsoft.com/office/drawing/2010/main"/>
                      </a:ext>
                    </a:extLst>
                  </pic:spPr>
                </pic:pic>
              </a:graphicData>
            </a:graphic>
          </wp:inline>
        </w:drawing>
      </w:r>
    </w:p>
    <w:p w14:paraId="0988CDC1" w14:textId="3CC19476" w:rsidR="0027285D" w:rsidRPr="003E1F48" w:rsidRDefault="0027285D" w:rsidP="0027285D">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 xml:space="preserve">Фигура 1. </w:t>
      </w:r>
      <w:r w:rsidR="00CE4181" w:rsidRPr="003E1F48">
        <w:rPr>
          <w:rFonts w:ascii="Times New Roman" w:hAnsi="Times New Roman" w:cs="Times New Roman"/>
          <w:sz w:val="24"/>
          <w:szCs w:val="24"/>
        </w:rPr>
        <w:t>Динамика на младежката неактивност и NEET в Европейския съюз за периода 2020-2024 г.</w:t>
      </w:r>
    </w:p>
    <w:p w14:paraId="3B4466A9" w14:textId="5C686890" w:rsidR="00CE4181" w:rsidRPr="003E1F48" w:rsidRDefault="00CE4181" w:rsidP="00CE4181">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Източник: (Eurostat, 2024c)</w:t>
      </w:r>
    </w:p>
    <w:p w14:paraId="6C92733E" w14:textId="04356ED9" w:rsidR="0027285D" w:rsidRPr="0027285D"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 xml:space="preserve">Шокът през 2020 г. е обусловен от внезапното прекъсване на икономическата активност в редица услуги с висока интензивност на младежка заетост, ограниченията в мобилността и затварянето на образователните институции, което нарушава преходите „училище–работа“ и увеличава дела на младежите, които нито работят, нито учат. Именно тогава показателят NEET за възрастовата група 15–29 години достига своя пик от 13,8%, отразявайки едновременно нарастване на безработните младежи и разширяване на групата </w:t>
      </w:r>
      <w:r w:rsidRPr="0027285D">
        <w:rPr>
          <w:rFonts w:ascii="Times New Roman" w:hAnsi="Times New Roman" w:cs="Times New Roman"/>
          <w:sz w:val="24"/>
          <w:szCs w:val="24"/>
        </w:rPr>
        <w:lastRenderedPageBreak/>
        <w:t>на неактивните поради обезкуражаване, семейни ангажименти или здравни съображения (Eurostat, 2024a).</w:t>
      </w:r>
    </w:p>
    <w:p w14:paraId="495BFCE5" w14:textId="77777777" w:rsidR="0027285D" w:rsidRPr="0027285D"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Втората фаза на възстановяване започва още през 2021 г., когато поетапното отпадане на ограничителните мерки, адаптацията на бизнеса към хибридни и дистанционни форми на заетост и възстановяването на търсенето в ключови сектори създават условия за реинтегриране на част от младежите на пазара на труда. Допълнителен импулс идва от активните политики за заетост, схемите за запазване на работни места и целенасочените програми за обучение, които ограничават трайните „белези“ от периода на принудително неучастие. Паралелно с това нараства и участието в образование и обучение, което намалява относителния дял на NEET в популацията 15–29 години, тъй като показателят по дефиниция изключва учащите.</w:t>
      </w:r>
    </w:p>
    <w:p w14:paraId="73704EF4" w14:textId="77777777" w:rsidR="00CE4181" w:rsidRPr="003E1F48"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 xml:space="preserve">Третата фаза, характерна за 2023–2024 г., се отличава с нормализация и стабилизиране на NEET около 11,0–11,1%, което се доближава до най-ниските стойности за десетилетието и сочи консолидиране на преходите към заетост и образование след кризисния пик. </w:t>
      </w:r>
    </w:p>
    <w:p w14:paraId="5B72E9B3" w14:textId="77777777" w:rsidR="00157659" w:rsidRPr="003E1F48"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 xml:space="preserve">Въпреки общоевропейската посока, вътрешната хетерогенност остава съществена. Регионите с най-нисък риск от NEET са концентрирани в Нидерландия и в по-широк смисъл в Северозападна Европа, където съчетанието от силно търсене на труд, добре функциониращи системи за посредничество и стажуване, висока дигитална готовност и стабилна институционална среда ускорява завръщането на младежите към активност. </w:t>
      </w:r>
    </w:p>
    <w:p w14:paraId="3433FEEB" w14:textId="77777777" w:rsidR="00157659" w:rsidRPr="003E1F48" w:rsidRDefault="00157659" w:rsidP="00157659">
      <w:pPr>
        <w:spacing w:line="360" w:lineRule="auto"/>
        <w:ind w:firstLine="708"/>
        <w:jc w:val="both"/>
        <w:rPr>
          <w:rFonts w:ascii="Times New Roman" w:hAnsi="Times New Roman" w:cs="Times New Roman"/>
          <w:sz w:val="24"/>
          <w:szCs w:val="24"/>
        </w:rPr>
      </w:pPr>
      <w:r w:rsidRPr="00157659">
        <w:rPr>
          <w:rFonts w:ascii="Times New Roman" w:hAnsi="Times New Roman" w:cs="Times New Roman"/>
          <w:sz w:val="24"/>
          <w:szCs w:val="24"/>
        </w:rPr>
        <w:t>Динамиката на показателя NEET за периода 2020–2024 г. в трите изследвани държави очертава обща посока на подобрение, но с различна скорост и профил на възстановяване</w:t>
      </w:r>
      <w:r w:rsidRPr="003E1F48">
        <w:rPr>
          <w:rFonts w:ascii="Times New Roman" w:hAnsi="Times New Roman" w:cs="Times New Roman"/>
          <w:sz w:val="24"/>
          <w:szCs w:val="24"/>
        </w:rPr>
        <w:t xml:space="preserve"> (Фиг. 2)</w:t>
      </w:r>
      <w:r w:rsidRPr="00157659">
        <w:rPr>
          <w:rFonts w:ascii="Times New Roman" w:hAnsi="Times New Roman" w:cs="Times New Roman"/>
          <w:sz w:val="24"/>
          <w:szCs w:val="24"/>
        </w:rPr>
        <w:t>.</w:t>
      </w:r>
    </w:p>
    <w:p w14:paraId="4475B757" w14:textId="2742AEFD" w:rsidR="00157659" w:rsidRPr="003E1F48" w:rsidRDefault="00157659" w:rsidP="00157659">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lastRenderedPageBreak/>
        <w:drawing>
          <wp:inline distT="0" distB="0" distL="0" distR="0" wp14:anchorId="3D4206AF" wp14:editId="67720F4C">
            <wp:extent cx="5196633" cy="3223228"/>
            <wp:effectExtent l="0" t="0" r="4445" b="0"/>
            <wp:docPr id="683018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8023" cy="3236495"/>
                    </a:xfrm>
                    <a:prstGeom prst="rect">
                      <a:avLst/>
                    </a:prstGeom>
                    <a:noFill/>
                  </pic:spPr>
                </pic:pic>
              </a:graphicData>
            </a:graphic>
          </wp:inline>
        </w:drawing>
      </w:r>
    </w:p>
    <w:p w14:paraId="335EF48E" w14:textId="5713C0A6" w:rsidR="00157659" w:rsidRPr="003E1F48" w:rsidRDefault="00157659" w:rsidP="00157659">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Фигура 2. Динамиката на показателя NEET за периода 2020–2024 г. по държави</w:t>
      </w:r>
    </w:p>
    <w:p w14:paraId="4470F171" w14:textId="7F2BA979" w:rsidR="00157659" w:rsidRPr="003E1F48" w:rsidRDefault="00157659" w:rsidP="00157659">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Източник: OECD (2025)</w:t>
      </w:r>
    </w:p>
    <w:p w14:paraId="7DB1D655" w14:textId="496BB7C4" w:rsidR="00157659" w:rsidRPr="00157659" w:rsidRDefault="00157659" w:rsidP="00157659">
      <w:pPr>
        <w:spacing w:line="360" w:lineRule="auto"/>
        <w:ind w:firstLine="708"/>
        <w:jc w:val="both"/>
        <w:rPr>
          <w:rFonts w:ascii="Times New Roman" w:hAnsi="Times New Roman" w:cs="Times New Roman"/>
          <w:sz w:val="24"/>
          <w:szCs w:val="24"/>
        </w:rPr>
      </w:pPr>
      <w:r w:rsidRPr="00157659">
        <w:rPr>
          <w:rFonts w:ascii="Times New Roman" w:hAnsi="Times New Roman" w:cs="Times New Roman"/>
          <w:sz w:val="24"/>
          <w:szCs w:val="24"/>
        </w:rPr>
        <w:t>В България се наблюдава последователен и почти линейно низходящ тренд: от 18,1% през 2020 г. нивото намалява до 17,6% през 2021 г., 15,0% през 2022 г., 13,9% през 2023 г. и достига 12,9% през 2024 г. Крайният резултат представлява свиване с 5,2 процентни пункта спрямо началната година, което сигнализира за устойчиво активиране на младежите и постепенно доближаване до средните международни равнища</w:t>
      </w:r>
      <w:r w:rsidRPr="003E1F48">
        <w:t xml:space="preserve"> </w:t>
      </w:r>
      <w:r w:rsidRPr="003E1F48">
        <w:rPr>
          <w:rFonts w:ascii="Times New Roman" w:hAnsi="Times New Roman" w:cs="Times New Roman"/>
          <w:sz w:val="24"/>
          <w:szCs w:val="24"/>
        </w:rPr>
        <w:t>(OECD, 2025)</w:t>
      </w:r>
      <w:r w:rsidRPr="00157659">
        <w:rPr>
          <w:rFonts w:ascii="Times New Roman" w:hAnsi="Times New Roman" w:cs="Times New Roman"/>
          <w:sz w:val="24"/>
          <w:szCs w:val="24"/>
        </w:rPr>
        <w:t>.</w:t>
      </w:r>
    </w:p>
    <w:p w14:paraId="2A78734A" w14:textId="63521086" w:rsidR="00157659" w:rsidRPr="00157659" w:rsidRDefault="00157659" w:rsidP="00157659">
      <w:pPr>
        <w:spacing w:line="360" w:lineRule="auto"/>
        <w:ind w:firstLine="708"/>
        <w:jc w:val="both"/>
        <w:rPr>
          <w:rFonts w:ascii="Times New Roman" w:hAnsi="Times New Roman" w:cs="Times New Roman"/>
          <w:sz w:val="24"/>
          <w:szCs w:val="24"/>
        </w:rPr>
      </w:pPr>
      <w:r w:rsidRPr="00157659">
        <w:rPr>
          <w:rFonts w:ascii="Times New Roman" w:hAnsi="Times New Roman" w:cs="Times New Roman"/>
          <w:sz w:val="24"/>
          <w:szCs w:val="24"/>
        </w:rPr>
        <w:t>Хърватска показва сходна посока, но с по-изразен цикличен елемент в началото на периода. След равнище от 14,6% през 2020 г. се отчита временен ръст до 15,5% през 2021 г., което отразява по-бавната нормализация след първоначалния шок. От 2022 г. насетне тенденцията се обръща и показателят намалява до 13,9% през 2022 г., 12,9% през 2023 г. и 11,1% през 2024 г. Кумулативното понижение от 3,5 процентни пункта за целия период потвърждава ефективно възстановяване, като финалното равнище през 2024 г. е чувствително под средните за международните сравнения</w:t>
      </w:r>
      <w:r w:rsidRPr="003E1F48">
        <w:t xml:space="preserve"> </w:t>
      </w:r>
      <w:r w:rsidRPr="003E1F48">
        <w:rPr>
          <w:rFonts w:ascii="Times New Roman" w:hAnsi="Times New Roman" w:cs="Times New Roman"/>
          <w:sz w:val="24"/>
          <w:szCs w:val="24"/>
        </w:rPr>
        <w:t>(OECD, 2025)</w:t>
      </w:r>
      <w:r w:rsidRPr="00157659">
        <w:rPr>
          <w:rFonts w:ascii="Times New Roman" w:hAnsi="Times New Roman" w:cs="Times New Roman"/>
          <w:sz w:val="24"/>
          <w:szCs w:val="24"/>
        </w:rPr>
        <w:t>.</w:t>
      </w:r>
    </w:p>
    <w:p w14:paraId="69EBB3D3" w14:textId="751F80FD" w:rsidR="00157659" w:rsidRPr="00157659" w:rsidRDefault="00157659" w:rsidP="00157659">
      <w:pPr>
        <w:spacing w:line="360" w:lineRule="auto"/>
        <w:ind w:firstLine="708"/>
        <w:jc w:val="both"/>
        <w:rPr>
          <w:rFonts w:ascii="Times New Roman" w:hAnsi="Times New Roman" w:cs="Times New Roman"/>
          <w:sz w:val="24"/>
          <w:szCs w:val="24"/>
        </w:rPr>
      </w:pPr>
      <w:r w:rsidRPr="00157659">
        <w:rPr>
          <w:rFonts w:ascii="Times New Roman" w:hAnsi="Times New Roman" w:cs="Times New Roman"/>
          <w:sz w:val="24"/>
          <w:szCs w:val="24"/>
        </w:rPr>
        <w:t xml:space="preserve">Нидерландия поддържа най-ниски стойности през целия период и демонстрира профил на бързо възстановяване с последваща умерена нормализация. От 6,6% през 2020 г. </w:t>
      </w:r>
      <w:r w:rsidRPr="00157659">
        <w:rPr>
          <w:rFonts w:ascii="Times New Roman" w:hAnsi="Times New Roman" w:cs="Times New Roman"/>
          <w:sz w:val="24"/>
          <w:szCs w:val="24"/>
        </w:rPr>
        <w:lastRenderedPageBreak/>
        <w:t>показателят спада рязко до 4,7% през 2021 г., което е индикатор за бързи преходи образование–работа в среда на силно търсене на труд. В следващите години се наблюдава леко покачване до 4,9% през 2022 г., 5,4% през 2023 г. и 5,7% през 2024 г., оставайки въпреки това значително под равнищата в България и Хърватска. Нетното изменение за периода е минимално (–0,9 процентни пункта), а ниската амплитуда на колебанията подсказва висока резилиентност на младежките преходи</w:t>
      </w:r>
      <w:r w:rsidRPr="003E1F48">
        <w:t xml:space="preserve"> </w:t>
      </w:r>
      <w:r w:rsidRPr="003E1F48">
        <w:rPr>
          <w:rFonts w:ascii="Times New Roman" w:hAnsi="Times New Roman" w:cs="Times New Roman"/>
          <w:sz w:val="24"/>
          <w:szCs w:val="24"/>
        </w:rPr>
        <w:t>(OECD, 2025)</w:t>
      </w:r>
      <w:r w:rsidRPr="00157659">
        <w:rPr>
          <w:rFonts w:ascii="Times New Roman" w:hAnsi="Times New Roman" w:cs="Times New Roman"/>
          <w:sz w:val="24"/>
          <w:szCs w:val="24"/>
        </w:rPr>
        <w:t>.</w:t>
      </w:r>
    </w:p>
    <w:p w14:paraId="125E8C9B" w14:textId="77777777" w:rsidR="00157659" w:rsidRPr="00157659" w:rsidRDefault="00157659" w:rsidP="00157659">
      <w:pPr>
        <w:spacing w:line="360" w:lineRule="auto"/>
        <w:ind w:firstLine="708"/>
        <w:jc w:val="both"/>
        <w:rPr>
          <w:rFonts w:ascii="Times New Roman" w:hAnsi="Times New Roman" w:cs="Times New Roman"/>
          <w:sz w:val="24"/>
          <w:szCs w:val="24"/>
        </w:rPr>
      </w:pPr>
      <w:r w:rsidRPr="00157659">
        <w:rPr>
          <w:rFonts w:ascii="Times New Roman" w:hAnsi="Times New Roman" w:cs="Times New Roman"/>
          <w:sz w:val="24"/>
          <w:szCs w:val="24"/>
        </w:rPr>
        <w:t>Съпоставката между страните показва конвергенция надолу: България и Хърватска значително редуцират NEET след 2021 г., като България се приближава до обобщените международни средни стойности в края на периода, а Хърватска трайно се позиционира под тях. Нидерландия остава референтна точка с най-ниски нива и ограничена волатилност. Тези различия са съвместими с вариации в напрежението на пазарите на труда, скоростта на възстановяване на заетостта и ефективността на механизмите за съвпадение между млади кандидати и работни места в постпандемичния контекст.</w:t>
      </w:r>
    </w:p>
    <w:p w14:paraId="5C24FB76" w14:textId="089872A5" w:rsidR="00DE2FE4" w:rsidRPr="00DE2FE4" w:rsidRDefault="0027285D" w:rsidP="0027285D">
      <w:pPr>
        <w:spacing w:line="360" w:lineRule="auto"/>
        <w:ind w:firstLine="708"/>
        <w:jc w:val="both"/>
        <w:rPr>
          <w:rFonts w:ascii="Times New Roman" w:hAnsi="Times New Roman" w:cs="Times New Roman"/>
          <w:sz w:val="24"/>
          <w:szCs w:val="24"/>
        </w:rPr>
      </w:pPr>
      <w:r w:rsidRPr="0027285D">
        <w:rPr>
          <w:rFonts w:ascii="Times New Roman" w:hAnsi="Times New Roman" w:cs="Times New Roman"/>
          <w:sz w:val="24"/>
          <w:szCs w:val="24"/>
        </w:rPr>
        <w:t>Тази географска концентрация подсказва, че спадът на NEET не е само циклична реакция на отварянето на икономиките, а отразява структурни различия в качеството на преходите „образование–работа“, в съвпадението между умения и търсене и в ефективността на публичните интервенции (Eurostat, 2024</w:t>
      </w:r>
      <w:r w:rsidR="00CE4181" w:rsidRPr="003E1F48">
        <w:rPr>
          <w:rFonts w:ascii="Times New Roman" w:hAnsi="Times New Roman" w:cs="Times New Roman"/>
          <w:sz w:val="24"/>
          <w:szCs w:val="24"/>
        </w:rPr>
        <w:t>b</w:t>
      </w:r>
      <w:r w:rsidRPr="0027285D">
        <w:rPr>
          <w:rFonts w:ascii="Times New Roman" w:hAnsi="Times New Roman" w:cs="Times New Roman"/>
          <w:sz w:val="24"/>
          <w:szCs w:val="24"/>
        </w:rPr>
        <w:t>).</w:t>
      </w:r>
      <w:r w:rsidRPr="003E1F48">
        <w:rPr>
          <w:rFonts w:ascii="Times New Roman" w:hAnsi="Times New Roman" w:cs="Times New Roman"/>
          <w:sz w:val="24"/>
          <w:szCs w:val="24"/>
        </w:rPr>
        <w:t xml:space="preserve"> </w:t>
      </w:r>
      <w:r w:rsidR="00DE2FE4" w:rsidRPr="00DE2FE4">
        <w:rPr>
          <w:rFonts w:ascii="Times New Roman" w:hAnsi="Times New Roman" w:cs="Times New Roman"/>
          <w:sz w:val="24"/>
          <w:szCs w:val="24"/>
        </w:rPr>
        <w:t xml:space="preserve">Този общ фон подсказва, че постпандемичният импулс към активиране на младите е реален, но неравномерно разпределен по държави и региони. </w:t>
      </w:r>
    </w:p>
    <w:p w14:paraId="11CFBD7B" w14:textId="7638E9D9" w:rsidR="00DE2FE4" w:rsidRPr="00DE2FE4" w:rsidRDefault="00DE2FE4" w:rsidP="00DE2FE4">
      <w:pPr>
        <w:spacing w:line="360" w:lineRule="auto"/>
        <w:ind w:firstLine="708"/>
        <w:jc w:val="both"/>
        <w:rPr>
          <w:rFonts w:ascii="Times New Roman" w:hAnsi="Times New Roman" w:cs="Times New Roman"/>
          <w:sz w:val="24"/>
          <w:szCs w:val="24"/>
        </w:rPr>
      </w:pPr>
      <w:r w:rsidRPr="00DE2FE4">
        <w:rPr>
          <w:rFonts w:ascii="Times New Roman" w:hAnsi="Times New Roman" w:cs="Times New Roman"/>
          <w:sz w:val="24"/>
          <w:szCs w:val="24"/>
        </w:rPr>
        <w:t>За Нидерландия динамиката е последователно благоприятна. Страната държи най-ниски нива на NEET сред 15–29-годишните в ЕС през 2023–2024 г. (около 5% при мъжете и малко над 5% при жените), а всички нейни NUTS-2 региони са под политическата цел от 9% до 2030 г., като няколко региони падат дори под 6,5%</w:t>
      </w:r>
      <w:r w:rsidR="000F09DA" w:rsidRPr="003E1F48">
        <w:t xml:space="preserve"> </w:t>
      </w:r>
      <w:r w:rsidR="000F09DA" w:rsidRPr="003E1F48">
        <w:rPr>
          <w:rFonts w:ascii="Times New Roman" w:hAnsi="Times New Roman" w:cs="Times New Roman"/>
          <w:sz w:val="24"/>
          <w:szCs w:val="24"/>
        </w:rPr>
        <w:t>(Eurostat, 2024b).</w:t>
      </w:r>
    </w:p>
    <w:p w14:paraId="69A4C277" w14:textId="52DBF6A2" w:rsidR="00DE2FE4" w:rsidRPr="00DE2FE4" w:rsidRDefault="00DE2FE4" w:rsidP="00DE2FE4">
      <w:pPr>
        <w:spacing w:line="360" w:lineRule="auto"/>
        <w:ind w:firstLine="708"/>
        <w:jc w:val="both"/>
        <w:rPr>
          <w:rFonts w:ascii="Times New Roman" w:hAnsi="Times New Roman" w:cs="Times New Roman"/>
          <w:sz w:val="24"/>
          <w:szCs w:val="24"/>
        </w:rPr>
      </w:pPr>
      <w:r w:rsidRPr="00DE2FE4">
        <w:rPr>
          <w:rFonts w:ascii="Times New Roman" w:hAnsi="Times New Roman" w:cs="Times New Roman"/>
          <w:sz w:val="24"/>
          <w:szCs w:val="24"/>
        </w:rPr>
        <w:t>За България картината е по-хетерогенна. Макар че след 2021–2022 г. се наблюдава подобрение, страната остава над средното равнище на ЕС по риск от NEET в част от подгрупите; България е сред държавите с по-висок NEET при младежи с ниско образование през 2024 г., което подсказва по-устойчиви бариери за включване на уязвими групи</w:t>
      </w:r>
      <w:r w:rsidR="000F09DA" w:rsidRPr="003E1F48">
        <w:t xml:space="preserve"> </w:t>
      </w:r>
      <w:r w:rsidRPr="00DE2FE4">
        <w:rPr>
          <w:rFonts w:ascii="Times New Roman" w:hAnsi="Times New Roman" w:cs="Times New Roman"/>
          <w:sz w:val="24"/>
          <w:szCs w:val="24"/>
        </w:rPr>
        <w:t xml:space="preserve">Същевременно пазарът на труда е по-слаб в сравнение с северозападните икономики, а степента на свободни работни места в последните години се нарежда сред най-ниските в </w:t>
      </w:r>
      <w:r w:rsidRPr="00DE2FE4">
        <w:rPr>
          <w:rFonts w:ascii="Times New Roman" w:hAnsi="Times New Roman" w:cs="Times New Roman"/>
          <w:sz w:val="24"/>
          <w:szCs w:val="24"/>
        </w:rPr>
        <w:lastRenderedPageBreak/>
        <w:t>ЕС</w:t>
      </w:r>
      <w:r w:rsidR="00F975B5" w:rsidRPr="003E1F48">
        <w:rPr>
          <w:rFonts w:ascii="Times New Roman" w:hAnsi="Times New Roman" w:cs="Times New Roman"/>
          <w:sz w:val="24"/>
          <w:szCs w:val="24"/>
        </w:rPr>
        <w:t xml:space="preserve"> (Eurostat, 2024c)</w:t>
      </w:r>
      <w:r w:rsidRPr="00DE2FE4">
        <w:rPr>
          <w:rFonts w:ascii="Times New Roman" w:hAnsi="Times New Roman" w:cs="Times New Roman"/>
          <w:sz w:val="24"/>
          <w:szCs w:val="24"/>
        </w:rPr>
        <w:t>. В такава среда цикличното търсене не е достатъчно да „изтегли“ всички млади от неактивност без активни политики и адресиране на уменията.</w:t>
      </w:r>
    </w:p>
    <w:p w14:paraId="70C54491" w14:textId="2D6BEDB6" w:rsidR="00DE2FE4" w:rsidRPr="00DE2FE4" w:rsidRDefault="00DE2FE4" w:rsidP="00DE2FE4">
      <w:pPr>
        <w:spacing w:line="360" w:lineRule="auto"/>
        <w:ind w:firstLine="708"/>
        <w:jc w:val="both"/>
        <w:rPr>
          <w:rFonts w:ascii="Times New Roman" w:hAnsi="Times New Roman" w:cs="Times New Roman"/>
          <w:sz w:val="24"/>
          <w:szCs w:val="24"/>
        </w:rPr>
      </w:pPr>
      <w:r w:rsidRPr="00DE2FE4">
        <w:rPr>
          <w:rFonts w:ascii="Times New Roman" w:hAnsi="Times New Roman" w:cs="Times New Roman"/>
          <w:sz w:val="24"/>
          <w:szCs w:val="24"/>
        </w:rPr>
        <w:t>Хърватска се позиционира между двата полюса. След пандемичния шок показателите за младежка включеност се подобряват, като столичният регион също попада сред NUTS-2 зоните с нисък NEET през 2024 г., но страната изпитва отчетливи ограничители от страна на демографията, изтичането на работна сила и несъответствията на уменията – фактори, които Международният валутен фонд изтъква във връзка с трайния недостиг на работници и квалификации. Отчетеният в ЕС контекст на спад на вакантните места след късната 2022 г. важи и за Хърватска, но напрежението в отделни сектори и сезонността на заетостта в услугите и туризма продължават да влияят върху преходите на младите</w:t>
      </w:r>
      <w:r w:rsidR="000F09DA" w:rsidRPr="003E1F48">
        <w:t xml:space="preserve"> </w:t>
      </w:r>
      <w:r w:rsidR="000F09DA" w:rsidRPr="003E1F48">
        <w:rPr>
          <w:rFonts w:ascii="Times New Roman" w:hAnsi="Times New Roman" w:cs="Times New Roman"/>
          <w:sz w:val="24"/>
          <w:szCs w:val="24"/>
        </w:rPr>
        <w:t>(Eurostat, 2024a)</w:t>
      </w:r>
      <w:r w:rsidRPr="00DE2FE4">
        <w:rPr>
          <w:rFonts w:ascii="Times New Roman" w:hAnsi="Times New Roman" w:cs="Times New Roman"/>
          <w:sz w:val="24"/>
          <w:szCs w:val="24"/>
        </w:rPr>
        <w:t xml:space="preserve">. </w:t>
      </w:r>
    </w:p>
    <w:p w14:paraId="3BA0E5A8" w14:textId="77777777" w:rsidR="00A149E6" w:rsidRPr="003E1F48" w:rsidRDefault="00DE2FE4" w:rsidP="00B069E3">
      <w:pPr>
        <w:spacing w:line="360" w:lineRule="auto"/>
        <w:ind w:firstLine="708"/>
        <w:jc w:val="both"/>
        <w:rPr>
          <w:rFonts w:ascii="Times New Roman" w:hAnsi="Times New Roman" w:cs="Times New Roman"/>
          <w:sz w:val="24"/>
          <w:szCs w:val="24"/>
        </w:rPr>
      </w:pPr>
      <w:r w:rsidRPr="00DE2FE4">
        <w:rPr>
          <w:rFonts w:ascii="Times New Roman" w:hAnsi="Times New Roman" w:cs="Times New Roman"/>
          <w:sz w:val="24"/>
          <w:szCs w:val="24"/>
        </w:rPr>
        <w:t xml:space="preserve">Макросредата през 2022–2023 г. е доминирана от инфлационния шок, който ерозира реалните възнаграждения и може временно да </w:t>
      </w:r>
      <w:r w:rsidR="009D4FDD" w:rsidRPr="003E1F48">
        <w:rPr>
          <w:rFonts w:ascii="Times New Roman" w:hAnsi="Times New Roman" w:cs="Times New Roman"/>
          <w:sz w:val="24"/>
          <w:szCs w:val="24"/>
        </w:rPr>
        <w:t xml:space="preserve">отблъсне </w:t>
      </w:r>
      <w:r w:rsidRPr="00DE2FE4">
        <w:rPr>
          <w:rFonts w:ascii="Times New Roman" w:hAnsi="Times New Roman" w:cs="Times New Roman"/>
          <w:sz w:val="24"/>
          <w:szCs w:val="24"/>
        </w:rPr>
        <w:t>младите</w:t>
      </w:r>
      <w:r w:rsidR="00B069E3" w:rsidRPr="003E1F48">
        <w:rPr>
          <w:rFonts w:ascii="Times New Roman" w:hAnsi="Times New Roman" w:cs="Times New Roman"/>
          <w:sz w:val="24"/>
          <w:szCs w:val="24"/>
        </w:rPr>
        <w:t xml:space="preserve"> от пазара на труда</w:t>
      </w:r>
      <w:r w:rsidRPr="00DE2FE4">
        <w:rPr>
          <w:rFonts w:ascii="Times New Roman" w:hAnsi="Times New Roman" w:cs="Times New Roman"/>
          <w:sz w:val="24"/>
          <w:szCs w:val="24"/>
        </w:rPr>
        <w:t xml:space="preserve">. В Нидерландия хармонизираната инфлация достига изключително висок годишен темп нарастване през есента на 2022 г., преди да се нормализира през 2023–2024 г., докато в Хърватска и България инфлацията остава по-упорита поради структури на потребление и енергийни компоненти. </w:t>
      </w:r>
      <w:r w:rsidR="000F09DA" w:rsidRPr="003E1F48">
        <w:rPr>
          <w:rFonts w:ascii="Times New Roman" w:hAnsi="Times New Roman" w:cs="Times New Roman"/>
          <w:sz w:val="24"/>
          <w:szCs w:val="24"/>
        </w:rPr>
        <w:t>(Trading Economics, 2025)</w:t>
      </w:r>
      <w:r w:rsidRPr="00DE2FE4">
        <w:rPr>
          <w:rFonts w:ascii="Times New Roman" w:hAnsi="Times New Roman" w:cs="Times New Roman"/>
          <w:sz w:val="24"/>
          <w:szCs w:val="24"/>
        </w:rPr>
        <w:t xml:space="preserve">. </w:t>
      </w:r>
      <w:r w:rsidR="00A149E6" w:rsidRPr="003E1F48">
        <w:rPr>
          <w:rFonts w:ascii="Times New Roman" w:hAnsi="Times New Roman" w:cs="Times New Roman"/>
          <w:sz w:val="24"/>
          <w:szCs w:val="24"/>
        </w:rPr>
        <w:t xml:space="preserve"> </w:t>
      </w:r>
      <w:r w:rsidR="00B069E3" w:rsidRPr="00B069E3">
        <w:rPr>
          <w:rFonts w:ascii="Times New Roman" w:hAnsi="Times New Roman" w:cs="Times New Roman"/>
          <w:sz w:val="24"/>
          <w:szCs w:val="24"/>
        </w:rPr>
        <w:t>Инфлационната среда през 2022–2023 г. поставя силно различни рамки пред преходите на младите към заетост в трите изследвани икономики</w:t>
      </w:r>
      <w:r w:rsidR="00A149E6" w:rsidRPr="003E1F48">
        <w:rPr>
          <w:rFonts w:ascii="Times New Roman" w:hAnsi="Times New Roman" w:cs="Times New Roman"/>
          <w:sz w:val="24"/>
          <w:szCs w:val="24"/>
        </w:rPr>
        <w:t xml:space="preserve"> (Фиг. 3).</w:t>
      </w:r>
    </w:p>
    <w:p w14:paraId="7B8513AB" w14:textId="5BD9C4F0" w:rsidR="00A149E6" w:rsidRPr="003E1F48" w:rsidRDefault="001C7801" w:rsidP="00A149E6">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drawing>
          <wp:inline distT="0" distB="0" distL="0" distR="0" wp14:anchorId="4E7FA40E" wp14:editId="6E48BE5E">
            <wp:extent cx="3974465" cy="2189418"/>
            <wp:effectExtent l="0" t="0" r="6985" b="1905"/>
            <wp:docPr id="7568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937" cy="2209509"/>
                    </a:xfrm>
                    <a:prstGeom prst="rect">
                      <a:avLst/>
                    </a:prstGeom>
                    <a:noFill/>
                  </pic:spPr>
                </pic:pic>
              </a:graphicData>
            </a:graphic>
          </wp:inline>
        </w:drawing>
      </w:r>
    </w:p>
    <w:p w14:paraId="3731A1ED" w14:textId="35D42BC1" w:rsidR="00A149E6" w:rsidRPr="003E1F48" w:rsidRDefault="00A149E6" w:rsidP="00A149E6">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Фигура 3. Инфлационен шок по HICP: сравнение между Нидерландия, Хърватска и България за периода 2020-2024 г.</w:t>
      </w:r>
    </w:p>
    <w:p w14:paraId="63D7849E" w14:textId="7A102CBB" w:rsidR="001C7801" w:rsidRPr="003E1F48" w:rsidRDefault="001C7801" w:rsidP="00A149E6">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lastRenderedPageBreak/>
        <w:t>Източник: (Statistics Netherlands, 2025; Trading Economics, 2025а,b, НСИ, 2025)</w:t>
      </w:r>
    </w:p>
    <w:p w14:paraId="0446C758" w14:textId="1D22C787" w:rsidR="00B069E3" w:rsidRPr="00B069E3" w:rsidRDefault="00B069E3" w:rsidP="00B069E3">
      <w:pPr>
        <w:spacing w:line="360" w:lineRule="auto"/>
        <w:ind w:firstLine="708"/>
        <w:jc w:val="both"/>
        <w:rPr>
          <w:rFonts w:ascii="Times New Roman" w:hAnsi="Times New Roman" w:cs="Times New Roman"/>
          <w:sz w:val="24"/>
          <w:szCs w:val="24"/>
        </w:rPr>
      </w:pPr>
      <w:r w:rsidRPr="00B069E3">
        <w:rPr>
          <w:rFonts w:ascii="Times New Roman" w:hAnsi="Times New Roman" w:cs="Times New Roman"/>
          <w:sz w:val="24"/>
          <w:szCs w:val="24"/>
        </w:rPr>
        <w:t>В Нидерландия ценовият шок е особено изразен</w:t>
      </w:r>
      <w:r w:rsidR="001C7801" w:rsidRPr="003E1F48">
        <w:rPr>
          <w:rFonts w:ascii="Times New Roman" w:hAnsi="Times New Roman" w:cs="Times New Roman"/>
          <w:sz w:val="24"/>
          <w:szCs w:val="24"/>
        </w:rPr>
        <w:t xml:space="preserve"> през 2022 г., когато</w:t>
      </w:r>
      <w:r w:rsidRPr="00B069E3">
        <w:rPr>
          <w:rFonts w:ascii="Times New Roman" w:hAnsi="Times New Roman" w:cs="Times New Roman"/>
          <w:sz w:val="24"/>
          <w:szCs w:val="24"/>
        </w:rPr>
        <w:t xml:space="preserve"> на годишна база хармонизираният индекс на потребителските цени нараства средно с 11,6% , </w:t>
      </w:r>
      <w:r w:rsidR="001C7801" w:rsidRPr="003E1F48">
        <w:rPr>
          <w:rFonts w:ascii="Times New Roman" w:hAnsi="Times New Roman" w:cs="Times New Roman"/>
          <w:sz w:val="24"/>
          <w:szCs w:val="24"/>
        </w:rPr>
        <w:t>но</w:t>
      </w:r>
      <w:r w:rsidRPr="00B069E3">
        <w:rPr>
          <w:rFonts w:ascii="Times New Roman" w:hAnsi="Times New Roman" w:cs="Times New Roman"/>
          <w:sz w:val="24"/>
          <w:szCs w:val="24"/>
        </w:rPr>
        <w:t xml:space="preserve"> през 2023 г. вече се нормализира до 4,1% според официалните оценки на CBS на база HICP. Вътрешногодишната динамика потвърждава остротата на шока: месечният пик достига 17,1% на годишна база през септември 2022 г., преди инфлацията да се охлади през 2023–2024 г. Тази бърза нормализация, въпреки рекордния връх, кореспондира с устойчиво висока плътност на незаети позиции и ефективни механизми на съвпадение, което ограничава риска от трайно изтегляне на млади от пазара на труда</w:t>
      </w:r>
      <w:r w:rsidRPr="003E1F48">
        <w:t xml:space="preserve"> </w:t>
      </w:r>
      <w:r w:rsidRPr="003E1F48">
        <w:rPr>
          <w:rFonts w:ascii="Times New Roman" w:hAnsi="Times New Roman" w:cs="Times New Roman"/>
          <w:sz w:val="24"/>
          <w:szCs w:val="24"/>
        </w:rPr>
        <w:t>(Statistics Netherlands, 2025;</w:t>
      </w:r>
      <w:r w:rsidRPr="003E1F48">
        <w:t xml:space="preserve"> </w:t>
      </w:r>
      <w:r w:rsidRPr="003E1F48">
        <w:rPr>
          <w:rFonts w:ascii="Times New Roman" w:hAnsi="Times New Roman" w:cs="Times New Roman"/>
          <w:sz w:val="24"/>
          <w:szCs w:val="24"/>
        </w:rPr>
        <w:t>Trading Economics, 2025b)</w:t>
      </w:r>
      <w:r w:rsidRPr="00B069E3">
        <w:rPr>
          <w:rFonts w:ascii="Times New Roman" w:hAnsi="Times New Roman" w:cs="Times New Roman"/>
          <w:sz w:val="24"/>
          <w:szCs w:val="24"/>
        </w:rPr>
        <w:t xml:space="preserve">. </w:t>
      </w:r>
    </w:p>
    <w:p w14:paraId="2A5A38A3" w14:textId="46419E84" w:rsidR="00B069E3" w:rsidRPr="00B069E3" w:rsidRDefault="00B069E3" w:rsidP="00B069E3">
      <w:pPr>
        <w:spacing w:line="360" w:lineRule="auto"/>
        <w:ind w:firstLine="708"/>
        <w:jc w:val="both"/>
        <w:rPr>
          <w:rFonts w:ascii="Times New Roman" w:hAnsi="Times New Roman" w:cs="Times New Roman"/>
          <w:sz w:val="24"/>
          <w:szCs w:val="24"/>
        </w:rPr>
      </w:pPr>
      <w:r w:rsidRPr="00B069E3">
        <w:rPr>
          <w:rFonts w:ascii="Times New Roman" w:hAnsi="Times New Roman" w:cs="Times New Roman"/>
          <w:sz w:val="24"/>
          <w:szCs w:val="24"/>
        </w:rPr>
        <w:t>Хърватска преживява сходен по посока, но различен по профил епизод. Месечните данни по HICP отбелязват исторически максимум от 13,0% на годишна база през ноември 2022 г., а през 2023 г. инфлацията остава повишена в условията на евровъвеждане и висока базова динамика; за първите месеци на 2023 г. Eurostat оценява допълнителен принос от смяната на валутата в диапазона 0,04–0,20 процентни пункта към годишния темп. Към 2024 г. средногодишната инфлация вече се понижава до 4,0%, но през 2023 г. ценовото напрежение е достатъчно, за да ерозира реалните възнаграждения, особено в услуги с висок дял на млади заети, и да удължи времето на преходите „училище–работа“ в по-сезонни отрасли</w:t>
      </w:r>
      <w:r w:rsidRPr="003E1F48">
        <w:t xml:space="preserve"> </w:t>
      </w:r>
      <w:r w:rsidRPr="003E1F48">
        <w:rPr>
          <w:rFonts w:ascii="Times New Roman" w:hAnsi="Times New Roman" w:cs="Times New Roman"/>
          <w:sz w:val="24"/>
          <w:szCs w:val="24"/>
        </w:rPr>
        <w:t>(Trading Economics, 2025a)</w:t>
      </w:r>
      <w:r w:rsidRPr="00B069E3">
        <w:rPr>
          <w:rFonts w:ascii="Times New Roman" w:hAnsi="Times New Roman" w:cs="Times New Roman"/>
          <w:sz w:val="24"/>
          <w:szCs w:val="24"/>
        </w:rPr>
        <w:t xml:space="preserve">. </w:t>
      </w:r>
    </w:p>
    <w:p w14:paraId="3B0543B6" w14:textId="1DD15530" w:rsidR="00A149E6" w:rsidRPr="003E1F48" w:rsidRDefault="00B069E3" w:rsidP="00B069E3">
      <w:pPr>
        <w:spacing w:line="360" w:lineRule="auto"/>
        <w:ind w:firstLine="708"/>
        <w:jc w:val="both"/>
        <w:rPr>
          <w:rFonts w:ascii="Times New Roman" w:hAnsi="Times New Roman" w:cs="Times New Roman"/>
          <w:sz w:val="24"/>
          <w:szCs w:val="24"/>
        </w:rPr>
      </w:pPr>
      <w:r w:rsidRPr="00B069E3">
        <w:rPr>
          <w:rFonts w:ascii="Times New Roman" w:hAnsi="Times New Roman" w:cs="Times New Roman"/>
          <w:sz w:val="24"/>
          <w:szCs w:val="24"/>
        </w:rPr>
        <w:t>В България ценовият шок се проявява със също двуцифрени темпове през 2022 г., като към декември 2022 г. годишната инфлация по HICP е 14,3% и остава висока през голяма част от 2023 г.</w:t>
      </w:r>
      <w:r w:rsidRPr="003E1F48">
        <w:rPr>
          <w:rFonts w:ascii="Times New Roman" w:hAnsi="Times New Roman" w:cs="Times New Roman"/>
          <w:sz w:val="24"/>
          <w:szCs w:val="24"/>
        </w:rPr>
        <w:t xml:space="preserve"> С</w:t>
      </w:r>
      <w:r w:rsidRPr="00B069E3">
        <w:rPr>
          <w:rFonts w:ascii="Times New Roman" w:hAnsi="Times New Roman" w:cs="Times New Roman"/>
          <w:sz w:val="24"/>
          <w:szCs w:val="24"/>
        </w:rPr>
        <w:t xml:space="preserve">редногодишно HICP инфлацията за 2023 г. е 8,6% според Националния статистически институт. Макар през 2024 г. показателите да свидетелстват за рязко </w:t>
      </w:r>
      <w:r w:rsidRPr="003E1F48">
        <w:rPr>
          <w:rFonts w:ascii="Times New Roman" w:hAnsi="Times New Roman" w:cs="Times New Roman"/>
          <w:sz w:val="24"/>
          <w:szCs w:val="24"/>
        </w:rPr>
        <w:t>намаляване на инфлацията</w:t>
      </w:r>
      <w:r w:rsidRPr="00B069E3">
        <w:rPr>
          <w:rFonts w:ascii="Times New Roman" w:hAnsi="Times New Roman" w:cs="Times New Roman"/>
          <w:sz w:val="24"/>
          <w:szCs w:val="24"/>
        </w:rPr>
        <w:t>, в разглеждания период 2022–2023 г. ерозията на реалните доходи е значима, а в съчетание с по-ниска плътност на свободни работни места спрямо северозападните икономики това прави нормализацията на младежките преходи по-бавна и по-чувствителна към колебания в търсенето</w:t>
      </w:r>
      <w:r w:rsidR="00A149E6" w:rsidRPr="003E1F48">
        <w:rPr>
          <w:rFonts w:ascii="Times New Roman" w:hAnsi="Times New Roman" w:cs="Times New Roman"/>
          <w:sz w:val="24"/>
          <w:szCs w:val="24"/>
        </w:rPr>
        <w:t xml:space="preserve"> (НСИ, 20205)</w:t>
      </w:r>
      <w:r w:rsidRPr="00B069E3">
        <w:rPr>
          <w:rFonts w:ascii="Times New Roman" w:hAnsi="Times New Roman" w:cs="Times New Roman"/>
          <w:sz w:val="24"/>
          <w:szCs w:val="24"/>
        </w:rPr>
        <w:t xml:space="preserve">. </w:t>
      </w:r>
    </w:p>
    <w:p w14:paraId="21636F84" w14:textId="45F10D16" w:rsidR="00B069E3" w:rsidRPr="00B069E3" w:rsidRDefault="00B069E3" w:rsidP="00B069E3">
      <w:pPr>
        <w:spacing w:line="360" w:lineRule="auto"/>
        <w:ind w:firstLine="708"/>
        <w:jc w:val="both"/>
        <w:rPr>
          <w:rFonts w:ascii="Times New Roman" w:hAnsi="Times New Roman" w:cs="Times New Roman"/>
          <w:sz w:val="24"/>
          <w:szCs w:val="24"/>
        </w:rPr>
      </w:pPr>
      <w:r w:rsidRPr="00B069E3">
        <w:rPr>
          <w:rFonts w:ascii="Times New Roman" w:hAnsi="Times New Roman" w:cs="Times New Roman"/>
          <w:sz w:val="24"/>
          <w:szCs w:val="24"/>
        </w:rPr>
        <w:t xml:space="preserve">Тези количествени различия в ценовата динамика се вписват в по-широката европейска рамка на „пик през 2022 г. – охлаждане през 2023 г.“, но модифициращата роля </w:t>
      </w:r>
      <w:r w:rsidRPr="00B069E3">
        <w:rPr>
          <w:rFonts w:ascii="Times New Roman" w:hAnsi="Times New Roman" w:cs="Times New Roman"/>
          <w:sz w:val="24"/>
          <w:szCs w:val="24"/>
        </w:rPr>
        <w:lastRenderedPageBreak/>
        <w:t xml:space="preserve">на националните институционални и технологични контексти е отчетлива. В Нидерландия, където HICP се връща към 4,1% още през 2023 г., ниският и стабилен NEET е поддържан от висока степен на незаети позиции и добре работещо посредничество, докато в Хърватска добавъчният, макар и ограничен, ефект от евровъвеждането през началото на 2023 г. и по-високата средногодишна инфлация забавят възстановяването на реалните заплати. В България по-упоритата инфлация през 2023 г. в комбинация с по-ниска вакантност усилва риска от обезкуражаване в периферните групи и прави спада на NEET по-постепенен. В обобщение, макроценовият шок от 2022 г. оказва силно, но хетерогенно по последствия въздействие: кратката и остра фаза в Нидерландия срещу по-продължителна ценова инерция в Хърватска и България, с директни импликации за скоростта на активиране на младите на пазара на труда. </w:t>
      </w:r>
    </w:p>
    <w:p w14:paraId="1D566C20" w14:textId="21D94800" w:rsidR="00F975B5" w:rsidRPr="003E1F48" w:rsidRDefault="00F975B5" w:rsidP="00DE2FE4">
      <w:pPr>
        <w:spacing w:line="360" w:lineRule="auto"/>
        <w:ind w:firstLine="708"/>
        <w:jc w:val="both"/>
        <w:rPr>
          <w:rFonts w:ascii="Times New Roman" w:hAnsi="Times New Roman" w:cs="Times New Roman"/>
          <w:sz w:val="24"/>
          <w:szCs w:val="24"/>
        </w:rPr>
      </w:pPr>
      <w:r w:rsidRPr="00DE2FE4">
        <w:rPr>
          <w:rFonts w:ascii="Times New Roman" w:hAnsi="Times New Roman" w:cs="Times New Roman"/>
          <w:sz w:val="24"/>
          <w:szCs w:val="24"/>
        </w:rPr>
        <w:t>Въпреки това именно в икономики с много висок</w:t>
      </w:r>
      <w:r w:rsidRPr="003E1F48">
        <w:rPr>
          <w:rFonts w:ascii="Times New Roman" w:hAnsi="Times New Roman" w:cs="Times New Roman"/>
          <w:sz w:val="24"/>
          <w:szCs w:val="24"/>
        </w:rPr>
        <w:t>о търсене</w:t>
      </w:r>
      <w:r w:rsidRPr="00DE2FE4">
        <w:rPr>
          <w:rFonts w:ascii="Times New Roman" w:hAnsi="Times New Roman" w:cs="Times New Roman"/>
          <w:sz w:val="24"/>
          <w:szCs w:val="24"/>
        </w:rPr>
        <w:t xml:space="preserve"> и рекордни нива на свободни позиции, каквато е Нидерландия, инфлационният натиск не пречи на бързото поемане на млади кадри. Обратно – в държави с по-</w:t>
      </w:r>
      <w:r w:rsidRPr="003E1F48">
        <w:rPr>
          <w:rFonts w:ascii="Times New Roman" w:hAnsi="Times New Roman" w:cs="Times New Roman"/>
          <w:sz w:val="24"/>
          <w:szCs w:val="24"/>
        </w:rPr>
        <w:t>малко свободни работни места</w:t>
      </w:r>
      <w:r w:rsidRPr="00DE2FE4">
        <w:rPr>
          <w:rFonts w:ascii="Times New Roman" w:hAnsi="Times New Roman" w:cs="Times New Roman"/>
          <w:sz w:val="24"/>
          <w:szCs w:val="24"/>
        </w:rPr>
        <w:t xml:space="preserve"> и по-слабо развито посредничество ефектът от инфлацията върху реалните заплати е по-скоро задържащ по отношение на активирането на </w:t>
      </w:r>
      <w:r w:rsidRPr="003E1F48">
        <w:rPr>
          <w:rFonts w:ascii="Times New Roman" w:hAnsi="Times New Roman" w:cs="Times New Roman"/>
          <w:sz w:val="24"/>
          <w:szCs w:val="24"/>
        </w:rPr>
        <w:t>трудово неактивните</w:t>
      </w:r>
      <w:r w:rsidRPr="00DE2FE4">
        <w:rPr>
          <w:rFonts w:ascii="Times New Roman" w:hAnsi="Times New Roman" w:cs="Times New Roman"/>
          <w:sz w:val="24"/>
          <w:szCs w:val="24"/>
        </w:rPr>
        <w:t xml:space="preserve"> групи младежи</w:t>
      </w:r>
      <w:r w:rsidRPr="003E1F48">
        <w:rPr>
          <w:rFonts w:ascii="Times New Roman" w:hAnsi="Times New Roman" w:cs="Times New Roman"/>
          <w:sz w:val="24"/>
          <w:szCs w:val="24"/>
        </w:rPr>
        <w:t>.</w:t>
      </w:r>
    </w:p>
    <w:p w14:paraId="40C8D297" w14:textId="539F65DD" w:rsidR="009D4FDD" w:rsidRPr="003E1F48" w:rsidRDefault="00F975B5" w:rsidP="00F975B5">
      <w:pPr>
        <w:spacing w:line="360" w:lineRule="auto"/>
        <w:ind w:firstLine="708"/>
        <w:jc w:val="both"/>
        <w:rPr>
          <w:rFonts w:ascii="Times New Roman" w:hAnsi="Times New Roman" w:cs="Times New Roman"/>
          <w:sz w:val="24"/>
          <w:szCs w:val="24"/>
        </w:rPr>
      </w:pPr>
      <w:bookmarkStart w:id="4" w:name="_Hlk211713469"/>
      <w:r w:rsidRPr="00F975B5">
        <w:rPr>
          <w:rFonts w:ascii="Times New Roman" w:hAnsi="Times New Roman" w:cs="Times New Roman"/>
          <w:sz w:val="24"/>
          <w:szCs w:val="24"/>
        </w:rPr>
        <w:t xml:space="preserve">Динамиката на коефициента на свободни работни места в периода 2020–2024 г. </w:t>
      </w:r>
      <w:bookmarkEnd w:id="4"/>
      <w:r w:rsidRPr="00F975B5">
        <w:rPr>
          <w:rFonts w:ascii="Times New Roman" w:hAnsi="Times New Roman" w:cs="Times New Roman"/>
          <w:sz w:val="24"/>
          <w:szCs w:val="24"/>
        </w:rPr>
        <w:t>разкрива ясно очертана постпандемична траектория, характеризираща се с рязък спад през 2020 г., последван от бързо възстановяване и постепенно стабилизиране</w:t>
      </w:r>
      <w:r w:rsidR="001C7801" w:rsidRPr="003E1F48">
        <w:rPr>
          <w:rFonts w:ascii="Times New Roman" w:hAnsi="Times New Roman" w:cs="Times New Roman"/>
          <w:sz w:val="24"/>
          <w:szCs w:val="24"/>
        </w:rPr>
        <w:t xml:space="preserve"> (Фиг. 4)</w:t>
      </w:r>
      <w:r w:rsidRPr="00F975B5">
        <w:rPr>
          <w:rFonts w:ascii="Times New Roman" w:hAnsi="Times New Roman" w:cs="Times New Roman"/>
          <w:sz w:val="24"/>
          <w:szCs w:val="24"/>
        </w:rPr>
        <w:t xml:space="preserve">. </w:t>
      </w:r>
    </w:p>
    <w:p w14:paraId="023263F9" w14:textId="2C9511C5" w:rsidR="009D4FDD" w:rsidRPr="003E1F48" w:rsidRDefault="009D4FDD" w:rsidP="009D4FDD">
      <w:pPr>
        <w:tabs>
          <w:tab w:val="left" w:pos="4536"/>
        </w:tabs>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drawing>
          <wp:inline distT="0" distB="0" distL="0" distR="0" wp14:anchorId="7544BEED" wp14:editId="234D79DC">
            <wp:extent cx="4058301" cy="2359310"/>
            <wp:effectExtent l="0" t="0" r="0" b="3175"/>
            <wp:docPr id="144380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1515" cy="2372806"/>
                    </a:xfrm>
                    <a:prstGeom prst="rect">
                      <a:avLst/>
                    </a:prstGeom>
                    <a:noFill/>
                  </pic:spPr>
                </pic:pic>
              </a:graphicData>
            </a:graphic>
          </wp:inline>
        </w:drawing>
      </w:r>
    </w:p>
    <w:p w14:paraId="69C6DC83" w14:textId="7F0F7980" w:rsidR="009D4FDD" w:rsidRPr="003E1F48" w:rsidRDefault="009D4FDD" w:rsidP="009D4FDD">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lastRenderedPageBreak/>
        <w:t xml:space="preserve">Фигура </w:t>
      </w:r>
      <w:r w:rsidR="001C7801" w:rsidRPr="003E1F48">
        <w:rPr>
          <w:rFonts w:ascii="Times New Roman" w:hAnsi="Times New Roman" w:cs="Times New Roman"/>
          <w:sz w:val="24"/>
          <w:szCs w:val="24"/>
        </w:rPr>
        <w:t>4</w:t>
      </w:r>
      <w:r w:rsidRPr="003E1F48">
        <w:rPr>
          <w:rFonts w:ascii="Times New Roman" w:hAnsi="Times New Roman" w:cs="Times New Roman"/>
          <w:sz w:val="24"/>
          <w:szCs w:val="24"/>
        </w:rPr>
        <w:t>. Динамика на коефициента на свободни работни места в България, Хърватска и Нидерландия за периода 2020–2024 г.</w:t>
      </w:r>
    </w:p>
    <w:p w14:paraId="49DE1D8E" w14:textId="66433228" w:rsidR="009D4FDD" w:rsidRPr="003E1F48" w:rsidRDefault="009D4FDD" w:rsidP="009D4FDD">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Източник: Eurostat (2025c)</w:t>
      </w:r>
    </w:p>
    <w:p w14:paraId="6F478C57" w14:textId="7CBED555" w:rsidR="00F975B5" w:rsidRPr="00F975B5" w:rsidRDefault="00F975B5" w:rsidP="00F975B5">
      <w:pPr>
        <w:spacing w:line="360" w:lineRule="auto"/>
        <w:ind w:firstLine="708"/>
        <w:jc w:val="both"/>
        <w:rPr>
          <w:rFonts w:ascii="Times New Roman" w:hAnsi="Times New Roman" w:cs="Times New Roman"/>
          <w:sz w:val="24"/>
          <w:szCs w:val="24"/>
        </w:rPr>
      </w:pPr>
      <w:r w:rsidRPr="00F975B5">
        <w:rPr>
          <w:rFonts w:ascii="Times New Roman" w:hAnsi="Times New Roman" w:cs="Times New Roman"/>
          <w:sz w:val="24"/>
          <w:szCs w:val="24"/>
        </w:rPr>
        <w:t xml:space="preserve">Данните от Eurostat </w:t>
      </w:r>
      <w:r w:rsidR="009D4FDD" w:rsidRPr="003E1F48">
        <w:rPr>
          <w:rFonts w:ascii="Times New Roman" w:hAnsi="Times New Roman" w:cs="Times New Roman"/>
          <w:sz w:val="24"/>
          <w:szCs w:val="24"/>
        </w:rPr>
        <w:t xml:space="preserve">(2025) </w:t>
      </w:r>
      <w:r w:rsidRPr="00F975B5">
        <w:rPr>
          <w:rFonts w:ascii="Times New Roman" w:hAnsi="Times New Roman" w:cs="Times New Roman"/>
          <w:sz w:val="24"/>
          <w:szCs w:val="24"/>
        </w:rPr>
        <w:t>показват, че кризата, предизвикана от COVID-19, води до временно замръзване на трудовото търсене в почти всички европейски икономики, като коефициентът на свободни работни места в ЕС спада с около 0,4 процентни пункта спрямо предходната година – най-големият отрицателен годишен прираст за последното десетилетие. Още през 2021 г. обаче започва отчетливо възстановяване, като повечето държави членки бележат ръст в диапазона 0,5–0,6 процентни пункта, което отразява ускореното възстановяване на икономическата активност, особено в услугите и индустриалния сектор.</w:t>
      </w:r>
    </w:p>
    <w:p w14:paraId="26DFD493" w14:textId="77777777" w:rsidR="00F975B5" w:rsidRPr="00F975B5" w:rsidRDefault="00F975B5" w:rsidP="00F975B5">
      <w:pPr>
        <w:spacing w:line="360" w:lineRule="auto"/>
        <w:ind w:firstLine="708"/>
        <w:jc w:val="both"/>
        <w:rPr>
          <w:rFonts w:ascii="Times New Roman" w:hAnsi="Times New Roman" w:cs="Times New Roman"/>
          <w:sz w:val="24"/>
          <w:szCs w:val="24"/>
        </w:rPr>
      </w:pPr>
      <w:r w:rsidRPr="00F975B5">
        <w:rPr>
          <w:rFonts w:ascii="Times New Roman" w:hAnsi="Times New Roman" w:cs="Times New Roman"/>
          <w:sz w:val="24"/>
          <w:szCs w:val="24"/>
        </w:rPr>
        <w:t>В България динамиката на показателя следва сходна посока, макар и с по-умерена амплитуда. След кризисното свиване през 2020 г. коефициентът на свободни работни места започва да се повишава през 2021 г., достигайки около 1,5–1,7%, което е характерно за страни със сравнително по-ниска степен на пазарна наситеност. В периода 2022–2023 г. тенденцията на нарастване се запазва, но с ограничен темп, което подсказва структурни ограничения в предлагането на труд и по-бавно адаптиране на фирмите към новите производствени условия. През 2024 г. се наблюдава леко стабилизиране на показателя, което свидетелства за постепенното нормализиране на пазара на труда.</w:t>
      </w:r>
    </w:p>
    <w:p w14:paraId="73EAE5B0" w14:textId="77777777" w:rsidR="00F975B5" w:rsidRPr="00F975B5" w:rsidRDefault="00F975B5" w:rsidP="00F975B5">
      <w:pPr>
        <w:spacing w:line="360" w:lineRule="auto"/>
        <w:ind w:firstLine="708"/>
        <w:jc w:val="both"/>
        <w:rPr>
          <w:rFonts w:ascii="Times New Roman" w:hAnsi="Times New Roman" w:cs="Times New Roman"/>
          <w:sz w:val="24"/>
          <w:szCs w:val="24"/>
        </w:rPr>
      </w:pPr>
      <w:r w:rsidRPr="00F975B5">
        <w:rPr>
          <w:rFonts w:ascii="Times New Roman" w:hAnsi="Times New Roman" w:cs="Times New Roman"/>
          <w:sz w:val="24"/>
          <w:szCs w:val="24"/>
        </w:rPr>
        <w:t>В Хърватска след присъединяването към еврозоната се отчита сходен профил, но с по-високи стойности в посткризисния период. През 2021 г. рязкото възстановяване на туристическия и транспортния сектор води до значително увеличение на свободните работни места, като показателят достига около 3%. В следващите години темпът на нарастване се забавя, но стойностите остават над средните за ЕС, което е признак за нарастващ недостиг на квалифицирана работна сила и ограничено съответствие между уменията и търсенето на пазара.</w:t>
      </w:r>
    </w:p>
    <w:p w14:paraId="157A8C6C" w14:textId="77777777" w:rsidR="00F975B5" w:rsidRPr="00F975B5" w:rsidRDefault="00F975B5" w:rsidP="00F975B5">
      <w:pPr>
        <w:spacing w:line="360" w:lineRule="auto"/>
        <w:ind w:firstLine="708"/>
        <w:jc w:val="both"/>
        <w:rPr>
          <w:rFonts w:ascii="Times New Roman" w:hAnsi="Times New Roman" w:cs="Times New Roman"/>
          <w:sz w:val="24"/>
          <w:szCs w:val="24"/>
        </w:rPr>
      </w:pPr>
      <w:r w:rsidRPr="00F975B5">
        <w:rPr>
          <w:rFonts w:ascii="Times New Roman" w:hAnsi="Times New Roman" w:cs="Times New Roman"/>
          <w:sz w:val="24"/>
          <w:szCs w:val="24"/>
        </w:rPr>
        <w:t xml:space="preserve">Нидерландия се откроява с едни от най-високите равнища на свободни работни места в Европа през целия период. През 2021 г. коефициентът достига 4,5%, като през 2022 г. надхвърля дори 5% – сред най-високите стойности в ЕС. Това отразява както високата </w:t>
      </w:r>
      <w:r w:rsidRPr="00F975B5">
        <w:rPr>
          <w:rFonts w:ascii="Times New Roman" w:hAnsi="Times New Roman" w:cs="Times New Roman"/>
          <w:sz w:val="24"/>
          <w:szCs w:val="24"/>
        </w:rPr>
        <w:lastRenderedPageBreak/>
        <w:t>икономическа активност след пандемията, така и напрежението между търсенето и предлагането на труд в силно дигитализирана и конкурентна икономика. През 2023 и 2024 г. показателят остава устойчив около 4,5–4,7%, което свидетелства за структурен недостиг на работна сила, особено в технологичните, здравните и образователните сектори.</w:t>
      </w:r>
    </w:p>
    <w:p w14:paraId="0553E3F5" w14:textId="6284C859" w:rsidR="00DE2FE4" w:rsidRPr="003E1F48" w:rsidRDefault="00F975B5" w:rsidP="00DE2FE4">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Накратко</w:t>
      </w:r>
      <w:r w:rsidRPr="00F975B5">
        <w:rPr>
          <w:rFonts w:ascii="Times New Roman" w:hAnsi="Times New Roman" w:cs="Times New Roman"/>
          <w:sz w:val="24"/>
          <w:szCs w:val="24"/>
        </w:rPr>
        <w:t>, данните за България, Хърватска и Нидерландия показват различна степен на пазарна адаптивност в постпандемичния контекст. Докато България се характеризира с умерено и постепенно възстановяване, Хърватска демонстрира ускорен растеж, обусловен от секторна специфичност, а Нидерландия поддържа устойчиво високо равнище на незаети позиции, което е израз на висока икономическа динамика, но и на структурен дефицит на трудови ресурси.</w:t>
      </w:r>
      <w:r w:rsidR="00A23892" w:rsidRPr="003E1F48">
        <w:rPr>
          <w:rFonts w:ascii="Times New Roman" w:hAnsi="Times New Roman" w:cs="Times New Roman"/>
          <w:sz w:val="24"/>
          <w:szCs w:val="24"/>
        </w:rPr>
        <w:t xml:space="preserve"> </w:t>
      </w:r>
      <w:r w:rsidRPr="003E1F48">
        <w:rPr>
          <w:rFonts w:ascii="Times New Roman" w:hAnsi="Times New Roman" w:cs="Times New Roman"/>
          <w:sz w:val="24"/>
          <w:szCs w:val="24"/>
        </w:rPr>
        <w:t>Като цяло, младежката</w:t>
      </w:r>
      <w:r w:rsidR="00DE2FE4" w:rsidRPr="00DE2FE4">
        <w:rPr>
          <w:rFonts w:ascii="Times New Roman" w:hAnsi="Times New Roman" w:cs="Times New Roman"/>
          <w:sz w:val="24"/>
          <w:szCs w:val="24"/>
        </w:rPr>
        <w:t xml:space="preserve"> безработица като допълващ индикатор потвърждава разминаването между страните, но и показва конвергенция след 2021 г. В България равнището на младежката безработица намалява спрямо 2020–2021 г., но остава двуцифрено през 2024 г., което подсказва наличен, макар и свиващ се, резерв от млади в и около пазара на труда. В Нидерландия безработицата е сред най-ниските в ЕС и съвместно с нисък NEET формира профил на бързи съвпадения и къси периоди на преход. Хърватска се движи близо до средните за ЕС нива, но с по-голяма чувствителност към сезонните цикли в туризма</w:t>
      </w:r>
      <w:r w:rsidR="000F09DA" w:rsidRPr="003E1F48">
        <w:t xml:space="preserve"> </w:t>
      </w:r>
      <w:r w:rsidR="000F09DA" w:rsidRPr="003E1F48">
        <w:rPr>
          <w:rFonts w:ascii="Times New Roman" w:hAnsi="Times New Roman" w:cs="Times New Roman"/>
          <w:sz w:val="24"/>
          <w:szCs w:val="24"/>
        </w:rPr>
        <w:t>(Eurostat, 2025)</w:t>
      </w:r>
      <w:r w:rsidR="00DE2FE4" w:rsidRPr="00DE2FE4">
        <w:rPr>
          <w:rFonts w:ascii="Times New Roman" w:hAnsi="Times New Roman" w:cs="Times New Roman"/>
          <w:sz w:val="24"/>
          <w:szCs w:val="24"/>
        </w:rPr>
        <w:t xml:space="preserve">. </w:t>
      </w:r>
    </w:p>
    <w:p w14:paraId="3F59A039" w14:textId="758E579A" w:rsidR="00FA2C8C" w:rsidRPr="003E1F48" w:rsidRDefault="00C57670" w:rsidP="00C5767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Друг важен фактор, който оказва влияние върху трудовата активност е работната заплата</w:t>
      </w:r>
      <w:r w:rsidR="00FA2C8C" w:rsidRPr="003E1F48">
        <w:rPr>
          <w:rFonts w:ascii="Times New Roman" w:hAnsi="Times New Roman" w:cs="Times New Roman"/>
          <w:sz w:val="24"/>
          <w:szCs w:val="24"/>
        </w:rPr>
        <w:t xml:space="preserve"> (Фиг. 4 и Фиг. 5; Табл. </w:t>
      </w:r>
      <w:r w:rsidR="00A2433D">
        <w:rPr>
          <w:rFonts w:ascii="Times New Roman" w:hAnsi="Times New Roman" w:cs="Times New Roman"/>
          <w:sz w:val="24"/>
          <w:szCs w:val="24"/>
        </w:rPr>
        <w:t>4</w:t>
      </w:r>
      <w:r w:rsidR="00FA2C8C" w:rsidRPr="003E1F48">
        <w:rPr>
          <w:rFonts w:ascii="Times New Roman" w:hAnsi="Times New Roman" w:cs="Times New Roman"/>
          <w:sz w:val="24"/>
          <w:szCs w:val="24"/>
        </w:rPr>
        <w:t xml:space="preserve"> и Табл. </w:t>
      </w:r>
      <w:r w:rsidR="00A2433D">
        <w:rPr>
          <w:rFonts w:ascii="Times New Roman" w:hAnsi="Times New Roman" w:cs="Times New Roman"/>
          <w:sz w:val="24"/>
          <w:szCs w:val="24"/>
        </w:rPr>
        <w:t>5</w:t>
      </w:r>
      <w:r w:rsidR="00FA2C8C" w:rsidRPr="003E1F48">
        <w:rPr>
          <w:rFonts w:ascii="Times New Roman" w:hAnsi="Times New Roman" w:cs="Times New Roman"/>
          <w:sz w:val="24"/>
          <w:szCs w:val="24"/>
        </w:rPr>
        <w:t>)</w:t>
      </w:r>
      <w:r w:rsidRPr="003E1F48">
        <w:rPr>
          <w:rFonts w:ascii="Times New Roman" w:hAnsi="Times New Roman" w:cs="Times New Roman"/>
          <w:sz w:val="24"/>
          <w:szCs w:val="24"/>
        </w:rPr>
        <w:t xml:space="preserve">. </w:t>
      </w:r>
    </w:p>
    <w:p w14:paraId="0DD90EC3" w14:textId="7E2514B1" w:rsidR="00FA2C8C" w:rsidRPr="003E1F48" w:rsidRDefault="00FA2C8C" w:rsidP="00FA2C8C">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drawing>
          <wp:inline distT="0" distB="0" distL="0" distR="0" wp14:anchorId="42E431AF" wp14:editId="09E4A2FD">
            <wp:extent cx="4120515" cy="2266283"/>
            <wp:effectExtent l="0" t="0" r="0" b="1270"/>
            <wp:docPr id="1293586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627" cy="2276795"/>
                    </a:xfrm>
                    <a:prstGeom prst="rect">
                      <a:avLst/>
                    </a:prstGeom>
                    <a:noFill/>
                  </pic:spPr>
                </pic:pic>
              </a:graphicData>
            </a:graphic>
          </wp:inline>
        </w:drawing>
      </w:r>
    </w:p>
    <w:p w14:paraId="4C2196CB" w14:textId="0F345FBA" w:rsidR="00FA2C8C" w:rsidRPr="003E1F48" w:rsidRDefault="00FA2C8C" w:rsidP="00FA2C8C">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lastRenderedPageBreak/>
        <w:t xml:space="preserve">Фигура 4. </w:t>
      </w:r>
      <w:bookmarkStart w:id="5" w:name="_Hlk211751450"/>
      <w:r w:rsidRPr="003E1F48">
        <w:rPr>
          <w:rFonts w:ascii="Times New Roman" w:hAnsi="Times New Roman" w:cs="Times New Roman"/>
          <w:sz w:val="24"/>
          <w:szCs w:val="24"/>
        </w:rPr>
        <w:t>Динамика на МРЗ в България, Хърватска и Нидерландия за периода 202-2024 г.</w:t>
      </w:r>
    </w:p>
    <w:p w14:paraId="7D2CB602" w14:textId="0E76703B" w:rsidR="00FA2C8C" w:rsidRPr="003E1F48" w:rsidRDefault="00FA2C8C" w:rsidP="00FA2C8C">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Източници: National Statistics Institute (NSI) (2025); Government of the Netherlands (2025); Eurostat (2025e)</w:t>
      </w:r>
    </w:p>
    <w:bookmarkEnd w:id="5"/>
    <w:p w14:paraId="06D86650" w14:textId="641D1E55" w:rsidR="00FA2C8C" w:rsidRPr="003E1F48" w:rsidRDefault="00FA2C8C" w:rsidP="00FA2C8C">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Бележки:</w:t>
      </w:r>
      <w:r w:rsidRPr="003E1F48">
        <w:rPr>
          <w:rFonts w:ascii="Times New Roman" w:hAnsi="Times New Roman" w:cs="Times New Roman"/>
          <w:sz w:val="24"/>
          <w:szCs w:val="24"/>
        </w:rPr>
        <w:br/>
        <w:t>• Българските стойности са конвертирани от лева по фиксирания курс 1 EUR = 1.95583 лв.</w:t>
      </w:r>
      <w:r w:rsidRPr="003E1F48">
        <w:rPr>
          <w:rFonts w:ascii="Times New Roman" w:hAnsi="Times New Roman" w:cs="Times New Roman"/>
          <w:sz w:val="24"/>
          <w:szCs w:val="24"/>
        </w:rPr>
        <w:br/>
        <w:t>• За Нидерландия 2024 г. е показан ориентировъчен месечен еквивалент, тъй като законовият минимум е почасов от 1.01.2024 (изчислен при ~40 ч./седмица).</w:t>
      </w:r>
    </w:p>
    <w:p w14:paraId="03602802" w14:textId="268712C6" w:rsidR="00FA2C8C" w:rsidRPr="003E1F48" w:rsidRDefault="00FA2C8C" w:rsidP="00FA2C8C">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 xml:space="preserve">Таблица </w:t>
      </w:r>
      <w:r w:rsidR="00A2433D">
        <w:rPr>
          <w:rFonts w:ascii="Times New Roman" w:hAnsi="Times New Roman" w:cs="Times New Roman"/>
          <w:sz w:val="24"/>
          <w:szCs w:val="24"/>
        </w:rPr>
        <w:t>4</w:t>
      </w:r>
      <w:r w:rsidRPr="003E1F48">
        <w:rPr>
          <w:rFonts w:ascii="Times New Roman" w:hAnsi="Times New Roman" w:cs="Times New Roman"/>
          <w:sz w:val="24"/>
          <w:szCs w:val="24"/>
        </w:rPr>
        <w:t>. Динамика на МРЗ в България, Хърватска и Нидерландия за периода 202-2024 г.</w:t>
      </w:r>
    </w:p>
    <w:p w14:paraId="6E888BDC" w14:textId="1AEB8788" w:rsidR="00FA2C8C" w:rsidRPr="003E1F48" w:rsidRDefault="00FA2C8C" w:rsidP="00FA2C8C">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Източници: National Statistics Institute (NSI) (2025); Government of the Netherlands (2025); Eurostat (2025e)</w:t>
      </w:r>
    </w:p>
    <w:tbl>
      <w:tblPr>
        <w:tblStyle w:val="TableGridLight"/>
        <w:tblW w:w="0" w:type="auto"/>
        <w:tblLook w:val="04A0" w:firstRow="1" w:lastRow="0" w:firstColumn="1" w:lastColumn="0" w:noHBand="0" w:noVBand="1"/>
      </w:tblPr>
      <w:tblGrid>
        <w:gridCol w:w="1008"/>
        <w:gridCol w:w="1736"/>
        <w:gridCol w:w="871"/>
        <w:gridCol w:w="1852"/>
        <w:gridCol w:w="871"/>
        <w:gridCol w:w="2141"/>
        <w:gridCol w:w="871"/>
      </w:tblGrid>
      <w:tr w:rsidR="00FA2C8C" w:rsidRPr="00FA2C8C" w14:paraId="51E23225" w14:textId="77777777" w:rsidTr="00FA2C8C">
        <w:tc>
          <w:tcPr>
            <w:tcW w:w="0" w:type="auto"/>
            <w:hideMark/>
          </w:tcPr>
          <w:p w14:paraId="72A11767" w14:textId="77777777" w:rsidR="00FA2C8C" w:rsidRPr="00FA2C8C" w:rsidRDefault="00FA2C8C" w:rsidP="00FA2C8C">
            <w:pPr>
              <w:jc w:val="center"/>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Година</w:t>
            </w:r>
          </w:p>
        </w:tc>
        <w:tc>
          <w:tcPr>
            <w:tcW w:w="0" w:type="auto"/>
            <w:hideMark/>
          </w:tcPr>
          <w:p w14:paraId="290BC1A1"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България (EUR)</w:t>
            </w:r>
          </w:p>
        </w:tc>
        <w:tc>
          <w:tcPr>
            <w:tcW w:w="0" w:type="auto"/>
            <w:hideMark/>
          </w:tcPr>
          <w:p w14:paraId="43101707"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YoY %</w:t>
            </w:r>
          </w:p>
        </w:tc>
        <w:tc>
          <w:tcPr>
            <w:tcW w:w="0" w:type="auto"/>
            <w:hideMark/>
          </w:tcPr>
          <w:p w14:paraId="5B5043B4"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Хърватска (EUR)</w:t>
            </w:r>
          </w:p>
        </w:tc>
        <w:tc>
          <w:tcPr>
            <w:tcW w:w="0" w:type="auto"/>
            <w:hideMark/>
          </w:tcPr>
          <w:p w14:paraId="31423A44"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YoY %</w:t>
            </w:r>
          </w:p>
        </w:tc>
        <w:tc>
          <w:tcPr>
            <w:tcW w:w="0" w:type="auto"/>
            <w:hideMark/>
          </w:tcPr>
          <w:p w14:paraId="54C20F6E"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Нидерландия (EUR)</w:t>
            </w:r>
          </w:p>
        </w:tc>
        <w:tc>
          <w:tcPr>
            <w:tcW w:w="0" w:type="auto"/>
            <w:hideMark/>
          </w:tcPr>
          <w:p w14:paraId="33D6C8CD" w14:textId="77777777" w:rsidR="00FA2C8C" w:rsidRPr="00FA2C8C" w:rsidRDefault="00FA2C8C" w:rsidP="00FA2C8C">
            <w:pPr>
              <w:jc w:val="right"/>
              <w:rPr>
                <w:rFonts w:ascii="Times New Roman" w:eastAsia="Times New Roman" w:hAnsi="Times New Roman" w:cs="Times New Roman"/>
                <w:b/>
                <w:bCs/>
                <w:sz w:val="24"/>
                <w:szCs w:val="24"/>
                <w:lang w:eastAsia="en-GB"/>
              </w:rPr>
            </w:pPr>
            <w:r w:rsidRPr="00FA2C8C">
              <w:rPr>
                <w:rFonts w:ascii="Times New Roman" w:eastAsia="Times New Roman" w:hAnsi="Times New Roman" w:cs="Times New Roman"/>
                <w:b/>
                <w:bCs/>
                <w:sz w:val="24"/>
                <w:szCs w:val="24"/>
                <w:lang w:eastAsia="en-GB"/>
              </w:rPr>
              <w:t>YoY %</w:t>
            </w:r>
          </w:p>
        </w:tc>
      </w:tr>
      <w:tr w:rsidR="00FA2C8C" w:rsidRPr="00FA2C8C" w14:paraId="64C718C6" w14:textId="77777777" w:rsidTr="00FA2C8C">
        <w:tc>
          <w:tcPr>
            <w:tcW w:w="0" w:type="auto"/>
            <w:hideMark/>
          </w:tcPr>
          <w:p w14:paraId="6DAA8ED4" w14:textId="77777777" w:rsidR="00FA2C8C" w:rsidRPr="00FA2C8C" w:rsidRDefault="00FA2C8C" w:rsidP="00FA2C8C">
            <w:pPr>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2020</w:t>
            </w:r>
          </w:p>
        </w:tc>
        <w:tc>
          <w:tcPr>
            <w:tcW w:w="0" w:type="auto"/>
            <w:hideMark/>
          </w:tcPr>
          <w:p w14:paraId="43364F9B"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311.89</w:t>
            </w:r>
          </w:p>
        </w:tc>
        <w:tc>
          <w:tcPr>
            <w:tcW w:w="0" w:type="auto"/>
            <w:hideMark/>
          </w:tcPr>
          <w:p w14:paraId="1598B910"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w:t>
            </w:r>
          </w:p>
        </w:tc>
        <w:tc>
          <w:tcPr>
            <w:tcW w:w="0" w:type="auto"/>
            <w:hideMark/>
          </w:tcPr>
          <w:p w14:paraId="1F0066CB"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546</w:t>
            </w:r>
          </w:p>
        </w:tc>
        <w:tc>
          <w:tcPr>
            <w:tcW w:w="0" w:type="auto"/>
            <w:hideMark/>
          </w:tcPr>
          <w:p w14:paraId="6D743443"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w:t>
            </w:r>
          </w:p>
        </w:tc>
        <w:tc>
          <w:tcPr>
            <w:tcW w:w="0" w:type="auto"/>
            <w:hideMark/>
          </w:tcPr>
          <w:p w14:paraId="1E05E93A"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1,654</w:t>
            </w:r>
          </w:p>
        </w:tc>
        <w:tc>
          <w:tcPr>
            <w:tcW w:w="0" w:type="auto"/>
            <w:hideMark/>
          </w:tcPr>
          <w:p w14:paraId="63D10559"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w:t>
            </w:r>
          </w:p>
        </w:tc>
      </w:tr>
      <w:tr w:rsidR="00FA2C8C" w:rsidRPr="00FA2C8C" w14:paraId="5D10CD4D" w14:textId="77777777" w:rsidTr="00FA2C8C">
        <w:tc>
          <w:tcPr>
            <w:tcW w:w="0" w:type="auto"/>
            <w:hideMark/>
          </w:tcPr>
          <w:p w14:paraId="450E3DEB" w14:textId="77777777" w:rsidR="00FA2C8C" w:rsidRPr="00FA2C8C" w:rsidRDefault="00FA2C8C" w:rsidP="00FA2C8C">
            <w:pPr>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2021</w:t>
            </w:r>
          </w:p>
        </w:tc>
        <w:tc>
          <w:tcPr>
            <w:tcW w:w="0" w:type="auto"/>
            <w:hideMark/>
          </w:tcPr>
          <w:p w14:paraId="4E6A3FFB"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332.34</w:t>
            </w:r>
          </w:p>
        </w:tc>
        <w:tc>
          <w:tcPr>
            <w:tcW w:w="0" w:type="auto"/>
            <w:hideMark/>
          </w:tcPr>
          <w:p w14:paraId="5D255154"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6.6</w:t>
            </w:r>
          </w:p>
        </w:tc>
        <w:tc>
          <w:tcPr>
            <w:tcW w:w="0" w:type="auto"/>
            <w:hideMark/>
          </w:tcPr>
          <w:p w14:paraId="7BADF8DA"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563</w:t>
            </w:r>
          </w:p>
        </w:tc>
        <w:tc>
          <w:tcPr>
            <w:tcW w:w="0" w:type="auto"/>
            <w:hideMark/>
          </w:tcPr>
          <w:p w14:paraId="5C30AE44"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3.1</w:t>
            </w:r>
          </w:p>
        </w:tc>
        <w:tc>
          <w:tcPr>
            <w:tcW w:w="0" w:type="auto"/>
            <w:hideMark/>
          </w:tcPr>
          <w:p w14:paraId="529A5645"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1,685</w:t>
            </w:r>
          </w:p>
        </w:tc>
        <w:tc>
          <w:tcPr>
            <w:tcW w:w="0" w:type="auto"/>
            <w:hideMark/>
          </w:tcPr>
          <w:p w14:paraId="05EC80AB"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1.9</w:t>
            </w:r>
          </w:p>
        </w:tc>
      </w:tr>
      <w:tr w:rsidR="00FA2C8C" w:rsidRPr="00FA2C8C" w14:paraId="397A77A7" w14:textId="77777777" w:rsidTr="00FA2C8C">
        <w:tc>
          <w:tcPr>
            <w:tcW w:w="0" w:type="auto"/>
            <w:hideMark/>
          </w:tcPr>
          <w:p w14:paraId="68A0F11D" w14:textId="77777777" w:rsidR="00FA2C8C" w:rsidRPr="00FA2C8C" w:rsidRDefault="00FA2C8C" w:rsidP="00FA2C8C">
            <w:pPr>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2022</w:t>
            </w:r>
          </w:p>
        </w:tc>
        <w:tc>
          <w:tcPr>
            <w:tcW w:w="0" w:type="auto"/>
            <w:hideMark/>
          </w:tcPr>
          <w:p w14:paraId="014EE631"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363.02</w:t>
            </w:r>
          </w:p>
        </w:tc>
        <w:tc>
          <w:tcPr>
            <w:tcW w:w="0" w:type="auto"/>
            <w:hideMark/>
          </w:tcPr>
          <w:p w14:paraId="4AE1948E"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9.2</w:t>
            </w:r>
          </w:p>
        </w:tc>
        <w:tc>
          <w:tcPr>
            <w:tcW w:w="0" w:type="auto"/>
            <w:hideMark/>
          </w:tcPr>
          <w:p w14:paraId="4B0CF29D"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623</w:t>
            </w:r>
          </w:p>
        </w:tc>
        <w:tc>
          <w:tcPr>
            <w:tcW w:w="0" w:type="auto"/>
            <w:hideMark/>
          </w:tcPr>
          <w:p w14:paraId="4AC44CF9"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10.7</w:t>
            </w:r>
          </w:p>
        </w:tc>
        <w:tc>
          <w:tcPr>
            <w:tcW w:w="0" w:type="auto"/>
            <w:hideMark/>
          </w:tcPr>
          <w:p w14:paraId="67C9C16C"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1,725</w:t>
            </w:r>
          </w:p>
        </w:tc>
        <w:tc>
          <w:tcPr>
            <w:tcW w:w="0" w:type="auto"/>
            <w:hideMark/>
          </w:tcPr>
          <w:p w14:paraId="420E4BB0"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2.4</w:t>
            </w:r>
          </w:p>
        </w:tc>
      </w:tr>
      <w:tr w:rsidR="00FA2C8C" w:rsidRPr="00FA2C8C" w14:paraId="195701FB" w14:textId="77777777" w:rsidTr="00FA2C8C">
        <w:tc>
          <w:tcPr>
            <w:tcW w:w="0" w:type="auto"/>
            <w:hideMark/>
          </w:tcPr>
          <w:p w14:paraId="2A4D1DE8" w14:textId="77777777" w:rsidR="00FA2C8C" w:rsidRPr="00FA2C8C" w:rsidRDefault="00FA2C8C" w:rsidP="00FA2C8C">
            <w:pPr>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2023</w:t>
            </w:r>
          </w:p>
        </w:tc>
        <w:tc>
          <w:tcPr>
            <w:tcW w:w="0" w:type="auto"/>
            <w:hideMark/>
          </w:tcPr>
          <w:p w14:paraId="6B8117C2"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398.81</w:t>
            </w:r>
          </w:p>
        </w:tc>
        <w:tc>
          <w:tcPr>
            <w:tcW w:w="0" w:type="auto"/>
            <w:hideMark/>
          </w:tcPr>
          <w:p w14:paraId="52795C72"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9.9</w:t>
            </w:r>
          </w:p>
        </w:tc>
        <w:tc>
          <w:tcPr>
            <w:tcW w:w="0" w:type="auto"/>
            <w:hideMark/>
          </w:tcPr>
          <w:p w14:paraId="14DC5BB5"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700</w:t>
            </w:r>
          </w:p>
        </w:tc>
        <w:tc>
          <w:tcPr>
            <w:tcW w:w="0" w:type="auto"/>
            <w:hideMark/>
          </w:tcPr>
          <w:p w14:paraId="64B6DD82"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12.4</w:t>
            </w:r>
          </w:p>
        </w:tc>
        <w:tc>
          <w:tcPr>
            <w:tcW w:w="0" w:type="auto"/>
            <w:hideMark/>
          </w:tcPr>
          <w:p w14:paraId="565CAB40"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1,934</w:t>
            </w:r>
          </w:p>
        </w:tc>
        <w:tc>
          <w:tcPr>
            <w:tcW w:w="0" w:type="auto"/>
            <w:hideMark/>
          </w:tcPr>
          <w:p w14:paraId="3C22AD16"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12.1</w:t>
            </w:r>
          </w:p>
        </w:tc>
      </w:tr>
      <w:tr w:rsidR="00FA2C8C" w:rsidRPr="00FA2C8C" w14:paraId="270F73E4" w14:textId="77777777" w:rsidTr="00FA2C8C">
        <w:tc>
          <w:tcPr>
            <w:tcW w:w="0" w:type="auto"/>
            <w:hideMark/>
          </w:tcPr>
          <w:p w14:paraId="39F3BD9F" w14:textId="77777777" w:rsidR="00FA2C8C" w:rsidRPr="00FA2C8C" w:rsidRDefault="00FA2C8C" w:rsidP="00FA2C8C">
            <w:pPr>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2024</w:t>
            </w:r>
          </w:p>
        </w:tc>
        <w:tc>
          <w:tcPr>
            <w:tcW w:w="0" w:type="auto"/>
            <w:hideMark/>
          </w:tcPr>
          <w:p w14:paraId="56BE4285"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477.04</w:t>
            </w:r>
          </w:p>
        </w:tc>
        <w:tc>
          <w:tcPr>
            <w:tcW w:w="0" w:type="auto"/>
            <w:hideMark/>
          </w:tcPr>
          <w:p w14:paraId="5C0AC646"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19.6</w:t>
            </w:r>
          </w:p>
        </w:tc>
        <w:tc>
          <w:tcPr>
            <w:tcW w:w="0" w:type="auto"/>
            <w:hideMark/>
          </w:tcPr>
          <w:p w14:paraId="24656318"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840</w:t>
            </w:r>
          </w:p>
        </w:tc>
        <w:tc>
          <w:tcPr>
            <w:tcW w:w="0" w:type="auto"/>
            <w:hideMark/>
          </w:tcPr>
          <w:p w14:paraId="60974644"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20.0</w:t>
            </w:r>
          </w:p>
        </w:tc>
        <w:tc>
          <w:tcPr>
            <w:tcW w:w="0" w:type="auto"/>
            <w:hideMark/>
          </w:tcPr>
          <w:p w14:paraId="266F8189"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2,193</w:t>
            </w:r>
          </w:p>
        </w:tc>
        <w:tc>
          <w:tcPr>
            <w:tcW w:w="0" w:type="auto"/>
            <w:hideMark/>
          </w:tcPr>
          <w:p w14:paraId="1EC92EA7" w14:textId="77777777" w:rsidR="00FA2C8C" w:rsidRPr="00FA2C8C" w:rsidRDefault="00FA2C8C" w:rsidP="00FA2C8C">
            <w:pPr>
              <w:jc w:val="right"/>
              <w:rPr>
                <w:rFonts w:ascii="Times New Roman" w:eastAsia="Times New Roman" w:hAnsi="Times New Roman" w:cs="Times New Roman"/>
                <w:sz w:val="24"/>
                <w:szCs w:val="24"/>
                <w:lang w:eastAsia="en-GB"/>
              </w:rPr>
            </w:pPr>
            <w:r w:rsidRPr="00FA2C8C">
              <w:rPr>
                <w:rFonts w:ascii="Times New Roman" w:eastAsia="Times New Roman" w:hAnsi="Times New Roman" w:cs="Times New Roman"/>
                <w:sz w:val="24"/>
                <w:szCs w:val="24"/>
                <w:lang w:eastAsia="en-GB"/>
              </w:rPr>
              <w:t>13.4</w:t>
            </w:r>
          </w:p>
        </w:tc>
      </w:tr>
    </w:tbl>
    <w:p w14:paraId="2F7ECA64" w14:textId="77777777" w:rsidR="008615D8" w:rsidRPr="003E1F48" w:rsidRDefault="008615D8" w:rsidP="008615D8">
      <w:pPr>
        <w:spacing w:line="360" w:lineRule="auto"/>
        <w:ind w:firstLine="708"/>
        <w:jc w:val="center"/>
        <w:rPr>
          <w:rFonts w:ascii="Times New Roman" w:hAnsi="Times New Roman" w:cs="Times New Roman"/>
          <w:sz w:val="24"/>
          <w:szCs w:val="24"/>
        </w:rPr>
      </w:pPr>
    </w:p>
    <w:p w14:paraId="3F622986" w14:textId="1DB0EF67" w:rsidR="008615D8" w:rsidRPr="003E1F48" w:rsidRDefault="008615D8" w:rsidP="008615D8">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drawing>
          <wp:inline distT="0" distB="0" distL="0" distR="0" wp14:anchorId="2D40E14D" wp14:editId="26F115F8">
            <wp:extent cx="4588510" cy="2525099"/>
            <wp:effectExtent l="0" t="0" r="2540" b="8890"/>
            <wp:docPr id="8034800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2488" cy="2532791"/>
                    </a:xfrm>
                    <a:prstGeom prst="rect">
                      <a:avLst/>
                    </a:prstGeom>
                    <a:noFill/>
                  </pic:spPr>
                </pic:pic>
              </a:graphicData>
            </a:graphic>
          </wp:inline>
        </w:drawing>
      </w:r>
    </w:p>
    <w:p w14:paraId="580E686F" w14:textId="5897095F" w:rsidR="008615D8" w:rsidRPr="003E1F48" w:rsidRDefault="008615D8" w:rsidP="008615D8">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lastRenderedPageBreak/>
        <w:t>Фигура 5. Динамика на СРЗ в България, Хърватска и Нидерландия за периода 202-2024 г.</w:t>
      </w:r>
    </w:p>
    <w:p w14:paraId="3BC95CBE" w14:textId="77777777" w:rsidR="008615D8" w:rsidRPr="003E1F48" w:rsidRDefault="008615D8" w:rsidP="008615D8">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Източници: National Statistics Institute (NSI) (2025); Government of the Netherlands (2025); Eurostat (2025e)</w:t>
      </w:r>
    </w:p>
    <w:p w14:paraId="36F7A683" w14:textId="77777777" w:rsidR="008615D8" w:rsidRPr="003E1F48" w:rsidRDefault="008615D8" w:rsidP="008615D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Бележки:</w:t>
      </w:r>
    </w:p>
    <w:p w14:paraId="55BBBFFD" w14:textId="77777777" w:rsidR="008615D8" w:rsidRPr="003E1F48" w:rsidRDefault="008615D8" w:rsidP="008615D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Българските стойности са конвертирани от лева по фиксирания курс 1 EUR = 1.95583 лв.</w:t>
      </w:r>
    </w:p>
    <w:p w14:paraId="2E63E0AB" w14:textId="1EC122EE" w:rsidR="008615D8" w:rsidRPr="003E1F48" w:rsidRDefault="008615D8" w:rsidP="008615D8">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За Нидерландия 2024 г. е показан ориентировъчен месечен еквивалент, тъй като законовият минимум е почасов от 1.01.2024 (изчислен при ~40 ч./седмица).</w:t>
      </w:r>
    </w:p>
    <w:p w14:paraId="2C15810C" w14:textId="75DC5B4E" w:rsidR="008615D8" w:rsidRPr="003E1F48" w:rsidRDefault="008615D8" w:rsidP="008615D8">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 xml:space="preserve">Таблица </w:t>
      </w:r>
      <w:r w:rsidR="00A2433D">
        <w:rPr>
          <w:rFonts w:ascii="Times New Roman" w:hAnsi="Times New Roman" w:cs="Times New Roman"/>
          <w:sz w:val="24"/>
          <w:szCs w:val="24"/>
        </w:rPr>
        <w:t>5</w:t>
      </w:r>
      <w:r w:rsidRPr="003E1F48">
        <w:rPr>
          <w:rFonts w:ascii="Times New Roman" w:hAnsi="Times New Roman" w:cs="Times New Roman"/>
          <w:sz w:val="24"/>
          <w:szCs w:val="24"/>
        </w:rPr>
        <w:t>. Динамика на СРЗ в България, Хърватска и Нидерландия за периода 202-2024 г.</w:t>
      </w:r>
    </w:p>
    <w:p w14:paraId="5004843F" w14:textId="77777777" w:rsidR="008615D8" w:rsidRPr="003E1F48" w:rsidRDefault="008615D8" w:rsidP="008615D8">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Източници: National Statistics Institute (NSI) (2025); Government of the Netherlands (2025); Eurostat (2025e)</w:t>
      </w:r>
    </w:p>
    <w:tbl>
      <w:tblPr>
        <w:tblStyle w:val="TableGridLight"/>
        <w:tblW w:w="0" w:type="auto"/>
        <w:tblLook w:val="04A0" w:firstRow="1" w:lastRow="0" w:firstColumn="1" w:lastColumn="0" w:noHBand="0" w:noVBand="1"/>
      </w:tblPr>
      <w:tblGrid>
        <w:gridCol w:w="1007"/>
        <w:gridCol w:w="1888"/>
        <w:gridCol w:w="1978"/>
        <w:gridCol w:w="2094"/>
        <w:gridCol w:w="2383"/>
      </w:tblGrid>
      <w:tr w:rsidR="008615D8" w:rsidRPr="008615D8" w14:paraId="45883B20" w14:textId="77777777" w:rsidTr="008615D8">
        <w:tc>
          <w:tcPr>
            <w:tcW w:w="0" w:type="auto"/>
            <w:hideMark/>
          </w:tcPr>
          <w:p w14:paraId="75E41718" w14:textId="77777777" w:rsidR="008615D8" w:rsidRPr="008615D8" w:rsidRDefault="008615D8" w:rsidP="008615D8">
            <w:pPr>
              <w:jc w:val="center"/>
              <w:rPr>
                <w:rFonts w:ascii="Times New Roman" w:eastAsia="Times New Roman" w:hAnsi="Times New Roman" w:cs="Times New Roman"/>
                <w:b/>
                <w:bCs/>
                <w:sz w:val="24"/>
                <w:szCs w:val="24"/>
                <w:lang w:eastAsia="en-GB"/>
              </w:rPr>
            </w:pPr>
            <w:r w:rsidRPr="008615D8">
              <w:rPr>
                <w:rFonts w:ascii="Times New Roman" w:eastAsia="Times New Roman" w:hAnsi="Times New Roman" w:cs="Times New Roman"/>
                <w:b/>
                <w:bCs/>
                <w:sz w:val="24"/>
                <w:szCs w:val="24"/>
                <w:lang w:eastAsia="en-GB"/>
              </w:rPr>
              <w:t>Година</w:t>
            </w:r>
          </w:p>
        </w:tc>
        <w:tc>
          <w:tcPr>
            <w:tcW w:w="0" w:type="auto"/>
            <w:hideMark/>
          </w:tcPr>
          <w:p w14:paraId="4A56EADB" w14:textId="77777777" w:rsidR="008615D8" w:rsidRPr="008615D8" w:rsidRDefault="008615D8" w:rsidP="008615D8">
            <w:pPr>
              <w:jc w:val="right"/>
              <w:rPr>
                <w:rFonts w:ascii="Times New Roman" w:eastAsia="Times New Roman" w:hAnsi="Times New Roman" w:cs="Times New Roman"/>
                <w:b/>
                <w:bCs/>
                <w:sz w:val="24"/>
                <w:szCs w:val="24"/>
                <w:lang w:eastAsia="en-GB"/>
              </w:rPr>
            </w:pPr>
            <w:r w:rsidRPr="008615D8">
              <w:rPr>
                <w:rFonts w:ascii="Times New Roman" w:eastAsia="Times New Roman" w:hAnsi="Times New Roman" w:cs="Times New Roman"/>
                <w:b/>
                <w:bCs/>
                <w:sz w:val="24"/>
                <w:szCs w:val="24"/>
                <w:lang w:eastAsia="en-GB"/>
              </w:rPr>
              <w:t>България – СРЗ (лв.)</w:t>
            </w:r>
          </w:p>
        </w:tc>
        <w:tc>
          <w:tcPr>
            <w:tcW w:w="0" w:type="auto"/>
            <w:hideMark/>
          </w:tcPr>
          <w:p w14:paraId="037CA635" w14:textId="77777777" w:rsidR="008615D8" w:rsidRPr="008615D8" w:rsidRDefault="008615D8" w:rsidP="008615D8">
            <w:pPr>
              <w:jc w:val="right"/>
              <w:rPr>
                <w:rFonts w:ascii="Times New Roman" w:eastAsia="Times New Roman" w:hAnsi="Times New Roman" w:cs="Times New Roman"/>
                <w:b/>
                <w:bCs/>
                <w:sz w:val="24"/>
                <w:szCs w:val="24"/>
                <w:lang w:eastAsia="en-GB"/>
              </w:rPr>
            </w:pPr>
            <w:r w:rsidRPr="008615D8">
              <w:rPr>
                <w:rFonts w:ascii="Times New Roman" w:eastAsia="Times New Roman" w:hAnsi="Times New Roman" w:cs="Times New Roman"/>
                <w:b/>
                <w:bCs/>
                <w:sz w:val="24"/>
                <w:szCs w:val="24"/>
                <w:lang w:eastAsia="en-GB"/>
              </w:rPr>
              <w:t>България – СРЗ (EUR)</w:t>
            </w:r>
          </w:p>
        </w:tc>
        <w:tc>
          <w:tcPr>
            <w:tcW w:w="0" w:type="auto"/>
            <w:hideMark/>
          </w:tcPr>
          <w:p w14:paraId="60010024" w14:textId="77777777" w:rsidR="008615D8" w:rsidRPr="008615D8" w:rsidRDefault="008615D8" w:rsidP="008615D8">
            <w:pPr>
              <w:jc w:val="right"/>
              <w:rPr>
                <w:rFonts w:ascii="Times New Roman" w:eastAsia="Times New Roman" w:hAnsi="Times New Roman" w:cs="Times New Roman"/>
                <w:b/>
                <w:bCs/>
                <w:sz w:val="24"/>
                <w:szCs w:val="24"/>
                <w:lang w:eastAsia="en-GB"/>
              </w:rPr>
            </w:pPr>
            <w:r w:rsidRPr="008615D8">
              <w:rPr>
                <w:rFonts w:ascii="Times New Roman" w:eastAsia="Times New Roman" w:hAnsi="Times New Roman" w:cs="Times New Roman"/>
                <w:b/>
                <w:bCs/>
                <w:sz w:val="24"/>
                <w:szCs w:val="24"/>
                <w:lang w:eastAsia="en-GB"/>
              </w:rPr>
              <w:t>Хърватска – СРЗ (EUR)</w:t>
            </w:r>
          </w:p>
        </w:tc>
        <w:tc>
          <w:tcPr>
            <w:tcW w:w="0" w:type="auto"/>
            <w:hideMark/>
          </w:tcPr>
          <w:p w14:paraId="216F4A75" w14:textId="77777777" w:rsidR="008615D8" w:rsidRPr="008615D8" w:rsidRDefault="008615D8" w:rsidP="008615D8">
            <w:pPr>
              <w:jc w:val="right"/>
              <w:rPr>
                <w:rFonts w:ascii="Times New Roman" w:eastAsia="Times New Roman" w:hAnsi="Times New Roman" w:cs="Times New Roman"/>
                <w:b/>
                <w:bCs/>
                <w:sz w:val="24"/>
                <w:szCs w:val="24"/>
                <w:lang w:eastAsia="en-GB"/>
              </w:rPr>
            </w:pPr>
            <w:r w:rsidRPr="008615D8">
              <w:rPr>
                <w:rFonts w:ascii="Times New Roman" w:eastAsia="Times New Roman" w:hAnsi="Times New Roman" w:cs="Times New Roman"/>
                <w:b/>
                <w:bCs/>
                <w:sz w:val="24"/>
                <w:szCs w:val="24"/>
                <w:lang w:eastAsia="en-GB"/>
              </w:rPr>
              <w:t>Нидерландия – СРЗ (EUR)</w:t>
            </w:r>
          </w:p>
        </w:tc>
      </w:tr>
      <w:tr w:rsidR="008615D8" w:rsidRPr="008615D8" w14:paraId="2C68E1EB" w14:textId="77777777" w:rsidTr="008615D8">
        <w:tc>
          <w:tcPr>
            <w:tcW w:w="0" w:type="auto"/>
            <w:hideMark/>
          </w:tcPr>
          <w:p w14:paraId="1651258D" w14:textId="77777777" w:rsidR="008615D8" w:rsidRPr="008615D8" w:rsidRDefault="008615D8" w:rsidP="008615D8">
            <w:pPr>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2020</w:t>
            </w:r>
          </w:p>
        </w:tc>
        <w:tc>
          <w:tcPr>
            <w:tcW w:w="0" w:type="auto"/>
            <w:hideMark/>
          </w:tcPr>
          <w:p w14:paraId="421A4D6B"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1 409</w:t>
            </w:r>
          </w:p>
        </w:tc>
        <w:tc>
          <w:tcPr>
            <w:tcW w:w="0" w:type="auto"/>
            <w:hideMark/>
          </w:tcPr>
          <w:p w14:paraId="0618C862"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721</w:t>
            </w:r>
          </w:p>
        </w:tc>
        <w:tc>
          <w:tcPr>
            <w:tcW w:w="0" w:type="auto"/>
            <w:hideMark/>
          </w:tcPr>
          <w:p w14:paraId="7FCC0827"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1 164</w:t>
            </w:r>
          </w:p>
        </w:tc>
        <w:tc>
          <w:tcPr>
            <w:tcW w:w="0" w:type="auto"/>
            <w:hideMark/>
          </w:tcPr>
          <w:p w14:paraId="5161B4FB"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~3 050</w:t>
            </w:r>
          </w:p>
        </w:tc>
      </w:tr>
      <w:tr w:rsidR="008615D8" w:rsidRPr="008615D8" w14:paraId="01985A0C" w14:textId="77777777" w:rsidTr="008615D8">
        <w:tc>
          <w:tcPr>
            <w:tcW w:w="0" w:type="auto"/>
            <w:hideMark/>
          </w:tcPr>
          <w:p w14:paraId="4EAFBAF4" w14:textId="77777777" w:rsidR="008615D8" w:rsidRPr="008615D8" w:rsidRDefault="008615D8" w:rsidP="008615D8">
            <w:pPr>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2021</w:t>
            </w:r>
          </w:p>
        </w:tc>
        <w:tc>
          <w:tcPr>
            <w:tcW w:w="0" w:type="auto"/>
            <w:hideMark/>
          </w:tcPr>
          <w:p w14:paraId="46A40087"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1 583</w:t>
            </w:r>
          </w:p>
        </w:tc>
        <w:tc>
          <w:tcPr>
            <w:tcW w:w="0" w:type="auto"/>
            <w:hideMark/>
          </w:tcPr>
          <w:p w14:paraId="1CB50560"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810</w:t>
            </w:r>
          </w:p>
        </w:tc>
        <w:tc>
          <w:tcPr>
            <w:tcW w:w="0" w:type="auto"/>
            <w:hideMark/>
          </w:tcPr>
          <w:p w14:paraId="679BEE8B"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1 211</w:t>
            </w:r>
          </w:p>
        </w:tc>
        <w:tc>
          <w:tcPr>
            <w:tcW w:w="0" w:type="auto"/>
            <w:hideMark/>
          </w:tcPr>
          <w:p w14:paraId="641B2CF3"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~3 120</w:t>
            </w:r>
          </w:p>
        </w:tc>
      </w:tr>
      <w:tr w:rsidR="008615D8" w:rsidRPr="008615D8" w14:paraId="004DB989" w14:textId="77777777" w:rsidTr="008615D8">
        <w:tc>
          <w:tcPr>
            <w:tcW w:w="0" w:type="auto"/>
            <w:hideMark/>
          </w:tcPr>
          <w:p w14:paraId="4CC323D3" w14:textId="77777777" w:rsidR="008615D8" w:rsidRPr="008615D8" w:rsidRDefault="008615D8" w:rsidP="008615D8">
            <w:pPr>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2022</w:t>
            </w:r>
          </w:p>
        </w:tc>
        <w:tc>
          <w:tcPr>
            <w:tcW w:w="0" w:type="auto"/>
            <w:hideMark/>
          </w:tcPr>
          <w:p w14:paraId="75422899"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1 795</w:t>
            </w:r>
          </w:p>
        </w:tc>
        <w:tc>
          <w:tcPr>
            <w:tcW w:w="0" w:type="auto"/>
            <w:hideMark/>
          </w:tcPr>
          <w:p w14:paraId="061C5DD0"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918</w:t>
            </w:r>
          </w:p>
        </w:tc>
        <w:tc>
          <w:tcPr>
            <w:tcW w:w="0" w:type="auto"/>
            <w:hideMark/>
          </w:tcPr>
          <w:p w14:paraId="09479B27"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1 325</w:t>
            </w:r>
          </w:p>
        </w:tc>
        <w:tc>
          <w:tcPr>
            <w:tcW w:w="0" w:type="auto"/>
            <w:hideMark/>
          </w:tcPr>
          <w:p w14:paraId="1B17EF8D"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~3 220</w:t>
            </w:r>
          </w:p>
        </w:tc>
      </w:tr>
      <w:tr w:rsidR="008615D8" w:rsidRPr="008615D8" w14:paraId="762FA46A" w14:textId="77777777" w:rsidTr="008615D8">
        <w:tc>
          <w:tcPr>
            <w:tcW w:w="0" w:type="auto"/>
            <w:hideMark/>
          </w:tcPr>
          <w:p w14:paraId="40D370EB" w14:textId="77777777" w:rsidR="008615D8" w:rsidRPr="008615D8" w:rsidRDefault="008615D8" w:rsidP="008615D8">
            <w:pPr>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2023</w:t>
            </w:r>
          </w:p>
        </w:tc>
        <w:tc>
          <w:tcPr>
            <w:tcW w:w="0" w:type="auto"/>
            <w:hideMark/>
          </w:tcPr>
          <w:p w14:paraId="0A9FD166"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2 070</w:t>
            </w:r>
          </w:p>
        </w:tc>
        <w:tc>
          <w:tcPr>
            <w:tcW w:w="0" w:type="auto"/>
            <w:hideMark/>
          </w:tcPr>
          <w:p w14:paraId="3030F8BE"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1 059</w:t>
            </w:r>
          </w:p>
        </w:tc>
        <w:tc>
          <w:tcPr>
            <w:tcW w:w="0" w:type="auto"/>
            <w:hideMark/>
          </w:tcPr>
          <w:p w14:paraId="61C35DD3"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1 476</w:t>
            </w:r>
          </w:p>
        </w:tc>
        <w:tc>
          <w:tcPr>
            <w:tcW w:w="0" w:type="auto"/>
            <w:hideMark/>
          </w:tcPr>
          <w:p w14:paraId="1EF34876"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~3 300</w:t>
            </w:r>
          </w:p>
        </w:tc>
      </w:tr>
      <w:tr w:rsidR="008615D8" w:rsidRPr="008615D8" w14:paraId="3410CF33" w14:textId="77777777" w:rsidTr="008615D8">
        <w:tc>
          <w:tcPr>
            <w:tcW w:w="0" w:type="auto"/>
            <w:hideMark/>
          </w:tcPr>
          <w:p w14:paraId="1CC376A3" w14:textId="77777777" w:rsidR="008615D8" w:rsidRPr="008615D8" w:rsidRDefault="008615D8" w:rsidP="008615D8">
            <w:pPr>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2024*</w:t>
            </w:r>
          </w:p>
        </w:tc>
        <w:tc>
          <w:tcPr>
            <w:tcW w:w="0" w:type="auto"/>
            <w:hideMark/>
          </w:tcPr>
          <w:p w14:paraId="11AB1612"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2 323</w:t>
            </w:r>
          </w:p>
        </w:tc>
        <w:tc>
          <w:tcPr>
            <w:tcW w:w="0" w:type="auto"/>
            <w:hideMark/>
          </w:tcPr>
          <w:p w14:paraId="6B7A759F"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1 188</w:t>
            </w:r>
          </w:p>
        </w:tc>
        <w:tc>
          <w:tcPr>
            <w:tcW w:w="0" w:type="auto"/>
            <w:hideMark/>
          </w:tcPr>
          <w:p w14:paraId="53FF40BC"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~1 800*</w:t>
            </w:r>
          </w:p>
        </w:tc>
        <w:tc>
          <w:tcPr>
            <w:tcW w:w="0" w:type="auto"/>
            <w:hideMark/>
          </w:tcPr>
          <w:p w14:paraId="02633C66" w14:textId="77777777" w:rsidR="008615D8" w:rsidRPr="008615D8" w:rsidRDefault="008615D8" w:rsidP="008615D8">
            <w:pPr>
              <w:jc w:val="right"/>
              <w:rPr>
                <w:rFonts w:ascii="Times New Roman" w:eastAsia="Times New Roman" w:hAnsi="Times New Roman" w:cs="Times New Roman"/>
                <w:sz w:val="24"/>
                <w:szCs w:val="24"/>
                <w:lang w:eastAsia="en-GB"/>
              </w:rPr>
            </w:pPr>
            <w:r w:rsidRPr="008615D8">
              <w:rPr>
                <w:rFonts w:ascii="Times New Roman" w:eastAsia="Times New Roman" w:hAnsi="Times New Roman" w:cs="Times New Roman"/>
                <w:sz w:val="24"/>
                <w:szCs w:val="24"/>
                <w:lang w:eastAsia="en-GB"/>
              </w:rPr>
              <w:t>~3 520*</w:t>
            </w:r>
          </w:p>
        </w:tc>
      </w:tr>
    </w:tbl>
    <w:p w14:paraId="3CF2567A" w14:textId="77777777" w:rsidR="008615D8" w:rsidRPr="003E1F48" w:rsidRDefault="008615D8" w:rsidP="00FA2C8C">
      <w:pPr>
        <w:spacing w:line="360" w:lineRule="auto"/>
        <w:ind w:firstLine="708"/>
        <w:jc w:val="center"/>
        <w:rPr>
          <w:rFonts w:ascii="Times New Roman" w:hAnsi="Times New Roman" w:cs="Times New Roman"/>
          <w:sz w:val="24"/>
          <w:szCs w:val="24"/>
        </w:rPr>
      </w:pPr>
    </w:p>
    <w:p w14:paraId="118F7CEE" w14:textId="37DD4981" w:rsidR="00C57670" w:rsidRPr="00C57670" w:rsidRDefault="00C57670" w:rsidP="00C5767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През изследвания период </w:t>
      </w:r>
      <w:r w:rsidRPr="00C57670">
        <w:rPr>
          <w:rFonts w:ascii="Times New Roman" w:hAnsi="Times New Roman" w:cs="Times New Roman"/>
          <w:sz w:val="24"/>
          <w:szCs w:val="24"/>
        </w:rPr>
        <w:t>България</w:t>
      </w:r>
      <w:r w:rsidRPr="003E1F48">
        <w:rPr>
          <w:rFonts w:ascii="Times New Roman" w:hAnsi="Times New Roman" w:cs="Times New Roman"/>
          <w:sz w:val="24"/>
          <w:szCs w:val="24"/>
        </w:rPr>
        <w:t xml:space="preserve"> м</w:t>
      </w:r>
      <w:r w:rsidRPr="00C57670">
        <w:rPr>
          <w:rFonts w:ascii="Times New Roman" w:hAnsi="Times New Roman" w:cs="Times New Roman"/>
          <w:sz w:val="24"/>
          <w:szCs w:val="24"/>
        </w:rPr>
        <w:t>инималната работна заплата постепенно нараства от 610 лв. през 2020 г. до 933 лв. през 2024 г., което в евро (фиксиран курс 1 EUR = 1.95583 лв.) съответства ориентировъчно на 312 евро (2020), 332 евро (2021), 363 евро (2022), 398 евро (2023) и 477 евро (2024). Данните са по официалните съобщения на Eurostat за националните минимални заплати (tps00155 / earn_mw_cur)</w:t>
      </w:r>
      <w:r w:rsidRPr="003E1F48">
        <w:t xml:space="preserve"> </w:t>
      </w:r>
      <w:r w:rsidRPr="003E1F48">
        <w:rPr>
          <w:rFonts w:ascii="Times New Roman" w:hAnsi="Times New Roman" w:cs="Times New Roman"/>
          <w:sz w:val="24"/>
          <w:szCs w:val="24"/>
        </w:rPr>
        <w:t>(Eurostat, 2025d)</w:t>
      </w:r>
      <w:r w:rsidRPr="00C57670">
        <w:rPr>
          <w:rFonts w:ascii="Times New Roman" w:hAnsi="Times New Roman" w:cs="Times New Roman"/>
          <w:sz w:val="24"/>
          <w:szCs w:val="24"/>
        </w:rPr>
        <w:t xml:space="preserve">. Същевременно средната брутна месечна заплата за наетите по трудов договор (общо икономика) по НСИ нараства отчетливо: 1 409 лв. през 2020 г., 1 583 лв. през 2021 г., 1 795 лв. през 2022 г., 2 070 лв. през 2023 г. и 2 323 лв. през 2024 г., което отразява кумулативен </w:t>
      </w:r>
      <w:r w:rsidRPr="00C57670">
        <w:rPr>
          <w:rFonts w:ascii="Times New Roman" w:hAnsi="Times New Roman" w:cs="Times New Roman"/>
          <w:sz w:val="24"/>
          <w:szCs w:val="24"/>
        </w:rPr>
        <w:lastRenderedPageBreak/>
        <w:t>номинален ръст от приблизително 65% за пет години и ясно сближаване на МРЗ и СРЗ като съотношение</w:t>
      </w:r>
      <w:r w:rsidR="00597252" w:rsidRPr="003E1F48">
        <w:t xml:space="preserve"> </w:t>
      </w:r>
      <w:r w:rsidR="00597252" w:rsidRPr="003E1F48">
        <w:rPr>
          <w:rFonts w:ascii="Times New Roman" w:hAnsi="Times New Roman" w:cs="Times New Roman"/>
          <w:sz w:val="24"/>
          <w:szCs w:val="24"/>
        </w:rPr>
        <w:t xml:space="preserve">(National Statistics Institute (NSI), 2025). </w:t>
      </w:r>
      <w:r w:rsidRPr="00C57670">
        <w:rPr>
          <w:rFonts w:ascii="Times New Roman" w:hAnsi="Times New Roman" w:cs="Times New Roman"/>
          <w:sz w:val="24"/>
          <w:szCs w:val="24"/>
        </w:rPr>
        <w:t xml:space="preserve">Тази динамика поставя България сред държавите с по-бързо нарастване на заплатите след 2020 г., на фона на описаната от Eurostat инфлационна среда и на нарастващите разходи за труд. </w:t>
      </w:r>
    </w:p>
    <w:p w14:paraId="48B868F6" w14:textId="04D30DE9" w:rsidR="00C57670" w:rsidRPr="00C57670" w:rsidRDefault="00597252" w:rsidP="00C5767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В Хърватска м</w:t>
      </w:r>
      <w:r w:rsidR="00C57670" w:rsidRPr="00C57670">
        <w:rPr>
          <w:rFonts w:ascii="Times New Roman" w:hAnsi="Times New Roman" w:cs="Times New Roman"/>
          <w:sz w:val="24"/>
          <w:szCs w:val="24"/>
        </w:rPr>
        <w:t>инималната заплата се повишава от приблизително 540–565 евро бруто през 2020–2021 г., до 623 евро през 2022 г., 700 евро през 2023 г. и 840 евро от 1 януари 2024 г., което означава натрупан ръст около 55% за 2020–2024 г. и силна корекция в първата година на еврото (2023)</w:t>
      </w:r>
      <w:r w:rsidRPr="003E1F48">
        <w:t xml:space="preserve"> </w:t>
      </w:r>
      <w:r w:rsidRPr="003E1F48">
        <w:rPr>
          <w:rFonts w:ascii="Times New Roman" w:hAnsi="Times New Roman" w:cs="Times New Roman"/>
          <w:sz w:val="24"/>
          <w:szCs w:val="24"/>
        </w:rPr>
        <w:t>(Eurostat, 2025e)</w:t>
      </w:r>
      <w:r w:rsidR="00C57670" w:rsidRPr="00C57670">
        <w:rPr>
          <w:rFonts w:ascii="Times New Roman" w:hAnsi="Times New Roman" w:cs="Times New Roman"/>
          <w:sz w:val="24"/>
          <w:szCs w:val="24"/>
        </w:rPr>
        <w:t>. По отношение на средната брутна месечна заплата официалният портал EURES, базиран на данни на Eurostat/DZS, отчита последователно повишение: 1 121 евро (2019), 1 164 евро (2020), 1 211 евро (2021), 1 325 евро (2022) и 1 476 евро (2023), а през 2024 г. средната брутна заплата се доближава/надхвърля 1 800 евро според текущите публикации на DZS за 2024 г.</w:t>
      </w:r>
      <w:r w:rsidRPr="003E1F48">
        <w:t xml:space="preserve"> </w:t>
      </w:r>
      <w:r w:rsidRPr="003E1F48">
        <w:rPr>
          <w:rFonts w:ascii="Times New Roman" w:hAnsi="Times New Roman" w:cs="Times New Roman"/>
          <w:sz w:val="24"/>
          <w:szCs w:val="24"/>
        </w:rPr>
        <w:t>(Tsoneva, 2025)</w:t>
      </w:r>
      <w:r w:rsidR="00C57670" w:rsidRPr="00C57670">
        <w:rPr>
          <w:rFonts w:ascii="Times New Roman" w:hAnsi="Times New Roman" w:cs="Times New Roman"/>
          <w:sz w:val="24"/>
          <w:szCs w:val="24"/>
        </w:rPr>
        <w:t xml:space="preserve"> Тази траектория сочи ускорен следпандемичен растеж на заплатите, синхронизиран с поскъпването и силното търсене на труд в услугите. </w:t>
      </w:r>
    </w:p>
    <w:p w14:paraId="7493883A" w14:textId="166DD951" w:rsidR="00FA2C8C" w:rsidRPr="003E1F48" w:rsidRDefault="00597252" w:rsidP="00FA2C8C">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В </w:t>
      </w:r>
      <w:r w:rsidR="00C57670" w:rsidRPr="00C57670">
        <w:rPr>
          <w:rFonts w:ascii="Times New Roman" w:hAnsi="Times New Roman" w:cs="Times New Roman"/>
          <w:sz w:val="24"/>
          <w:szCs w:val="24"/>
        </w:rPr>
        <w:t>Нидерландия</w:t>
      </w:r>
      <w:r w:rsidRPr="003E1F48">
        <w:rPr>
          <w:rFonts w:ascii="Times New Roman" w:hAnsi="Times New Roman" w:cs="Times New Roman"/>
          <w:sz w:val="24"/>
          <w:szCs w:val="24"/>
        </w:rPr>
        <w:t xml:space="preserve"> д</w:t>
      </w:r>
      <w:r w:rsidR="00C57670" w:rsidRPr="00C57670">
        <w:rPr>
          <w:rFonts w:ascii="Times New Roman" w:hAnsi="Times New Roman" w:cs="Times New Roman"/>
          <w:sz w:val="24"/>
          <w:szCs w:val="24"/>
        </w:rPr>
        <w:t>о края на 2023 г. минималната заплата се определя месечно и се индексира двукратно годишно</w:t>
      </w:r>
      <w:r w:rsidRPr="003E1F48">
        <w:rPr>
          <w:rFonts w:ascii="Times New Roman" w:hAnsi="Times New Roman" w:cs="Times New Roman"/>
          <w:sz w:val="24"/>
          <w:szCs w:val="24"/>
        </w:rPr>
        <w:t>, а</w:t>
      </w:r>
      <w:r w:rsidR="00C57670" w:rsidRPr="00C57670">
        <w:rPr>
          <w:rFonts w:ascii="Times New Roman" w:hAnsi="Times New Roman" w:cs="Times New Roman"/>
          <w:sz w:val="24"/>
          <w:szCs w:val="24"/>
        </w:rPr>
        <w:t xml:space="preserve"> от 1 януари 2024 г. страната премин</w:t>
      </w:r>
      <w:r w:rsidRPr="003E1F48">
        <w:rPr>
          <w:rFonts w:ascii="Times New Roman" w:hAnsi="Times New Roman" w:cs="Times New Roman"/>
          <w:sz w:val="24"/>
          <w:szCs w:val="24"/>
        </w:rPr>
        <w:t>ава</w:t>
      </w:r>
      <w:r w:rsidR="00C57670" w:rsidRPr="00C57670">
        <w:rPr>
          <w:rFonts w:ascii="Times New Roman" w:hAnsi="Times New Roman" w:cs="Times New Roman"/>
          <w:sz w:val="24"/>
          <w:szCs w:val="24"/>
        </w:rPr>
        <w:t xml:space="preserve"> към почасов законов минимум, еднакъв за всички на 21+ години. През 2024 г. ставката е 13,27 евро/час (януари) и 13,68 евро/час (юли), което при 40-часова седмица имплицира ориентировъчна месечна база ~2 193–2 370 евро</w:t>
      </w:r>
      <w:r w:rsidRPr="003E1F48">
        <w:t xml:space="preserve"> </w:t>
      </w:r>
      <w:r w:rsidRPr="003E1F48">
        <w:rPr>
          <w:rFonts w:ascii="Times New Roman" w:hAnsi="Times New Roman" w:cs="Times New Roman"/>
          <w:sz w:val="24"/>
          <w:szCs w:val="24"/>
        </w:rPr>
        <w:t>(Government of the Netherlands, 2024)</w:t>
      </w:r>
      <w:r w:rsidR="00C57670" w:rsidRPr="00C57670">
        <w:rPr>
          <w:rFonts w:ascii="Times New Roman" w:hAnsi="Times New Roman" w:cs="Times New Roman"/>
          <w:sz w:val="24"/>
          <w:szCs w:val="24"/>
        </w:rPr>
        <w:t>. Към 2025 г. ставката се покачва на 14,06 евро/час (януари) и 14,40 евро/час (юли)</w:t>
      </w:r>
      <w:r w:rsidRPr="003E1F48">
        <w:t xml:space="preserve"> </w:t>
      </w:r>
      <w:r w:rsidRPr="003E1F48">
        <w:rPr>
          <w:rFonts w:ascii="Times New Roman" w:hAnsi="Times New Roman" w:cs="Times New Roman"/>
          <w:sz w:val="24"/>
          <w:szCs w:val="24"/>
        </w:rPr>
        <w:t>(Government of the Netherlands, 2025)</w:t>
      </w:r>
      <w:r w:rsidR="00C57670" w:rsidRPr="00C57670">
        <w:rPr>
          <w:rFonts w:ascii="Times New Roman" w:hAnsi="Times New Roman" w:cs="Times New Roman"/>
          <w:sz w:val="24"/>
          <w:szCs w:val="24"/>
        </w:rPr>
        <w:t>. Този режим и силният ръст на минималната заплата в периода 2022–2024 г. се посочват като фактор за ускорения растеж на договорените заплати: +6,1% през 2023 г. и +6,6% през 2024 г.</w:t>
      </w:r>
      <w:r w:rsidR="00FA2C8C" w:rsidRPr="003E1F48">
        <w:rPr>
          <w:rFonts w:ascii="Times New Roman" w:eastAsia="Times New Roman" w:hAnsi="Times New Roman" w:cs="Times New Roman"/>
          <w:sz w:val="24"/>
          <w:szCs w:val="24"/>
          <w:lang w:eastAsia="en-GB"/>
        </w:rPr>
        <w:t xml:space="preserve"> </w:t>
      </w:r>
      <w:r w:rsidR="00FA2C8C" w:rsidRPr="003E1F48">
        <w:rPr>
          <w:rFonts w:ascii="Times New Roman" w:hAnsi="Times New Roman" w:cs="Times New Roman"/>
          <w:sz w:val="24"/>
          <w:szCs w:val="24"/>
        </w:rPr>
        <w:t>(EU Staffing, 2025)</w:t>
      </w:r>
    </w:p>
    <w:p w14:paraId="659F8F8A" w14:textId="20DDD684" w:rsidR="00C57670" w:rsidRPr="00C57670" w:rsidRDefault="00C57670" w:rsidP="00C57670">
      <w:pPr>
        <w:spacing w:line="360" w:lineRule="auto"/>
        <w:ind w:firstLine="708"/>
        <w:jc w:val="both"/>
        <w:rPr>
          <w:rFonts w:ascii="Times New Roman" w:hAnsi="Times New Roman" w:cs="Times New Roman"/>
          <w:sz w:val="24"/>
          <w:szCs w:val="24"/>
        </w:rPr>
      </w:pPr>
      <w:r w:rsidRPr="00C57670">
        <w:rPr>
          <w:rFonts w:ascii="Times New Roman" w:hAnsi="Times New Roman" w:cs="Times New Roman"/>
          <w:sz w:val="24"/>
          <w:szCs w:val="24"/>
        </w:rPr>
        <w:t xml:space="preserve">По линия на средната заплата, </w:t>
      </w:r>
      <w:r w:rsidR="00FA2C8C" w:rsidRPr="003E1F48">
        <w:rPr>
          <w:rFonts w:ascii="Times New Roman" w:hAnsi="Times New Roman" w:cs="Times New Roman"/>
          <w:sz w:val="24"/>
          <w:szCs w:val="24"/>
        </w:rPr>
        <w:t xml:space="preserve">Нидерландия </w:t>
      </w:r>
      <w:r w:rsidRPr="00C57670">
        <w:rPr>
          <w:rFonts w:ascii="Times New Roman" w:hAnsi="Times New Roman" w:cs="Times New Roman"/>
          <w:sz w:val="24"/>
          <w:szCs w:val="24"/>
        </w:rPr>
        <w:t>отчита средно брутно годишно възнаграждение около 39,7 хил. евро през 2023 г., което съответства на приблизително 3,3 хил. евро на месец (12 плащания), а през 2024 г. номиналният растеж на договорените заплати е най-висок от 80-те години насам</w:t>
      </w:r>
      <w:r w:rsidR="00FA2C8C" w:rsidRPr="003E1F48">
        <w:t xml:space="preserve"> </w:t>
      </w:r>
      <w:r w:rsidR="00FA2C8C" w:rsidRPr="003E1F48">
        <w:rPr>
          <w:rFonts w:ascii="Times New Roman" w:hAnsi="Times New Roman" w:cs="Times New Roman"/>
          <w:sz w:val="24"/>
          <w:szCs w:val="24"/>
        </w:rPr>
        <w:t>(Statistics Netherlands, 2025a)</w:t>
      </w:r>
      <w:r w:rsidRPr="00C57670">
        <w:rPr>
          <w:rFonts w:ascii="Times New Roman" w:hAnsi="Times New Roman" w:cs="Times New Roman"/>
          <w:sz w:val="24"/>
          <w:szCs w:val="24"/>
        </w:rPr>
        <w:t xml:space="preserve">. Това поставя Нидерландия сред страните с най-високи нива на МРЗ и СРЗ в ЕС през целия разглеждан период. </w:t>
      </w:r>
    </w:p>
    <w:p w14:paraId="355289BC" w14:textId="088D82BD" w:rsidR="00C57670" w:rsidRPr="003E1F48" w:rsidRDefault="00FA2C8C" w:rsidP="00C5767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lastRenderedPageBreak/>
        <w:t xml:space="preserve">Данните показват, че и </w:t>
      </w:r>
      <w:r w:rsidR="00C57670" w:rsidRPr="00C57670">
        <w:rPr>
          <w:rFonts w:ascii="Times New Roman" w:hAnsi="Times New Roman" w:cs="Times New Roman"/>
          <w:sz w:val="24"/>
          <w:szCs w:val="24"/>
        </w:rPr>
        <w:t>в трите държави минималната заплата се увеличава значително между 2020 и 2024 г., като най-високи абсолютни нива се наблюдават в Нидерландия, а най-висок процентен ръст – в Хърватска и България. Съотношението между МРЗ и средната брутна заплата остава най-високо в България, където МРЗ достига около 40% и повече от СРЗ в края на периода според изчисленията на НСИ/Eurostat, докато в Хърватска се движи в диапазона 45–50% след скока през 2024 г., а в Нидерландия делът е по-нисък на фона на по-високата СРЗ и широката колективна договаряне. На този фон нивата на СРЗ показват ускорение след 2021–2022 г., синхронизирано с инфлационния пик и напрежението на пазара на труда: България преминава от 1,41 хил. лв. средно месечно през 2020 г. към 2,32 хил. лв. през 2024 г.; Хърватска се изкачва от 1,16 хил. евро (2020) до над 1,8 хил. евро (2024), а Нидерландия поддържа стабилно над 3,2–3,3 хил. евро средномесечно брутно през 2023–2024 г. Тези разлики в нивата и темповете на нарастване съответстват на наблюдаваните различия в младежката неактивност и NEET, като по-високите равнища на възнаграждения и бързата индексация в Нидерландия създават по-силни стимули за участие, а в България и Хърватска – догонващият ръст на МРЗ и СРЗ играе ключова роля за ускореното понижаване на NEET след 2022 г.</w:t>
      </w:r>
    </w:p>
    <w:p w14:paraId="68285BE8" w14:textId="3E6D825B" w:rsidR="00311500" w:rsidRPr="003E1F48" w:rsidRDefault="008615D8" w:rsidP="0031150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Значителни разлики между трите изследвани страни се очертават и относно средствата, изразходвани за борба с младежката </w:t>
      </w:r>
      <w:r w:rsidR="00546590" w:rsidRPr="003E1F48">
        <w:rPr>
          <w:rFonts w:ascii="Times New Roman" w:hAnsi="Times New Roman" w:cs="Times New Roman"/>
          <w:sz w:val="24"/>
          <w:szCs w:val="24"/>
        </w:rPr>
        <w:t>трудова неактивност</w:t>
      </w:r>
      <w:r w:rsidR="00311500" w:rsidRPr="003E1F48">
        <w:rPr>
          <w:rFonts w:ascii="Times New Roman" w:hAnsi="Times New Roman" w:cs="Times New Roman"/>
          <w:sz w:val="24"/>
          <w:szCs w:val="24"/>
        </w:rPr>
        <w:t xml:space="preserve"> (Фиг. 6). Трябва да се уточни, че д</w:t>
      </w:r>
      <w:r w:rsidR="00311500" w:rsidRPr="00311500">
        <w:rPr>
          <w:rFonts w:ascii="Times New Roman" w:hAnsi="Times New Roman" w:cs="Times New Roman"/>
          <w:sz w:val="24"/>
          <w:szCs w:val="24"/>
        </w:rPr>
        <w:t>анните са по европейската рамка LMP на Европейската комисия/Eurostat</w:t>
      </w:r>
      <w:r w:rsidR="00311500" w:rsidRPr="003E1F48">
        <w:rPr>
          <w:rFonts w:ascii="Times New Roman" w:hAnsi="Times New Roman" w:cs="Times New Roman"/>
          <w:sz w:val="24"/>
          <w:szCs w:val="24"/>
        </w:rPr>
        <w:t>, доколкото</w:t>
      </w:r>
      <w:r w:rsidR="00311500" w:rsidRPr="00311500">
        <w:rPr>
          <w:rFonts w:ascii="Times New Roman" w:hAnsi="Times New Roman" w:cs="Times New Roman"/>
          <w:sz w:val="24"/>
          <w:szCs w:val="24"/>
        </w:rPr>
        <w:t xml:space="preserve"> това е единствената хармонизирана база, която позволява международно сравнение по „тип действие“ и като дял от БВП или млн. евро. </w:t>
      </w:r>
      <w:r w:rsidR="00311500" w:rsidRPr="003E1F48">
        <w:rPr>
          <w:rFonts w:ascii="Times New Roman" w:hAnsi="Times New Roman" w:cs="Times New Roman"/>
          <w:sz w:val="24"/>
          <w:szCs w:val="24"/>
        </w:rPr>
        <w:t xml:space="preserve">Също така, </w:t>
      </w:r>
      <w:r w:rsidR="00311500" w:rsidRPr="00311500">
        <w:rPr>
          <w:rFonts w:ascii="Times New Roman" w:hAnsi="Times New Roman" w:cs="Times New Roman"/>
          <w:sz w:val="24"/>
          <w:szCs w:val="24"/>
        </w:rPr>
        <w:t>в LMP статистиката младежките програми не са отделна бюджетна колона – те се отчитат вътре в категориите на активните мерки и услугите; поради това оценката на „младежкия компонент“ се прави чрез разглеждане на съответните интервенции (обучение/стажове/стимули) и тяхната динамика</w:t>
      </w:r>
      <w:r w:rsidR="000212C3" w:rsidRPr="003E1F48">
        <w:rPr>
          <w:rFonts w:ascii="Times New Roman" w:hAnsi="Times New Roman" w:cs="Times New Roman"/>
          <w:sz w:val="24"/>
          <w:szCs w:val="24"/>
        </w:rPr>
        <w:t>(OECD, 2025b)</w:t>
      </w:r>
      <w:r w:rsidR="00311500" w:rsidRPr="00311500">
        <w:rPr>
          <w:rFonts w:ascii="Times New Roman" w:hAnsi="Times New Roman" w:cs="Times New Roman"/>
          <w:sz w:val="24"/>
          <w:szCs w:val="24"/>
        </w:rPr>
        <w:t xml:space="preserve">. </w:t>
      </w:r>
    </w:p>
    <w:p w14:paraId="5F5D7233" w14:textId="6B07788F" w:rsidR="00546590" w:rsidRPr="003E1F48" w:rsidRDefault="002640B5" w:rsidP="00546590">
      <w:pPr>
        <w:spacing w:line="360" w:lineRule="auto"/>
        <w:ind w:firstLine="708"/>
        <w:jc w:val="center"/>
        <w:rPr>
          <w:rFonts w:ascii="Times New Roman" w:hAnsi="Times New Roman" w:cs="Times New Roman"/>
          <w:sz w:val="24"/>
          <w:szCs w:val="24"/>
        </w:rPr>
      </w:pPr>
      <w:r w:rsidRPr="003E1F48">
        <w:rPr>
          <w:rFonts w:ascii="Times New Roman" w:hAnsi="Times New Roman" w:cs="Times New Roman"/>
          <w:noProof/>
          <w:sz w:val="24"/>
          <w:szCs w:val="24"/>
        </w:rPr>
        <w:lastRenderedPageBreak/>
        <w:drawing>
          <wp:inline distT="0" distB="0" distL="0" distR="0" wp14:anchorId="7B40202B" wp14:editId="4BF02EBD">
            <wp:extent cx="4626754" cy="2345690"/>
            <wp:effectExtent l="0" t="0" r="2540" b="0"/>
            <wp:docPr id="6727169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6347" cy="2350554"/>
                    </a:xfrm>
                    <a:prstGeom prst="rect">
                      <a:avLst/>
                    </a:prstGeom>
                    <a:noFill/>
                  </pic:spPr>
                </pic:pic>
              </a:graphicData>
            </a:graphic>
          </wp:inline>
        </w:drawing>
      </w:r>
    </w:p>
    <w:p w14:paraId="68110C96" w14:textId="67BEA431" w:rsidR="00546590" w:rsidRPr="003E1F48" w:rsidRDefault="00546590" w:rsidP="00546590">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 xml:space="preserve">Фигура 6. Динамика на средствата, изразходвани за борба с младежката трудова неактивност </w:t>
      </w:r>
      <w:r w:rsidR="002640B5" w:rsidRPr="003E1F48">
        <w:rPr>
          <w:rFonts w:ascii="Times New Roman" w:hAnsi="Times New Roman" w:cs="Times New Roman"/>
          <w:sz w:val="24"/>
          <w:szCs w:val="24"/>
        </w:rPr>
        <w:t>и дела на младите хора извън трудова заетост</w:t>
      </w:r>
      <w:r w:rsidR="002640B5" w:rsidRPr="003E1F48">
        <w:t xml:space="preserve"> </w:t>
      </w:r>
      <w:r w:rsidR="002640B5" w:rsidRPr="003E1F48">
        <w:rPr>
          <w:rFonts w:ascii="Times New Roman" w:hAnsi="Times New Roman" w:cs="Times New Roman"/>
          <w:sz w:val="24"/>
          <w:szCs w:val="24"/>
        </w:rPr>
        <w:t>в България, Хърватска и Нидерландия за периода 2020-2024 г.</w:t>
      </w:r>
    </w:p>
    <w:p w14:paraId="0B7292A6" w14:textId="2A8DB881" w:rsidR="00546590" w:rsidRPr="00311500" w:rsidRDefault="00546590" w:rsidP="00546590">
      <w:pPr>
        <w:spacing w:line="360" w:lineRule="auto"/>
        <w:ind w:firstLine="708"/>
        <w:jc w:val="center"/>
        <w:rPr>
          <w:rFonts w:ascii="Times New Roman" w:hAnsi="Times New Roman" w:cs="Times New Roman"/>
          <w:sz w:val="24"/>
          <w:szCs w:val="24"/>
        </w:rPr>
      </w:pPr>
      <w:r w:rsidRPr="003E1F48">
        <w:rPr>
          <w:rFonts w:ascii="Times New Roman" w:hAnsi="Times New Roman" w:cs="Times New Roman"/>
          <w:sz w:val="24"/>
          <w:szCs w:val="24"/>
        </w:rPr>
        <w:t>Източник: OECD (2025b)</w:t>
      </w:r>
    </w:p>
    <w:p w14:paraId="6F5ACDDD" w14:textId="429847A4" w:rsidR="00311500" w:rsidRPr="00311500" w:rsidRDefault="00311500" w:rsidP="00311500">
      <w:pPr>
        <w:spacing w:line="360" w:lineRule="auto"/>
        <w:ind w:firstLine="708"/>
        <w:jc w:val="both"/>
        <w:rPr>
          <w:rFonts w:ascii="Times New Roman" w:hAnsi="Times New Roman" w:cs="Times New Roman"/>
          <w:sz w:val="24"/>
          <w:szCs w:val="24"/>
        </w:rPr>
      </w:pPr>
      <w:r w:rsidRPr="00311500">
        <w:rPr>
          <w:rFonts w:ascii="Times New Roman" w:hAnsi="Times New Roman" w:cs="Times New Roman"/>
          <w:sz w:val="24"/>
          <w:szCs w:val="24"/>
        </w:rPr>
        <w:t>В България общите публични разходи за политики на пазара на труда са ниски в европейски контекст, с отчетливо доминиране на пасивната подкрепа в кризисната 2020 г. и сравнително малък, но нарастващ дял на активните мерки при нормализирането през 2021–2022 г. Оценката на ОИСР за активните мерки (ALMP) е около 0,16% от БВП през 2021 г., което я поставя в долния квинтил на ЕС. LMP базата на ЕК показва за периода 2020–2022 г. повишение на разходите за услуги (PES) и за обучение/стажове, финансирани и чрез инициативи по „Гаранция за младежта“ и ESF+, като през 2022 г. по-високите обеми се задържат на фона на все още напрегнат пазар на труда и нуждата от преориентиране на млади с ниска квалификация. Това движение съответства на наблюдавания спад на NEET след 2021 г., но началната ниска база на ALMP предполага, че част от по-бавните преходи към заетост при уязвимите групи се дължат на ограничена интензивност на мерките. Конкретните стойности по „тип действие“ като дял от БВП и млн. евро за 2020–2022 могат да се цитират директно от таблиците LMP_EXPSUMM (проценти от БВП) и LMP_EXPME – Bulgaria (млн. евро), които отчитат ръста на услугите и обученията през 2021–2022 г.</w:t>
      </w:r>
      <w:r w:rsidR="000212C3" w:rsidRPr="003E1F48">
        <w:t xml:space="preserve"> </w:t>
      </w:r>
      <w:r w:rsidR="000212C3" w:rsidRPr="003E1F48">
        <w:rPr>
          <w:rFonts w:ascii="Times New Roman" w:hAnsi="Times New Roman" w:cs="Times New Roman"/>
          <w:sz w:val="24"/>
          <w:szCs w:val="24"/>
        </w:rPr>
        <w:t>(OECD, 2025b)</w:t>
      </w:r>
      <w:r w:rsidRPr="00311500">
        <w:rPr>
          <w:rFonts w:ascii="Times New Roman" w:hAnsi="Times New Roman" w:cs="Times New Roman"/>
          <w:sz w:val="24"/>
          <w:szCs w:val="24"/>
        </w:rPr>
        <w:t xml:space="preserve"> </w:t>
      </w:r>
    </w:p>
    <w:p w14:paraId="0998776C" w14:textId="1531164E" w:rsidR="00311500" w:rsidRPr="003E1F48" w:rsidRDefault="00311500" w:rsidP="00311500">
      <w:pPr>
        <w:spacing w:line="360" w:lineRule="auto"/>
        <w:ind w:firstLine="708"/>
        <w:jc w:val="both"/>
        <w:rPr>
          <w:rFonts w:ascii="Times New Roman" w:hAnsi="Times New Roman" w:cs="Times New Roman"/>
          <w:sz w:val="24"/>
          <w:szCs w:val="24"/>
        </w:rPr>
      </w:pPr>
      <w:r w:rsidRPr="00311500">
        <w:rPr>
          <w:rFonts w:ascii="Times New Roman" w:hAnsi="Times New Roman" w:cs="Times New Roman"/>
          <w:sz w:val="24"/>
          <w:szCs w:val="24"/>
        </w:rPr>
        <w:lastRenderedPageBreak/>
        <w:t xml:space="preserve">В Хърватска публичните разходи за LMP </w:t>
      </w:r>
      <w:r w:rsidR="000212C3" w:rsidRPr="003E1F48">
        <w:rPr>
          <w:rFonts w:ascii="Times New Roman" w:hAnsi="Times New Roman" w:cs="Times New Roman"/>
          <w:sz w:val="24"/>
          <w:szCs w:val="24"/>
        </w:rPr>
        <w:t>са</w:t>
      </w:r>
      <w:r w:rsidRPr="00311500">
        <w:rPr>
          <w:rFonts w:ascii="Times New Roman" w:hAnsi="Times New Roman" w:cs="Times New Roman"/>
          <w:sz w:val="24"/>
          <w:szCs w:val="24"/>
        </w:rPr>
        <w:t xml:space="preserve"> приблизително 0,7% от БВП в предпандемичния период, под средното за ЕС (около 1,6% от БВП през 2019 г.). След 2020 г. се наблюдава видимо увеличаване на активните мерки, особено в обучение, субсидирана заетост и насърчаване на предприемачеството, което кореспондира с ускореното свиване на NEET след 2022 г. Детайлните разбивки по интервенции за 2020–2022 г. в LMP_EXPME – Croatia показват изместване на структурата към мерки с по-висока „активираща“ стойност (training, employment incentives), докато услугите на службите по заетостта увеличават обхвата и посредничеството. </w:t>
      </w:r>
      <w:r w:rsidR="000212C3" w:rsidRPr="003E1F48">
        <w:rPr>
          <w:rFonts w:ascii="Times New Roman" w:hAnsi="Times New Roman" w:cs="Times New Roman"/>
          <w:sz w:val="24"/>
          <w:szCs w:val="24"/>
        </w:rPr>
        <w:t>За</w:t>
      </w:r>
      <w:r w:rsidRPr="00311500">
        <w:rPr>
          <w:rFonts w:ascii="Times New Roman" w:hAnsi="Times New Roman" w:cs="Times New Roman"/>
          <w:sz w:val="24"/>
          <w:szCs w:val="24"/>
        </w:rPr>
        <w:t xml:space="preserve"> 2023–2024 г. </w:t>
      </w:r>
      <w:r w:rsidR="000212C3" w:rsidRPr="003E1F48">
        <w:rPr>
          <w:rFonts w:ascii="Times New Roman" w:hAnsi="Times New Roman" w:cs="Times New Roman"/>
          <w:sz w:val="24"/>
          <w:szCs w:val="24"/>
        </w:rPr>
        <w:t xml:space="preserve">са налични </w:t>
      </w:r>
      <w:r w:rsidRPr="00311500">
        <w:rPr>
          <w:rFonts w:ascii="Times New Roman" w:hAnsi="Times New Roman" w:cs="Times New Roman"/>
          <w:sz w:val="24"/>
          <w:szCs w:val="24"/>
        </w:rPr>
        <w:t>относително високи нива на ALMP поради търсенето в услуги и сезонни отрасли; официалните стойности по LMP ще се добавят в базата със стандартния лаг</w:t>
      </w:r>
      <w:r w:rsidR="000212C3" w:rsidRPr="003E1F48">
        <w:rPr>
          <w:rFonts w:ascii="Times New Roman" w:hAnsi="Times New Roman" w:cs="Times New Roman"/>
          <w:sz w:val="24"/>
          <w:szCs w:val="24"/>
        </w:rPr>
        <w:t xml:space="preserve"> (OECD, 2025b).</w:t>
      </w:r>
    </w:p>
    <w:p w14:paraId="608FEB8C" w14:textId="1C4F425C" w:rsidR="000212C3" w:rsidRPr="00311500" w:rsidRDefault="000212C3" w:rsidP="00311500">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По линия на активните политики (ALMP) Нидерландия е първенец сред изседваните страни и поддържа устойчиво високи нива: публичните разходи за ALMP са около 0,27% от БВП (по последни налични данни при ОИСР), което я позиционира сред водещите икономики в ЕС по интензитет на активиращи интервенции – обучения, стимули за наемане и програми за реинтеграция. Тази интензивност се допълва от значителен мащаб по пера в милиони евро: според табличната серия LMP_EXPME за Нидерландия общите разходи за мерки и подкрепа надхвърлят 1,3 млрд. евро годишно в разглеждания период, като обученията и субсидираната заетост са сред водещите компоненти. На ниво „тип действие“ агрегатите от LMP_EXPSUMM показват стабилно висок дял от БВП за услуги (PES и общински програми/ UWV) и мерки през 2020–2022 г., което е в съзвучие с рекордно нисък NEET около 5% през 2023–2024 г. и с една от най-високите в ЕС степени на свободни работни места (около 4,5–5% в пика от 2022 г.) (OECD, 2025b). В комбинация с бързата нормализация на инфлацията след върха от 2022 г. това подсигурява кратки и ефективни преходи „образование–работа“ и ни</w:t>
      </w:r>
      <w:r w:rsidR="00546590" w:rsidRPr="003E1F48">
        <w:rPr>
          <w:rFonts w:ascii="Times New Roman" w:hAnsi="Times New Roman" w:cs="Times New Roman"/>
          <w:sz w:val="24"/>
          <w:szCs w:val="24"/>
        </w:rPr>
        <w:t>с</w:t>
      </w:r>
      <w:r w:rsidRPr="003E1F48">
        <w:rPr>
          <w:rFonts w:ascii="Times New Roman" w:hAnsi="Times New Roman" w:cs="Times New Roman"/>
          <w:sz w:val="24"/>
          <w:szCs w:val="24"/>
        </w:rPr>
        <w:t>ка трайна неактивност сред младите.</w:t>
      </w:r>
    </w:p>
    <w:p w14:paraId="20079DB0" w14:textId="7264FA72" w:rsidR="00311500" w:rsidRPr="00311500" w:rsidRDefault="00311500" w:rsidP="00311500">
      <w:pPr>
        <w:spacing w:line="360" w:lineRule="auto"/>
        <w:ind w:firstLine="708"/>
        <w:jc w:val="both"/>
        <w:rPr>
          <w:rFonts w:ascii="Times New Roman" w:hAnsi="Times New Roman" w:cs="Times New Roman"/>
          <w:sz w:val="24"/>
          <w:szCs w:val="24"/>
        </w:rPr>
      </w:pPr>
      <w:r w:rsidRPr="00311500">
        <w:rPr>
          <w:rFonts w:ascii="Times New Roman" w:hAnsi="Times New Roman" w:cs="Times New Roman"/>
          <w:sz w:val="24"/>
          <w:szCs w:val="24"/>
        </w:rPr>
        <w:t>Съпос</w:t>
      </w:r>
      <w:r w:rsidRPr="003E1F48">
        <w:rPr>
          <w:rFonts w:ascii="Times New Roman" w:hAnsi="Times New Roman" w:cs="Times New Roman"/>
          <w:sz w:val="24"/>
          <w:szCs w:val="24"/>
        </w:rPr>
        <w:t>тавката</w:t>
      </w:r>
      <w:r w:rsidRPr="00311500">
        <w:rPr>
          <w:rFonts w:ascii="Times New Roman" w:hAnsi="Times New Roman" w:cs="Times New Roman"/>
          <w:sz w:val="24"/>
          <w:szCs w:val="24"/>
        </w:rPr>
        <w:t xml:space="preserve"> между трите държави</w:t>
      </w:r>
      <w:r w:rsidRPr="003E1F48">
        <w:rPr>
          <w:rFonts w:ascii="Times New Roman" w:hAnsi="Times New Roman" w:cs="Times New Roman"/>
          <w:sz w:val="24"/>
          <w:szCs w:val="24"/>
        </w:rPr>
        <w:t xml:space="preserve"> показва, че политиките за ограничаване на младежката трудова неактивност за изследвания период</w:t>
      </w:r>
      <w:r w:rsidRPr="00311500">
        <w:rPr>
          <w:rFonts w:ascii="Times New Roman" w:hAnsi="Times New Roman" w:cs="Times New Roman"/>
          <w:sz w:val="24"/>
          <w:szCs w:val="24"/>
        </w:rPr>
        <w:t xml:space="preserve"> следва логиката „кризисно повишение – нормализация – целева активизация“. Първо, през 2020 г. в целия ЕС се увеличават пасивните разходи и част от специфичните схеми за задържане на заетост (support), което повишава общия LMP обем, но не непременно активира младите. Второ, през 2021–2022 г. се наблюдава изместване към активни мерки и услуги, по-отчетливо в </w:t>
      </w:r>
      <w:r w:rsidRPr="00311500">
        <w:rPr>
          <w:rFonts w:ascii="Times New Roman" w:hAnsi="Times New Roman" w:cs="Times New Roman"/>
          <w:sz w:val="24"/>
          <w:szCs w:val="24"/>
        </w:rPr>
        <w:lastRenderedPageBreak/>
        <w:t xml:space="preserve">Нидерландия и Хърватска, докато България тръгва от по-ниска база и догонва с по-малък мащаб. Трето, в държави с по-висок относителен дял на ALMP и силни услуги – Нидерландия, а в по-малка степен Хърватска – намалението на NEET е по-бързо и устойчиво, отколкото в държави с ограничен ALMP мащаб – България. На макрониво тази картина е консистентна с по-широките изводи на ОИСР/ЕС за ролята на ALMP и посредничеството при ускоряване на преходите „училище–работа“. </w:t>
      </w:r>
    </w:p>
    <w:p w14:paraId="0783938E" w14:textId="6AA2A7A7" w:rsidR="00DE2FE4" w:rsidRPr="003E1F48" w:rsidRDefault="000F09DA" w:rsidP="000A495F">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Съпоставката на </w:t>
      </w:r>
      <w:r w:rsidR="00DE2FE4" w:rsidRPr="00DE2FE4">
        <w:rPr>
          <w:rFonts w:ascii="Times New Roman" w:hAnsi="Times New Roman" w:cs="Times New Roman"/>
          <w:sz w:val="24"/>
          <w:szCs w:val="24"/>
        </w:rPr>
        <w:t xml:space="preserve">динамиката на NEET и неактивността с ценовата среда и степента на свободни работни места позволява да се интерпретират различията между страните като комбинация от циклични и структурни ефекти. </w:t>
      </w:r>
      <w:r w:rsidR="00B15029" w:rsidRPr="003E1F48">
        <w:rPr>
          <w:rFonts w:ascii="Times New Roman" w:hAnsi="Times New Roman" w:cs="Times New Roman"/>
          <w:sz w:val="24"/>
          <w:szCs w:val="24"/>
        </w:rPr>
        <w:t>Пиковият</w:t>
      </w:r>
      <w:r w:rsidR="00DE2FE4" w:rsidRPr="00DE2FE4">
        <w:rPr>
          <w:rFonts w:ascii="Times New Roman" w:hAnsi="Times New Roman" w:cs="Times New Roman"/>
          <w:sz w:val="24"/>
          <w:szCs w:val="24"/>
        </w:rPr>
        <w:t xml:space="preserve"> инфлационен епизод </w:t>
      </w:r>
      <w:r w:rsidR="00B15029" w:rsidRPr="003E1F48">
        <w:rPr>
          <w:rFonts w:ascii="Times New Roman" w:hAnsi="Times New Roman" w:cs="Times New Roman"/>
          <w:sz w:val="24"/>
          <w:szCs w:val="24"/>
        </w:rPr>
        <w:t>през 2022 г.</w:t>
      </w:r>
      <w:r w:rsidR="00DE2FE4" w:rsidRPr="00DE2FE4">
        <w:rPr>
          <w:rFonts w:ascii="Times New Roman" w:hAnsi="Times New Roman" w:cs="Times New Roman"/>
          <w:sz w:val="24"/>
          <w:szCs w:val="24"/>
        </w:rPr>
        <w:t xml:space="preserve">и последвалото </w:t>
      </w:r>
      <w:r w:rsidR="009D4FDD" w:rsidRPr="003E1F48">
        <w:rPr>
          <w:rFonts w:ascii="Times New Roman" w:hAnsi="Times New Roman" w:cs="Times New Roman"/>
          <w:sz w:val="24"/>
          <w:szCs w:val="24"/>
        </w:rPr>
        <w:t>намаляване на свободни работни места</w:t>
      </w:r>
      <w:r w:rsidR="00DE2FE4" w:rsidRPr="00DE2FE4">
        <w:rPr>
          <w:rFonts w:ascii="Times New Roman" w:hAnsi="Times New Roman" w:cs="Times New Roman"/>
          <w:sz w:val="24"/>
          <w:szCs w:val="24"/>
        </w:rPr>
        <w:t xml:space="preserve"> през 2023–2024 г. са общи за ЕС; но там, където институционалните механизми за </w:t>
      </w:r>
      <w:r w:rsidR="00B15029" w:rsidRPr="003E1F48">
        <w:rPr>
          <w:rFonts w:ascii="Times New Roman" w:hAnsi="Times New Roman" w:cs="Times New Roman"/>
          <w:sz w:val="24"/>
          <w:szCs w:val="24"/>
        </w:rPr>
        <w:t xml:space="preserve">подкрепа </w:t>
      </w:r>
      <w:r w:rsidR="00DE2FE4" w:rsidRPr="00DE2FE4">
        <w:rPr>
          <w:rFonts w:ascii="Times New Roman" w:hAnsi="Times New Roman" w:cs="Times New Roman"/>
          <w:sz w:val="24"/>
          <w:szCs w:val="24"/>
        </w:rPr>
        <w:t xml:space="preserve">са по-силни, преходите на младите към заетост остават относително бързи, което се отразява в по-нисък и по-стабилен NEET. Обратно, при по-слабо търсене и по-висока уязвимост на нискообразованите групи спадът е по-бавен и по-податлив на обратни движения. Тази интерпретация е в съзвучие с наблюдавания спад на </w:t>
      </w:r>
      <w:r w:rsidRPr="003E1F48">
        <w:rPr>
          <w:rFonts w:ascii="Times New Roman" w:hAnsi="Times New Roman" w:cs="Times New Roman"/>
          <w:sz w:val="24"/>
          <w:szCs w:val="24"/>
        </w:rPr>
        <w:t>свободните работни места</w:t>
      </w:r>
      <w:r w:rsidR="00DE2FE4" w:rsidRPr="00DE2FE4">
        <w:rPr>
          <w:rFonts w:ascii="Times New Roman" w:hAnsi="Times New Roman" w:cs="Times New Roman"/>
          <w:sz w:val="24"/>
          <w:szCs w:val="24"/>
        </w:rPr>
        <w:t xml:space="preserve"> от края на 2022 г. без </w:t>
      </w:r>
      <w:r w:rsidR="009D4FDD" w:rsidRPr="003E1F48">
        <w:rPr>
          <w:rFonts w:ascii="Times New Roman" w:hAnsi="Times New Roman" w:cs="Times New Roman"/>
          <w:sz w:val="24"/>
          <w:szCs w:val="24"/>
        </w:rPr>
        <w:t>реципрочен</w:t>
      </w:r>
      <w:r w:rsidR="00DE2FE4" w:rsidRPr="00DE2FE4">
        <w:rPr>
          <w:rFonts w:ascii="Times New Roman" w:hAnsi="Times New Roman" w:cs="Times New Roman"/>
          <w:sz w:val="24"/>
          <w:szCs w:val="24"/>
        </w:rPr>
        <w:t xml:space="preserve"> ръст на безработицата – сигнал за подобрение в съвпадението и нормализация на пазара, който подпомага активирането на част от периферните младежки групи</w:t>
      </w:r>
      <w:r w:rsidR="005D1A38" w:rsidRPr="003E1F48">
        <w:t xml:space="preserve"> </w:t>
      </w:r>
      <w:r w:rsidR="005D1A38" w:rsidRPr="003E1F48">
        <w:rPr>
          <w:rFonts w:ascii="Times New Roman" w:hAnsi="Times New Roman" w:cs="Times New Roman"/>
          <w:sz w:val="24"/>
          <w:szCs w:val="24"/>
        </w:rPr>
        <w:t>(Eurostat, 2025a)</w:t>
      </w:r>
      <w:r w:rsidR="00DE2FE4" w:rsidRPr="00DE2FE4">
        <w:rPr>
          <w:rFonts w:ascii="Times New Roman" w:hAnsi="Times New Roman" w:cs="Times New Roman"/>
          <w:sz w:val="24"/>
          <w:szCs w:val="24"/>
        </w:rPr>
        <w:t xml:space="preserve">. </w:t>
      </w:r>
    </w:p>
    <w:p w14:paraId="66F0F5B5" w14:textId="156B639C" w:rsidR="00C02E88" w:rsidRPr="003E1F48" w:rsidRDefault="003B1ACC" w:rsidP="000A495F">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3.</w:t>
      </w:r>
      <w:r w:rsidR="00D26F56">
        <w:rPr>
          <w:rFonts w:ascii="Times New Roman" w:hAnsi="Times New Roman" w:cs="Times New Roman"/>
          <w:b/>
          <w:bCs/>
          <w:sz w:val="24"/>
          <w:szCs w:val="24"/>
        </w:rPr>
        <w:t>2</w:t>
      </w:r>
      <w:r w:rsidR="00C02E88" w:rsidRPr="003E1F48">
        <w:rPr>
          <w:rFonts w:ascii="Times New Roman" w:hAnsi="Times New Roman" w:cs="Times New Roman"/>
          <w:b/>
          <w:bCs/>
          <w:sz w:val="24"/>
          <w:szCs w:val="24"/>
        </w:rPr>
        <w:t xml:space="preserve">. </w:t>
      </w:r>
      <w:r w:rsidR="00694738" w:rsidRPr="003E1F48">
        <w:rPr>
          <w:rFonts w:ascii="Times New Roman" w:hAnsi="Times New Roman" w:cs="Times New Roman"/>
          <w:b/>
          <w:bCs/>
          <w:sz w:val="24"/>
          <w:szCs w:val="24"/>
        </w:rPr>
        <w:t xml:space="preserve">Зависимости между </w:t>
      </w:r>
      <w:r w:rsidR="005E6535" w:rsidRPr="003E1F48">
        <w:rPr>
          <w:rFonts w:ascii="Times New Roman" w:hAnsi="Times New Roman" w:cs="Times New Roman"/>
          <w:b/>
          <w:bCs/>
          <w:sz w:val="24"/>
          <w:szCs w:val="24"/>
        </w:rPr>
        <w:t>PESTEL контекст и основни</w:t>
      </w:r>
      <w:r w:rsidR="00C02E88" w:rsidRPr="003E1F48">
        <w:rPr>
          <w:rFonts w:ascii="Times New Roman" w:hAnsi="Times New Roman" w:cs="Times New Roman"/>
          <w:b/>
          <w:bCs/>
          <w:sz w:val="24"/>
          <w:szCs w:val="24"/>
        </w:rPr>
        <w:t>те икономически детерминанти на младежката трудова неактивност</w:t>
      </w:r>
    </w:p>
    <w:p w14:paraId="180CCA74" w14:textId="7958E366"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 xml:space="preserve">Зависимостите между PESTEL контекста и основните икономически детерминанти на младежката трудова неактивност в България, Хърватска и Нидерландия се проявяват като системна конфигурация, в която икономическите стимули и ограничения – реални заплати, инфлация, безработица и плътност на свободните работни места – се филтрират и модерират от политическо-институционалните, социалните, технологичните, екологичните и правните параметри на националната среда. В постпандемичния период 2020–2024 г. именно взаимодействието между тези слоеве обяснява различната скорост и устойчивост на спада в NEET и неактивността: там, където политическата и правната архитектура осигуряват предвидимост и висока интензивност на активните политики, а технологичната готовност намалява транзакционните разходи по търсене и съвпадение, равнището на неактивност се понижава по-бързо и колебанията около тренда са по-малки; обратното важи </w:t>
      </w:r>
      <w:r w:rsidRPr="00282949">
        <w:rPr>
          <w:rFonts w:ascii="Times New Roman" w:hAnsi="Times New Roman" w:cs="Times New Roman"/>
          <w:sz w:val="24"/>
          <w:szCs w:val="24"/>
        </w:rPr>
        <w:lastRenderedPageBreak/>
        <w:t>в среда на ниска институционална абсорбционна способност и по-продължителен инфлационен натиск, където възстановяването на реалните възнаграждения изостава и обезкуражаването на периферни групи младежи се задържа по-дълго.</w:t>
      </w:r>
    </w:p>
    <w:p w14:paraId="3DBF719F" w14:textId="64D8F1B4"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Политическ</w:t>
      </w:r>
      <w:r w:rsidR="00376A3F" w:rsidRPr="003E1F48">
        <w:rPr>
          <w:rFonts w:ascii="Times New Roman" w:hAnsi="Times New Roman" w:cs="Times New Roman"/>
          <w:sz w:val="24"/>
          <w:szCs w:val="24"/>
        </w:rPr>
        <w:t>ата и правната среда</w:t>
      </w:r>
      <w:r w:rsidRPr="00282949">
        <w:rPr>
          <w:rFonts w:ascii="Times New Roman" w:hAnsi="Times New Roman" w:cs="Times New Roman"/>
          <w:sz w:val="24"/>
          <w:szCs w:val="24"/>
        </w:rPr>
        <w:t xml:space="preserve"> задават инструментариума, чрез който икономическите детерминанти се превръщат в реални преходи „образование–работа“. Нидерландия поддържа устойчиво високи разходи за активни политики на пазара на труда, силни услуги по посредничество и нормативни режими, които едновременно индексират доходите и улесняват бързи съвпадения, включително чрез преминаването към почасов законов минимум от 2024 г., което подобрява прозрачността на възнагражденията в ниския сегмент на пазара. В такава рамка дори остър, но кратък ценови шок през 2022 г. не води до трайно изтегляне на младите от пазара, защото институционалните механизми ускоряват мачинга при висока вакантност и стабилизират очакванията. В България, при по-нисък относителен мащаб на активните мерки и по-фрагментирана управленска координация, каналът на политическа модерация е по-слаб, което удължава времето до първа заетост при уязвимите подгрупи, въпреки отчетливото номинално покачване на минималната и средната заплата. Хърватска заема междинна позиция, като след 2021–2022 г. пренасочва ресурс към обучения и стимули за наемане; това съкращава лаговете в преходите, но чувствителността към сезонност и демографски оттоци остава висока, което поставя граници пред скоростта на конвергенция.</w:t>
      </w:r>
    </w:p>
    <w:p w14:paraId="7476C46A" w14:textId="64EDBAE8"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Икономическ</w:t>
      </w:r>
      <w:r w:rsidR="00376A3F" w:rsidRPr="003E1F48">
        <w:rPr>
          <w:rFonts w:ascii="Times New Roman" w:hAnsi="Times New Roman" w:cs="Times New Roman"/>
          <w:sz w:val="24"/>
          <w:szCs w:val="24"/>
        </w:rPr>
        <w:t>ата среда</w:t>
      </w:r>
      <w:r w:rsidRPr="00282949">
        <w:rPr>
          <w:rFonts w:ascii="Times New Roman" w:hAnsi="Times New Roman" w:cs="Times New Roman"/>
          <w:sz w:val="24"/>
          <w:szCs w:val="24"/>
        </w:rPr>
        <w:t xml:space="preserve"> работи чрез три основни канала. Първо, динамиката на реалните заплати влияе върху резервационната заплата и очакваната възвращаемост от участие. В Нидерландия бързата индексация и високите нива на минималното и средното възнаграждение през 2023–2024 г. поддържат силни стимули за включване, което обяснява ниската амплитуда на NEET и стабилно ниската неактивност. В България и Хърватска номиналният догонващ растеж след 2022 г. постепенно компенсира инфлационната ерозия, като допринася за последователния спад в NEET, но ефектът е по-разтеглен във времето поради по-упоритата ценова инерция и по-ниската плътност на вакантности в части от икономиката. </w:t>
      </w:r>
      <w:r w:rsidRPr="003E1F48">
        <w:rPr>
          <w:rFonts w:ascii="Times New Roman" w:hAnsi="Times New Roman" w:cs="Times New Roman"/>
          <w:sz w:val="24"/>
          <w:szCs w:val="24"/>
        </w:rPr>
        <w:t>Също така</w:t>
      </w:r>
      <w:r w:rsidRPr="00282949">
        <w:rPr>
          <w:rFonts w:ascii="Times New Roman" w:hAnsi="Times New Roman" w:cs="Times New Roman"/>
          <w:sz w:val="24"/>
          <w:szCs w:val="24"/>
        </w:rPr>
        <w:t xml:space="preserve">, инфлационният шок от 2022 г. временно увеличава относителната цена на участие при млади с ниски заплати и ограничена възможност за договаряне, което повишава риска от неактивност; колкото по-бързо се нормализира инфлацията и се </w:t>
      </w:r>
      <w:r w:rsidRPr="00282949">
        <w:rPr>
          <w:rFonts w:ascii="Times New Roman" w:hAnsi="Times New Roman" w:cs="Times New Roman"/>
          <w:sz w:val="24"/>
          <w:szCs w:val="24"/>
        </w:rPr>
        <w:lastRenderedPageBreak/>
        <w:t xml:space="preserve">индексират доходите, толкова по-слаб е този негативен канал. </w:t>
      </w:r>
      <w:r w:rsidRPr="003E1F48">
        <w:rPr>
          <w:rFonts w:ascii="Times New Roman" w:hAnsi="Times New Roman" w:cs="Times New Roman"/>
          <w:sz w:val="24"/>
          <w:szCs w:val="24"/>
        </w:rPr>
        <w:t>В допълнение</w:t>
      </w:r>
      <w:r w:rsidRPr="00282949">
        <w:rPr>
          <w:rFonts w:ascii="Times New Roman" w:hAnsi="Times New Roman" w:cs="Times New Roman"/>
          <w:sz w:val="24"/>
          <w:szCs w:val="24"/>
        </w:rPr>
        <w:t xml:space="preserve">, състоянието на търсенето, измерено чрез коефициента на свободни работни места, определя вероятността от бързо съвпадение: структурно високата вакантност в Нидерландия поддържа кратки периоди на преход, докато по-ниската и регионално концентрирана вакантност в България, както и секторно-сезонната вълнообразност в Хърватска, водят до по-големи лагове и по-висок риск от обезкуражаване, особено извън </w:t>
      </w:r>
      <w:r w:rsidRPr="003E1F48">
        <w:rPr>
          <w:rFonts w:ascii="Times New Roman" w:hAnsi="Times New Roman" w:cs="Times New Roman"/>
          <w:sz w:val="24"/>
          <w:szCs w:val="24"/>
        </w:rPr>
        <w:t>големите градски центрове.</w:t>
      </w:r>
    </w:p>
    <w:p w14:paraId="0B5A06AE" w14:textId="5A0F87DC"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Социалн</w:t>
      </w:r>
      <w:r w:rsidR="00376A3F" w:rsidRPr="003E1F48">
        <w:rPr>
          <w:rFonts w:ascii="Times New Roman" w:hAnsi="Times New Roman" w:cs="Times New Roman"/>
          <w:sz w:val="24"/>
          <w:szCs w:val="24"/>
        </w:rPr>
        <w:t>ата среда</w:t>
      </w:r>
      <w:r w:rsidRPr="00282949">
        <w:rPr>
          <w:rFonts w:ascii="Times New Roman" w:hAnsi="Times New Roman" w:cs="Times New Roman"/>
          <w:sz w:val="24"/>
          <w:szCs w:val="24"/>
        </w:rPr>
        <w:t xml:space="preserve"> усилва или отслабва еластичността на младежкото предлагане на труд спрямо доходи и цени. В България регионалните неравенства в доходи и образователни резултати, по-високият дял на млади с ниска квалификация и по-силната обвързаност с местни пазари ограничават мобилността и удължават времето до съвпадение. Това прави икономическите стимули от ръста на заплатите по-малко ефективни без паралелна социална и образователна подкрепа. В Хърватска демографските оттоци и сезонната организация на услугите създават периодични „прозорци“ за включване, но и „тесни гърла“, в които млади с по-нисък капитал от умения изпадат в временна неактивност. В Нидерландия високата включеност в образование и стажантски модели, както и силната култура на ранни преходи „училище–работа“, намаляват риска от продължителни прекъсвания и правят доходните сигнали по-ефективни ().</w:t>
      </w:r>
    </w:p>
    <w:p w14:paraId="17BEF18B" w14:textId="316AEBC6"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Технологичн</w:t>
      </w:r>
      <w:r w:rsidR="00376A3F" w:rsidRPr="003E1F48">
        <w:rPr>
          <w:rFonts w:ascii="Times New Roman" w:hAnsi="Times New Roman" w:cs="Times New Roman"/>
          <w:sz w:val="24"/>
          <w:szCs w:val="24"/>
        </w:rPr>
        <w:t xml:space="preserve">ата среда </w:t>
      </w:r>
      <w:r w:rsidRPr="00282949">
        <w:rPr>
          <w:rFonts w:ascii="Times New Roman" w:hAnsi="Times New Roman" w:cs="Times New Roman"/>
          <w:sz w:val="24"/>
          <w:szCs w:val="24"/>
        </w:rPr>
        <w:t xml:space="preserve">функционира като мултипликатор на икономическите импулси. В условия на развитa цифрова инфраструктура, широко разпространена дистанционна и хибридна заетост и високи базови дигитални умения, информационната асиметрия намалява, търсенето и предлагането се срещат по-ефикасно, а географските и секторни бариери отслабват. Това е особено видно в Нидерландия, където дигиталната готовност ускорява нормализацията на преходите след 2021 г. и поддържа нисък NEET дори при силни ценови флуктуации. В България и Хърватска, където цифровите умения и достъпът извън големите градове остават по-неравномерни, технологичният канал не може в пълна степен да компенсира слабите зони на търсене и води до по-висока чувствителност на неактивността към цикличните колебания на заплати и инфлация. Следователно, при еднакъв номинален ръст на възнагражденията, ефектът върху активността е по-силен в </w:t>
      </w:r>
      <w:r w:rsidRPr="00282949">
        <w:rPr>
          <w:rFonts w:ascii="Times New Roman" w:hAnsi="Times New Roman" w:cs="Times New Roman"/>
          <w:sz w:val="24"/>
          <w:szCs w:val="24"/>
        </w:rPr>
        <w:lastRenderedPageBreak/>
        <w:t>технологично напреднала среда, която ускорява търсенето–съвпадението и намалява транзакционните разходи за младите ().</w:t>
      </w:r>
    </w:p>
    <w:p w14:paraId="13451B0B" w14:textId="34691768" w:rsidR="00282949" w:rsidRPr="00282949"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Екологичн</w:t>
      </w:r>
      <w:r w:rsidR="00376A3F" w:rsidRPr="003E1F48">
        <w:rPr>
          <w:rFonts w:ascii="Times New Roman" w:hAnsi="Times New Roman" w:cs="Times New Roman"/>
          <w:sz w:val="24"/>
          <w:szCs w:val="24"/>
        </w:rPr>
        <w:t>ите фактори на средата</w:t>
      </w:r>
      <w:r w:rsidRPr="00282949">
        <w:rPr>
          <w:rFonts w:ascii="Times New Roman" w:hAnsi="Times New Roman" w:cs="Times New Roman"/>
          <w:sz w:val="24"/>
          <w:szCs w:val="24"/>
        </w:rPr>
        <w:t xml:space="preserve"> и зеленият преход пренасочват търсенето на труд към нови професии и компетентности, което влияе асиметрично върху младежката активност. В икономики с вече изградени „зелени“ нишови индустрии и програми за обучение ефектът е активиращ, защото се отварят входни позиции, възприемани като перспективни и по-добре платени. Там, където преходът тепърва съзрява и институционалната подкрепа за преквалификация е ограничена, изместването на търсенето може временно да увеличи несъответствието на умения и да поддържа по-висока неактивност сред младежи извън големите центрове. По тази линия Нидерландия има предимство чрез по-ранна индустриална адаптация, докато България и Хърватска са по-зависими от целево финансиране и регионални проекти, за да трансформират екологичния импулс в младежка заетост</w:t>
      </w:r>
    </w:p>
    <w:p w14:paraId="5D2B3BA7" w14:textId="30922E40" w:rsidR="00282949" w:rsidRPr="003E1F48" w:rsidRDefault="00282949" w:rsidP="00282949">
      <w:pPr>
        <w:spacing w:line="360" w:lineRule="auto"/>
        <w:ind w:firstLine="708"/>
        <w:jc w:val="both"/>
        <w:rPr>
          <w:rFonts w:ascii="Times New Roman" w:hAnsi="Times New Roman" w:cs="Times New Roman"/>
          <w:sz w:val="24"/>
          <w:szCs w:val="24"/>
        </w:rPr>
      </w:pPr>
      <w:r w:rsidRPr="00282949">
        <w:rPr>
          <w:rFonts w:ascii="Times New Roman" w:hAnsi="Times New Roman" w:cs="Times New Roman"/>
          <w:sz w:val="24"/>
          <w:szCs w:val="24"/>
        </w:rPr>
        <w:t>Съпоставителната динамика на NEET в трите държави потвърждава, че PESTEL контекстът не е само фон, а активен модератор на икономическите детерминанти. Нидерландия поддържа ниско и стабилно равнище на NEET около 5–6% през 2023–2024 г., въпреки силния, но кратък ценови шок, именно защото високата вакантност, силните активни политики, дигиталната готовност и предвидимите правни режими превръщат растежа на възнагражденията в бързи съвпадения. България регистрира значим, но постепенен спад на NEET към 12,9% през 2024 г., при който догонващият ръст на заплатите играе роля, но е ограничаван от по-ниска плътност на свободни работни места, регионални неравенства и по-нисък интензитет на активните мерки. Хърватска се движи към ниски двуцифрени стойности, като трансформира част от доходния и търсещ натиск в заетост, но остава чувствителна към сезонност и демография; тук институционалното пренасочване след 2021–2022 г. усилва положителния ефект на възстановяването на реалните доходи, макар и с по-голяма междусекторна волатилност.</w:t>
      </w:r>
    </w:p>
    <w:p w14:paraId="790CBCC5" w14:textId="5C15508F" w:rsidR="00376A3F" w:rsidRPr="00376A3F" w:rsidRDefault="009E1BA1" w:rsidP="00376A3F">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Мможем да обобщим, че резултатите от изследването</w:t>
      </w:r>
      <w:r w:rsidR="00376A3F" w:rsidRPr="00376A3F">
        <w:rPr>
          <w:rFonts w:ascii="Times New Roman" w:hAnsi="Times New Roman" w:cs="Times New Roman"/>
          <w:sz w:val="24"/>
          <w:szCs w:val="24"/>
        </w:rPr>
        <w:t xml:space="preserve"> потвърждават тезата, </w:t>
      </w:r>
      <w:r w:rsidRPr="003E1F48">
        <w:rPr>
          <w:rFonts w:ascii="Times New Roman" w:hAnsi="Times New Roman" w:cs="Times New Roman"/>
          <w:sz w:val="24"/>
          <w:szCs w:val="24"/>
        </w:rPr>
        <w:t xml:space="preserve">че след 2020 г. равнището и динамиката на младежката трудова неактивност в България, Хърватска и Нидерландия се определят преди всичко от икономически детерминанти като заплати, инфлация и безработица, а силата и посоката на тяхното въздействие се модерират </w:t>
      </w:r>
      <w:r w:rsidRPr="003E1F48">
        <w:rPr>
          <w:rFonts w:ascii="Times New Roman" w:hAnsi="Times New Roman" w:cs="Times New Roman"/>
          <w:sz w:val="24"/>
          <w:szCs w:val="24"/>
        </w:rPr>
        <w:lastRenderedPageBreak/>
        <w:t xml:space="preserve">съществено от институционалния и технологичния контекст, описан чрез PESTEL. В резултат държави с по-висока дигитална готовност, по-ефективни активни политики на пазара на труда и по-умерена инфлационна среда постигат по-бързо и устойчиво намаляване на младежката неактивност в постпандемичния период, независимо от началните различия в изходните нива. Изследването показва както </w:t>
      </w:r>
      <w:r w:rsidR="00376A3F" w:rsidRPr="00376A3F">
        <w:rPr>
          <w:rFonts w:ascii="Times New Roman" w:hAnsi="Times New Roman" w:cs="Times New Roman"/>
          <w:sz w:val="24"/>
          <w:szCs w:val="24"/>
        </w:rPr>
        <w:t xml:space="preserve">синхрон между повратните точки в ценовите и доходните индикатори и спадовете в младежката неактивност/NEET след 2021–2022 г., </w:t>
      </w:r>
      <w:r w:rsidRPr="003E1F48">
        <w:rPr>
          <w:rFonts w:ascii="Times New Roman" w:hAnsi="Times New Roman" w:cs="Times New Roman"/>
          <w:sz w:val="24"/>
          <w:szCs w:val="24"/>
        </w:rPr>
        <w:t xml:space="preserve">така и </w:t>
      </w:r>
      <w:r w:rsidR="00376A3F" w:rsidRPr="00376A3F">
        <w:rPr>
          <w:rFonts w:ascii="Times New Roman" w:hAnsi="Times New Roman" w:cs="Times New Roman"/>
          <w:sz w:val="24"/>
          <w:szCs w:val="24"/>
        </w:rPr>
        <w:t xml:space="preserve">систематични междудържавни различия, обясними чрез институционално-технологични модератори, описани с PESTEL. В Нидерландия по-високите равнища на възнаграждения и бързата индексация се материализират в устойчиво нисък NEET и кратки преходи „образование–работа“, като профилът на серията е на бързо възстановяване и минимална волатилност през 2020–2024 г., което е консистентно с висока плътност на свободни работни места и силни активни политики на пазара на труда. В Хърватска догонващият ръст на минималната и средната заплата и пренасочването към обучения и стимули след 2021–2022 г. са свързани с ускорено понижение на NEET, но с отчетлива сезонна чувствителност, отразяваща структурните особености на търсенето, което потвърждава, че икономическите импулси действат по канала на търсене–съвпадение, модериран от секторния контекст. В България номиналният и реалният подем на възнагражденията след 2022 г. кореспондира със спад на неактивността, но ефектът е разтеглен във времето и по-податлив на обратни движения, което емпирично съвпада с по-нисък относителен мащаб на активните мерки и регионални различия в търсенето, тоест с по-слаб модериращ институционален канал. Трите серии заедно очертават обща трифазна динамика на шок, възстановяване и стабилизация на по-ниски равнища, при което нормализацията на инфлацията и напрежението на пазара на труда след пика от 2022 г. се отразяват в подобрено съвпадение без оглед на нарастване на безработицата, сиреч в активиране на периферни младежки групи—резултат, който съвпада с очакването за водеща роля на реалните заплати, инфлацията и свободните работни места, а също и за модериращата функция на институционалните и технологичните параметри. </w:t>
      </w:r>
    </w:p>
    <w:p w14:paraId="1F04FF94" w14:textId="77777777" w:rsidR="00376A3F" w:rsidRPr="00282949" w:rsidRDefault="00376A3F" w:rsidP="00282949">
      <w:pPr>
        <w:spacing w:line="360" w:lineRule="auto"/>
        <w:ind w:firstLine="708"/>
        <w:jc w:val="both"/>
        <w:rPr>
          <w:rFonts w:ascii="Times New Roman" w:hAnsi="Times New Roman" w:cs="Times New Roman"/>
          <w:sz w:val="24"/>
          <w:szCs w:val="24"/>
        </w:rPr>
      </w:pPr>
    </w:p>
    <w:p w14:paraId="26A29B93" w14:textId="77777777" w:rsidR="00376A3F" w:rsidRPr="003E1F48" w:rsidRDefault="00376A3F" w:rsidP="000A495F">
      <w:pPr>
        <w:spacing w:line="360" w:lineRule="auto"/>
        <w:ind w:firstLine="708"/>
        <w:jc w:val="both"/>
        <w:rPr>
          <w:rFonts w:ascii="Times New Roman" w:hAnsi="Times New Roman" w:cs="Times New Roman"/>
          <w:b/>
          <w:bCs/>
          <w:sz w:val="24"/>
          <w:szCs w:val="24"/>
        </w:rPr>
      </w:pPr>
    </w:p>
    <w:p w14:paraId="27DE7341" w14:textId="77777777" w:rsidR="00376A3F" w:rsidRPr="003E1F48" w:rsidRDefault="00376A3F">
      <w:pPr>
        <w:rPr>
          <w:rFonts w:ascii="Times New Roman" w:hAnsi="Times New Roman" w:cs="Times New Roman"/>
          <w:b/>
          <w:bCs/>
          <w:sz w:val="24"/>
          <w:szCs w:val="24"/>
        </w:rPr>
      </w:pPr>
      <w:r w:rsidRPr="003E1F48">
        <w:rPr>
          <w:rFonts w:ascii="Times New Roman" w:hAnsi="Times New Roman" w:cs="Times New Roman"/>
          <w:b/>
          <w:bCs/>
          <w:sz w:val="24"/>
          <w:szCs w:val="24"/>
        </w:rPr>
        <w:br w:type="page"/>
      </w:r>
    </w:p>
    <w:p w14:paraId="400D7070" w14:textId="4737199D" w:rsidR="00C02E88" w:rsidRDefault="00C02E88" w:rsidP="000A495F">
      <w:pPr>
        <w:spacing w:line="360" w:lineRule="auto"/>
        <w:ind w:firstLine="708"/>
        <w:jc w:val="both"/>
        <w:rPr>
          <w:rFonts w:ascii="Times New Roman" w:hAnsi="Times New Roman" w:cs="Times New Roman"/>
          <w:sz w:val="24"/>
          <w:szCs w:val="24"/>
        </w:rPr>
      </w:pPr>
      <w:r w:rsidRPr="003E1F48">
        <w:rPr>
          <w:rFonts w:ascii="Times New Roman" w:hAnsi="Times New Roman" w:cs="Times New Roman"/>
          <w:b/>
          <w:bCs/>
          <w:sz w:val="24"/>
          <w:szCs w:val="24"/>
        </w:rPr>
        <w:lastRenderedPageBreak/>
        <w:t>Заключение</w:t>
      </w:r>
    </w:p>
    <w:p w14:paraId="1F36CF15" w14:textId="5ED75778" w:rsidR="006A7F3D" w:rsidRPr="006A7F3D" w:rsidRDefault="006A7F3D" w:rsidP="006A7F3D">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 xml:space="preserve">Резултатите от настоящото изследване потвърждават </w:t>
      </w:r>
      <w:proofErr w:type="spellStart"/>
      <w:r w:rsidRPr="006A7F3D">
        <w:rPr>
          <w:rFonts w:ascii="Times New Roman" w:hAnsi="Times New Roman" w:cs="Times New Roman"/>
          <w:sz w:val="24"/>
          <w:szCs w:val="24"/>
          <w:lang w:val="en-GB"/>
        </w:rPr>
        <w:t>тезата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постпандемичния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период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равнището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динамиката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трудова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България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Хърватска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Нидерландия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определят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всичко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промените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реалните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възнаграждения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инфлацията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търсенето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труд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силата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скоростта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трансмисия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модерират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архитектура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прехода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образование</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степента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дигитална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социална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инфраструктура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секторната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специализация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Количественият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сравнителен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анализ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показва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синхрон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възстановяването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продукцията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понижението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безработицата</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изпреварващ</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ръст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свободните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места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като</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началната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фаза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пандемичния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шок</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остава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измерим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свиващ</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резерв</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лица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налични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временно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поради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здравни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семейни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образователни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причини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Кривите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Бевъридж</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сочат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ограничено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преходно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влошаване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съвпадението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прераства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трайна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неефективност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основната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динамика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чете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през</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доходните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ценовите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сигнали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плътността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търсенето</w:t>
      </w:r>
      <w:proofErr w:type="spellEnd"/>
      <w:r w:rsidRPr="006A7F3D">
        <w:rPr>
          <w:rFonts w:ascii="Times New Roman" w:hAnsi="Times New Roman" w:cs="Times New Roman"/>
          <w:sz w:val="24"/>
          <w:szCs w:val="24"/>
          <w:lang w:val="en-GB"/>
        </w:rPr>
        <w:t xml:space="preserve">, а </w:t>
      </w:r>
      <w:proofErr w:type="spellStart"/>
      <w:r w:rsidRPr="006A7F3D">
        <w:rPr>
          <w:rFonts w:ascii="Times New Roman" w:hAnsi="Times New Roman" w:cs="Times New Roman"/>
          <w:sz w:val="24"/>
          <w:szCs w:val="24"/>
          <w:lang w:val="en-GB"/>
        </w:rPr>
        <w:t>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системно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нарастване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фрикционните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загуби</w:t>
      </w:r>
      <w:proofErr w:type="spellEnd"/>
      <w:r w:rsidRPr="006A7F3D">
        <w:rPr>
          <w:rFonts w:ascii="Times New Roman" w:hAnsi="Times New Roman" w:cs="Times New Roman"/>
          <w:sz w:val="24"/>
          <w:szCs w:val="24"/>
          <w:lang w:val="en-GB"/>
        </w:rPr>
        <w:t>.</w:t>
      </w:r>
    </w:p>
    <w:p w14:paraId="14B31300"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Съпоставката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разкрива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отчетливи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модели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Нидерландия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мрежа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дуални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стажантски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институционализираното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партньорство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образованието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бизнеса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последователната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индексация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възнагражденията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минимизират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пропуска</w:t>
      </w:r>
      <w:proofErr w:type="spellEnd"/>
      <w:r w:rsidRPr="006A7F3D">
        <w:rPr>
          <w:rFonts w:ascii="Times New Roman" w:hAnsi="Times New Roman" w:cs="Times New Roman"/>
          <w:sz w:val="24"/>
          <w:szCs w:val="24"/>
          <w:lang w:val="en-GB"/>
        </w:rPr>
        <w:t xml:space="preserve"> в </w:t>
      </w:r>
      <w:proofErr w:type="spellStart"/>
      <w:proofErr w:type="gramStart"/>
      <w:r w:rsidRPr="006A7F3D">
        <w:rPr>
          <w:rFonts w:ascii="Times New Roman" w:hAnsi="Times New Roman" w:cs="Times New Roman"/>
          <w:sz w:val="24"/>
          <w:szCs w:val="24"/>
          <w:lang w:val="en-GB"/>
        </w:rPr>
        <w:t>опита</w:t>
      </w:r>
      <w:proofErr w:type="spellEnd"/>
      <w:r w:rsidRPr="006A7F3D">
        <w:rPr>
          <w:rFonts w:ascii="Times New Roman" w:hAnsi="Times New Roman" w:cs="Times New Roman"/>
          <w:sz w:val="24"/>
          <w:szCs w:val="24"/>
          <w:lang w:val="en-GB"/>
        </w:rPr>
        <w:t>“</w:t>
      </w:r>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съкращават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времето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договор</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поддържат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ниски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нива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шокове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контактно-интензивните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Хърватска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щедрите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схеми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запазване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целевите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мерки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стабилизират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включването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ускоряват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нормализацията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завръщане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туристическото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изразената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сезонност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регионалните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поддържат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по-висока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амплитуда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переходите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училище</w:t>
      </w:r>
      <w:proofErr w:type="spellEnd"/>
      <w:r w:rsidRPr="006A7F3D">
        <w:rPr>
          <w:rFonts w:ascii="Times New Roman" w:hAnsi="Times New Roman" w:cs="Times New Roman"/>
          <w:sz w:val="24"/>
          <w:szCs w:val="24"/>
          <w:lang w:val="en-GB"/>
        </w:rPr>
        <w:t>–</w:t>
      </w:r>
      <w:proofErr w:type="spellStart"/>
      <w:proofErr w:type="gram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и</w:t>
      </w:r>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чувствителност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временни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шокове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България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растежът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възнагражденията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повишената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търсеност</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индустрията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услугите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съпроводени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по-бавен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пренос</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трайно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включване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поради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по-ограничен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капацитет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фрагментирана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секторна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структура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демографско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свиване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въпреки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напредък</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дуалното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цифровизацията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посредничеството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регионалните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различия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недостигът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грижа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забавят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активизацията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уязвими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групи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Тези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потвърждават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модериращата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роля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PESTEL </w:t>
      </w:r>
      <w:proofErr w:type="spellStart"/>
      <w:r w:rsidRPr="006A7F3D">
        <w:rPr>
          <w:rFonts w:ascii="Times New Roman" w:hAnsi="Times New Roman" w:cs="Times New Roman"/>
          <w:sz w:val="24"/>
          <w:szCs w:val="24"/>
          <w:lang w:val="en-GB"/>
        </w:rPr>
        <w:t>контекста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висока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плътност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зрели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lastRenderedPageBreak/>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ценовите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търсещите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импулси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превеждат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gramEnd"/>
      <w:r w:rsidRPr="006A7F3D">
        <w:rPr>
          <w:rFonts w:ascii="Times New Roman" w:hAnsi="Times New Roman" w:cs="Times New Roman"/>
          <w:sz w:val="24"/>
          <w:szCs w:val="24"/>
          <w:lang w:val="en-GB"/>
        </w:rPr>
        <w:t>-бързо</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реална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по-слаба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координация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инфраструктура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проявяват</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лаг</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по-висока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волатилност</w:t>
      </w:r>
      <w:proofErr w:type="spellEnd"/>
      <w:r w:rsidRPr="006A7F3D">
        <w:rPr>
          <w:rFonts w:ascii="Times New Roman" w:hAnsi="Times New Roman" w:cs="Times New Roman"/>
          <w:sz w:val="24"/>
          <w:szCs w:val="24"/>
          <w:lang w:val="en-GB"/>
        </w:rPr>
        <w:t>.</w:t>
      </w:r>
    </w:p>
    <w:p w14:paraId="34ECAD9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равнище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механизми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изследването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идентифицира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последователни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канала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оформя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рискът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Първият</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доходно-ценовият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който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заплати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инфлацията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определят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резервационните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решения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нетната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възвръщаемост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бързата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индексация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предвидимите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входни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възнаграждения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намаляват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обезкуражаването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ценовата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несигурност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усилва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Вторият</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каналът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търсенето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плътността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свободните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места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който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налични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посреднически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обучителни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инструменти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увеличава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вероятността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съвпадение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именно</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началните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сегменти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пазара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Третият</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институционалният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канал</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прехода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образование</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който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стажове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чиракуване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предходно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учене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компенсират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липсата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опит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ограничават</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белязването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периоди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завършване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Влиянието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социалните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регионални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фактори</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грижи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транспортна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дигитална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свързаност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разходи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жилище</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действа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множител</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във</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всички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канали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особено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жени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младежи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периферни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райони</w:t>
      </w:r>
      <w:proofErr w:type="spellEnd"/>
      <w:r w:rsidRPr="006A7F3D">
        <w:rPr>
          <w:rFonts w:ascii="Times New Roman" w:hAnsi="Times New Roman" w:cs="Times New Roman"/>
          <w:sz w:val="24"/>
          <w:szCs w:val="24"/>
          <w:lang w:val="en-GB"/>
        </w:rPr>
        <w:t>.</w:t>
      </w:r>
    </w:p>
    <w:p w14:paraId="76CC0B03"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Политическият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прочит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резултатите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европейската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ориентация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засилената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Гаранция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поставя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акцент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върху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входните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позиции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устойчивостта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Най-ефективни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комбинациите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едновременно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гарантират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стажовете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чиракуването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осигуряват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финансиране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доуменияване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реална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среда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валидират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неформално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придобити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компетентности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намаляват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нетната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цена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участие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грижа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жилищна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България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приоритет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териториално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насочените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мерки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разширяване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капацитета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кариерно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ориентиране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ускорено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умения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съкратят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лаговете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групи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Хърватска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ключът</w:t>
      </w:r>
      <w:proofErr w:type="spellEnd"/>
      <w:r w:rsidRPr="006A7F3D">
        <w:rPr>
          <w:rFonts w:ascii="Times New Roman" w:hAnsi="Times New Roman" w:cs="Times New Roman"/>
          <w:sz w:val="24"/>
          <w:szCs w:val="24"/>
          <w:lang w:val="en-GB"/>
        </w:rPr>
        <w:t xml:space="preserve"> е „</w:t>
      </w:r>
      <w:proofErr w:type="spellStart"/>
      <w:proofErr w:type="gramStart"/>
      <w:r w:rsidRPr="006A7F3D">
        <w:rPr>
          <w:rFonts w:ascii="Times New Roman" w:hAnsi="Times New Roman" w:cs="Times New Roman"/>
          <w:sz w:val="24"/>
          <w:szCs w:val="24"/>
          <w:lang w:val="en-GB"/>
        </w:rPr>
        <w:t>закотвянето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сезонните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ангажименти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трайни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кариерни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стълби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междусезонни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многостепенни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сертификати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Нидерландия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предизвикателството</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поддържането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висока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съвпадението</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условия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структурна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стегнатост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технологична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дифузия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включително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прецизно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таргетирани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микрокреденшъли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гъвкави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отрасли</w:t>
      </w:r>
      <w:proofErr w:type="spellEnd"/>
      <w:r w:rsidRPr="006A7F3D">
        <w:rPr>
          <w:rFonts w:ascii="Times New Roman" w:hAnsi="Times New Roman" w:cs="Times New Roman"/>
          <w:sz w:val="24"/>
          <w:szCs w:val="24"/>
          <w:lang w:val="en-GB"/>
        </w:rPr>
        <w:t>.</w:t>
      </w:r>
    </w:p>
    <w:p w14:paraId="0CCF62C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lastRenderedPageBreak/>
        <w:t>Ограниченията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изследването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произтичат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различията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детайлността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периодизацията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наличните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хетерогенността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групата</w:t>
      </w:r>
      <w:proofErr w:type="spellEnd"/>
      <w:r w:rsidRPr="006A7F3D">
        <w:rPr>
          <w:rFonts w:ascii="Times New Roman" w:hAnsi="Times New Roman" w:cs="Times New Roman"/>
          <w:sz w:val="24"/>
          <w:szCs w:val="24"/>
          <w:lang w:val="en-GB"/>
        </w:rPr>
        <w:t xml:space="preserve"> NEET и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вероятната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ендогенност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политическите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интервенции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пазарните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резултати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променят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основната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картина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изискват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предпазливост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пренасяне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резултати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страни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радикално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профили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Перспективни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направления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бъдещи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изследвания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микроосновани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оценки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ефективността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конкретни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мерки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стажове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анализи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дългосрочните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траектории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излизане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NEET, </w:t>
      </w:r>
      <w:proofErr w:type="spellStart"/>
      <w:r w:rsidRPr="006A7F3D">
        <w:rPr>
          <w:rFonts w:ascii="Times New Roman" w:hAnsi="Times New Roman" w:cs="Times New Roman"/>
          <w:sz w:val="24"/>
          <w:szCs w:val="24"/>
          <w:lang w:val="en-GB"/>
        </w:rPr>
        <w:t>както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изследване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ролята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жилищната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достъпност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регионалната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скрити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ограничители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участието</w:t>
      </w:r>
      <w:proofErr w:type="spellEnd"/>
      <w:r w:rsidRPr="006A7F3D">
        <w:rPr>
          <w:rFonts w:ascii="Times New Roman" w:hAnsi="Times New Roman" w:cs="Times New Roman"/>
          <w:sz w:val="24"/>
          <w:szCs w:val="24"/>
          <w:lang w:val="en-GB"/>
        </w:rPr>
        <w:t>.</w:t>
      </w:r>
    </w:p>
    <w:p w14:paraId="0B0D73B1" w14:textId="77777777" w:rsidR="006A7F3D" w:rsidRDefault="006A7F3D" w:rsidP="006A7F3D">
      <w:pPr>
        <w:spacing w:line="360" w:lineRule="auto"/>
        <w:ind w:firstLine="708"/>
        <w:jc w:val="both"/>
        <w:rPr>
          <w:rFonts w:ascii="Times New Roman" w:hAnsi="Times New Roman" w:cs="Times New Roman"/>
          <w:sz w:val="24"/>
          <w:szCs w:val="24"/>
        </w:rPr>
      </w:pPr>
      <w:r w:rsidRPr="006A7F3D">
        <w:rPr>
          <w:rFonts w:ascii="Times New Roman" w:hAnsi="Times New Roman" w:cs="Times New Roman"/>
          <w:sz w:val="24"/>
          <w:szCs w:val="24"/>
          <w:lang w:val="en-GB"/>
        </w:rPr>
        <w:t xml:space="preserve">В </w:t>
      </w:r>
      <w:proofErr w:type="spellStart"/>
      <w:r w:rsidRPr="006A7F3D">
        <w:rPr>
          <w:rFonts w:ascii="Times New Roman" w:hAnsi="Times New Roman" w:cs="Times New Roman"/>
          <w:sz w:val="24"/>
          <w:szCs w:val="24"/>
          <w:lang w:val="en-GB"/>
        </w:rPr>
        <w:t>обобщение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изследването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показва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намаляването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изисква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съчетаване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макроикономическа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стабилност</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висококачествени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преход</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приобщаваща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социална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инфраструктура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където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тези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елементи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налице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демографският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потенциал</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поколение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преобразува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продуктивна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по-бързо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по-устойчиво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където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отсъстват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благоприятната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конюнктура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размива</w:t>
      </w:r>
      <w:proofErr w:type="spellEnd"/>
      <w:r w:rsidRPr="006A7F3D">
        <w:rPr>
          <w:rFonts w:ascii="Times New Roman" w:hAnsi="Times New Roman" w:cs="Times New Roman"/>
          <w:sz w:val="24"/>
          <w:szCs w:val="24"/>
          <w:lang w:val="en-GB"/>
        </w:rPr>
        <w:t>“ в</w:t>
      </w:r>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по-дълги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периоди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бездействие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повтарящи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епизоди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NEET. </w:t>
      </w:r>
      <w:proofErr w:type="spellStart"/>
      <w:r w:rsidRPr="006A7F3D">
        <w:rPr>
          <w:rFonts w:ascii="Times New Roman" w:hAnsi="Times New Roman" w:cs="Times New Roman"/>
          <w:sz w:val="24"/>
          <w:szCs w:val="24"/>
          <w:lang w:val="en-GB"/>
        </w:rPr>
        <w:t>Този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извод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предлага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ясна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политика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инвестиции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умения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входни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позиции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интегрирани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целенасочена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социална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краткосрочните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шансове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превърнат</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дългосрочни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кариерни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възможности</w:t>
      </w:r>
      <w:proofErr w:type="spellEnd"/>
      <w:r w:rsidRPr="006A7F3D">
        <w:rPr>
          <w:rFonts w:ascii="Times New Roman" w:hAnsi="Times New Roman" w:cs="Times New Roman"/>
          <w:sz w:val="24"/>
          <w:szCs w:val="24"/>
          <w:lang w:val="en-GB"/>
        </w:rPr>
        <w:t>.</w:t>
      </w:r>
    </w:p>
    <w:p w14:paraId="3808D540" w14:textId="092860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България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препоръките</w:t>
      </w:r>
      <w:proofErr w:type="spellEnd"/>
      <w:r w:rsidRPr="006A7F3D">
        <w:rPr>
          <w:rFonts w:ascii="Times New Roman" w:hAnsi="Times New Roman" w:cs="Times New Roman"/>
          <w:sz w:val="24"/>
          <w:szCs w:val="24"/>
          <w:lang w:val="en-GB"/>
        </w:rPr>
        <w:t xml:space="preserve"> </w:t>
      </w:r>
      <w:r>
        <w:rPr>
          <w:rFonts w:ascii="Times New Roman" w:hAnsi="Times New Roman" w:cs="Times New Roman"/>
          <w:sz w:val="24"/>
          <w:szCs w:val="24"/>
        </w:rPr>
        <w:t>се насочват предимно към следване на</w:t>
      </w:r>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логиката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ускоряване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прехода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образование</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условия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демографско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свиване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регионална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фрагментация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Необходимо</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териториално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насочване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мерки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периферни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обезлюдяващи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райони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комбиниране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субсидирана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междурегионални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пакети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включват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транспорт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временна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жилищна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ваучери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грижи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Разгръщането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дуалното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трябва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системно</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ясни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наставничество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място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проследяване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резултати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шест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дванадесет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месеца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завършване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Ускореното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неформално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придобити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умения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кратки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микрокреденшъли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цифрови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индустриални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сервизни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професии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интегрират</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услугите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пропускът</w:t>
      </w:r>
      <w:proofErr w:type="spellEnd"/>
      <w:r w:rsidRPr="006A7F3D">
        <w:rPr>
          <w:rFonts w:ascii="Times New Roman" w:hAnsi="Times New Roman" w:cs="Times New Roman"/>
          <w:sz w:val="24"/>
          <w:szCs w:val="24"/>
          <w:lang w:val="en-GB"/>
        </w:rPr>
        <w:t xml:space="preserve"> в </w:t>
      </w:r>
      <w:proofErr w:type="spellStart"/>
      <w:proofErr w:type="gramStart"/>
      <w:r w:rsidRPr="006A7F3D">
        <w:rPr>
          <w:rFonts w:ascii="Times New Roman" w:hAnsi="Times New Roman" w:cs="Times New Roman"/>
          <w:sz w:val="24"/>
          <w:szCs w:val="24"/>
          <w:lang w:val="en-GB"/>
        </w:rPr>
        <w:t>опита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редуцира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още</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рамките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месеца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регистрация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lastRenderedPageBreak/>
        <w:t>Особено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внимание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изискват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жени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младежи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грижи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увреждания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осигуряване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достъпни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разумни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адаптации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място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институционално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равнище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дигитализацията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посредничеството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трябва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съчетае</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проактивен</w:t>
      </w:r>
      <w:proofErr w:type="spellEnd"/>
      <w:r w:rsidRPr="006A7F3D">
        <w:rPr>
          <w:rFonts w:ascii="Times New Roman" w:hAnsi="Times New Roman" w:cs="Times New Roman"/>
          <w:sz w:val="24"/>
          <w:szCs w:val="24"/>
          <w:lang w:val="en-GB"/>
        </w:rPr>
        <w:t xml:space="preserve"> „</w:t>
      </w:r>
      <w:proofErr w:type="gramStart"/>
      <w:r w:rsidRPr="006A7F3D">
        <w:rPr>
          <w:rFonts w:ascii="Times New Roman" w:hAnsi="Times New Roman" w:cs="Times New Roman"/>
          <w:sz w:val="24"/>
          <w:szCs w:val="24"/>
          <w:lang w:val="en-GB"/>
        </w:rPr>
        <w:t xml:space="preserve">outreach“ </w:t>
      </w:r>
      <w:proofErr w:type="spellStart"/>
      <w:r w:rsidRPr="006A7F3D">
        <w:rPr>
          <w:rFonts w:ascii="Times New Roman" w:hAnsi="Times New Roman" w:cs="Times New Roman"/>
          <w:sz w:val="24"/>
          <w:szCs w:val="24"/>
          <w:lang w:val="en-GB"/>
        </w:rPr>
        <w:t>към</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обезкуражени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младежи</w:t>
      </w:r>
      <w:proofErr w:type="spellEnd"/>
      <w:r w:rsidRPr="006A7F3D">
        <w:rPr>
          <w:rFonts w:ascii="Times New Roman" w:hAnsi="Times New Roman" w:cs="Times New Roman"/>
          <w:sz w:val="24"/>
          <w:szCs w:val="24"/>
          <w:lang w:val="en-GB"/>
        </w:rPr>
        <w:t xml:space="preserve">, а </w:t>
      </w:r>
      <w:proofErr w:type="spellStart"/>
      <w:r w:rsidRPr="006A7F3D">
        <w:rPr>
          <w:rFonts w:ascii="Times New Roman" w:hAnsi="Times New Roman" w:cs="Times New Roman"/>
          <w:sz w:val="24"/>
          <w:szCs w:val="24"/>
          <w:lang w:val="en-GB"/>
        </w:rPr>
        <w:t>публичното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финансиране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обвърже</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устойчиви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изходи</w:t>
      </w:r>
      <w:proofErr w:type="spellEnd"/>
      <w:r w:rsidRPr="006A7F3D">
        <w:rPr>
          <w:rFonts w:ascii="Times New Roman" w:hAnsi="Times New Roman" w:cs="Times New Roman"/>
          <w:sz w:val="24"/>
          <w:szCs w:val="24"/>
          <w:lang w:val="en-GB"/>
        </w:rPr>
        <w:t xml:space="preserve"> – </w:t>
      </w:r>
      <w:proofErr w:type="spellStart"/>
      <w:r w:rsidRPr="006A7F3D">
        <w:rPr>
          <w:rFonts w:ascii="Times New Roman" w:hAnsi="Times New Roman" w:cs="Times New Roman"/>
          <w:sz w:val="24"/>
          <w:szCs w:val="24"/>
          <w:lang w:val="en-GB"/>
        </w:rPr>
        <w:t>задържане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място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нарастване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дохода</w:t>
      </w:r>
      <w:proofErr w:type="spellEnd"/>
      <w:r w:rsidRPr="006A7F3D">
        <w:rPr>
          <w:rFonts w:ascii="Times New Roman" w:hAnsi="Times New Roman" w:cs="Times New Roman"/>
          <w:sz w:val="24"/>
          <w:szCs w:val="24"/>
          <w:lang w:val="en-GB"/>
        </w:rPr>
        <w:t xml:space="preserve"> – </w:t>
      </w:r>
      <w:proofErr w:type="spellStart"/>
      <w:r w:rsidRPr="006A7F3D">
        <w:rPr>
          <w:rFonts w:ascii="Times New Roman" w:hAnsi="Times New Roman" w:cs="Times New Roman"/>
          <w:sz w:val="24"/>
          <w:szCs w:val="24"/>
          <w:lang w:val="en-GB"/>
        </w:rPr>
        <w:t>вместо</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номинални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участия</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програми</w:t>
      </w:r>
      <w:proofErr w:type="spellEnd"/>
      <w:r w:rsidRPr="006A7F3D">
        <w:rPr>
          <w:rFonts w:ascii="Times New Roman" w:hAnsi="Times New Roman" w:cs="Times New Roman"/>
          <w:sz w:val="24"/>
          <w:szCs w:val="24"/>
          <w:lang w:val="en-GB"/>
        </w:rPr>
        <w:t>.</w:t>
      </w:r>
    </w:p>
    <w:p w14:paraId="45E9DBAE" w14:textId="082EDC7C"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Нидерландия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приоритет</w:t>
      </w:r>
      <w:proofErr w:type="spellEnd"/>
      <w:r>
        <w:rPr>
          <w:rFonts w:ascii="Times New Roman" w:hAnsi="Times New Roman" w:cs="Times New Roman"/>
          <w:sz w:val="24"/>
          <w:szCs w:val="24"/>
        </w:rPr>
        <w:t xml:space="preserve"> трябва да е</w:t>
      </w:r>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съхранение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високата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съвпадението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структурно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стегнат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пазар</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нарастваща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технологична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дифузия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Подходящо</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доразвиване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системата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микрокреденшъли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предходно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учене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улесни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хоризонталната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отрасли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различни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технологични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профили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минимизира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рискът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застой</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нископлатени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входни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позиции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Общинско</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националните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екипи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посредничество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разширят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ранното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идентифициране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отпадащи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училище</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данни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реално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време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предлагат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интензивен</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режим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критичния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прозорец</w:t>
      </w:r>
      <w:proofErr w:type="spellEnd"/>
      <w:r w:rsidRPr="006A7F3D">
        <w:rPr>
          <w:rFonts w:ascii="Times New Roman" w:hAnsi="Times New Roman" w:cs="Times New Roman"/>
          <w:sz w:val="24"/>
          <w:szCs w:val="24"/>
          <w:lang w:val="en-GB"/>
        </w:rPr>
        <w:t xml:space="preserve"> 6–9 </w:t>
      </w:r>
      <w:proofErr w:type="spellStart"/>
      <w:r w:rsidRPr="006A7F3D">
        <w:rPr>
          <w:rFonts w:ascii="Times New Roman" w:hAnsi="Times New Roman" w:cs="Times New Roman"/>
          <w:sz w:val="24"/>
          <w:szCs w:val="24"/>
          <w:lang w:val="en-GB"/>
        </w:rPr>
        <w:t>месеца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завършване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когато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вероятността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най-висока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Възприемането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почасов</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изисква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активен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мониторинг</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върху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младежките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договори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стажовете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необходимост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добавят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таргетирани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стимули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работодатели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трансформират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чиракуването</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устойчиви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назначения</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ограничават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рисковете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непълна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нестабилна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стажове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договорни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гаранции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място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проследяване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кариерните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както</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адресиране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недостига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жилища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регионални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различия</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достъпността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влияят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върху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зони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високо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търсене</w:t>
      </w:r>
      <w:proofErr w:type="spellEnd"/>
      <w:r w:rsidRPr="006A7F3D">
        <w:rPr>
          <w:rFonts w:ascii="Times New Roman" w:hAnsi="Times New Roman" w:cs="Times New Roman"/>
          <w:sz w:val="24"/>
          <w:szCs w:val="24"/>
          <w:lang w:val="en-GB"/>
        </w:rPr>
        <w:t>.</w:t>
      </w:r>
    </w:p>
    <w:p w14:paraId="379D7D7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Хърватска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фокусът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трябва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бъде</w:t>
      </w:r>
      <w:proofErr w:type="spellEnd"/>
      <w:r w:rsidRPr="006A7F3D">
        <w:rPr>
          <w:rFonts w:ascii="Times New Roman" w:hAnsi="Times New Roman" w:cs="Times New Roman"/>
          <w:sz w:val="24"/>
          <w:szCs w:val="24"/>
          <w:lang w:val="en-GB"/>
        </w:rPr>
        <w:t xml:space="preserve"> „</w:t>
      </w:r>
      <w:proofErr w:type="spellStart"/>
      <w:proofErr w:type="gramStart"/>
      <w:r w:rsidRPr="006A7F3D">
        <w:rPr>
          <w:rFonts w:ascii="Times New Roman" w:hAnsi="Times New Roman" w:cs="Times New Roman"/>
          <w:sz w:val="24"/>
          <w:szCs w:val="24"/>
          <w:lang w:val="en-GB"/>
        </w:rPr>
        <w:t>закотвяне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сезонната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устойчиви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кариерни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траектории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Препоръчително</w:t>
      </w:r>
      <w:proofErr w:type="spellEnd"/>
      <w:r w:rsidRPr="006A7F3D">
        <w:rPr>
          <w:rFonts w:ascii="Times New Roman" w:hAnsi="Times New Roman" w:cs="Times New Roman"/>
          <w:sz w:val="24"/>
          <w:szCs w:val="24"/>
          <w:lang w:val="en-GB"/>
        </w:rPr>
        <w:t xml:space="preserve"> е </w:t>
      </w:r>
      <w:proofErr w:type="spellStart"/>
      <w:r w:rsidRPr="006A7F3D">
        <w:rPr>
          <w:rFonts w:ascii="Times New Roman" w:hAnsi="Times New Roman" w:cs="Times New Roman"/>
          <w:sz w:val="24"/>
          <w:szCs w:val="24"/>
          <w:lang w:val="en-GB"/>
        </w:rPr>
        <w:t>въвеждане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междусезонни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програми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рескилинг</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ъпскилинг</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финансирани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съвместно</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туристически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логистични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работодатели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превръщат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повтарящите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кратки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договори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стъпала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към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квалифицирани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позиции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Разширяването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дуалното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професионално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стандартизираното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наставничество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следва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приоритизира</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контактно-интензивните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въведе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гарантиран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минимум</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учебни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резултати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стимули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последващо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назначаване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Регионите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във</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вътрешността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нуждаят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целеви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пакети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lastRenderedPageBreak/>
        <w:t>дигитални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активен</w:t>
      </w:r>
      <w:proofErr w:type="spellEnd"/>
      <w:r w:rsidRPr="006A7F3D">
        <w:rPr>
          <w:rFonts w:ascii="Times New Roman" w:hAnsi="Times New Roman" w:cs="Times New Roman"/>
          <w:sz w:val="24"/>
          <w:szCs w:val="24"/>
          <w:lang w:val="en-GB"/>
        </w:rPr>
        <w:t xml:space="preserve"> „</w:t>
      </w:r>
      <w:proofErr w:type="gramStart"/>
      <w:r w:rsidRPr="006A7F3D">
        <w:rPr>
          <w:rFonts w:ascii="Times New Roman" w:hAnsi="Times New Roman" w:cs="Times New Roman"/>
          <w:sz w:val="24"/>
          <w:szCs w:val="24"/>
          <w:lang w:val="en-GB"/>
        </w:rPr>
        <w:t>outreach“</w:t>
      </w:r>
      <w:proofErr w:type="gram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които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намалят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информационната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асиметрия</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свържат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младежите</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свободни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места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крайбрежието</w:t>
      </w:r>
      <w:proofErr w:type="spellEnd"/>
      <w:r w:rsidRPr="006A7F3D">
        <w:rPr>
          <w:rFonts w:ascii="Times New Roman" w:hAnsi="Times New Roman" w:cs="Times New Roman"/>
          <w:sz w:val="24"/>
          <w:szCs w:val="24"/>
          <w:lang w:val="en-GB"/>
        </w:rPr>
        <w:t xml:space="preserve"> и в </w:t>
      </w:r>
      <w:proofErr w:type="spellStart"/>
      <w:r w:rsidRPr="006A7F3D">
        <w:rPr>
          <w:rFonts w:ascii="Times New Roman" w:hAnsi="Times New Roman" w:cs="Times New Roman"/>
          <w:sz w:val="24"/>
          <w:szCs w:val="24"/>
          <w:lang w:val="en-GB"/>
        </w:rPr>
        <w:t>развиващи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индустриални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зони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Политиките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жени</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младежи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грижи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трябва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включват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достъпни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детска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грижа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гъвкави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форми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заетост</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ясни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стандарти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редуцират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епизодите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между</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сезоните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Обвързването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публичните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субсидии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първа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самонаемане</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устойчивост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дохода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задържане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ще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повиши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ефективността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разходите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ще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ускори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излизането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от</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групата</w:t>
      </w:r>
      <w:proofErr w:type="spellEnd"/>
      <w:r w:rsidRPr="006A7F3D">
        <w:rPr>
          <w:rFonts w:ascii="Times New Roman" w:hAnsi="Times New Roman" w:cs="Times New Roman"/>
          <w:sz w:val="24"/>
          <w:szCs w:val="24"/>
          <w:lang w:val="en-GB"/>
        </w:rPr>
        <w:t xml:space="preserve"> NEET.</w:t>
      </w:r>
    </w:p>
    <w:p w14:paraId="2FE36DF0" w14:textId="47757DB0" w:rsidR="006A7F3D" w:rsidRPr="006A7F3D" w:rsidRDefault="006A7F3D" w:rsidP="006A7F3D">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Препоръките към</w:t>
      </w:r>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страни</w:t>
      </w:r>
      <w:proofErr w:type="spellEnd"/>
      <w:r w:rsidRPr="006A7F3D">
        <w:rPr>
          <w:rFonts w:ascii="Times New Roman" w:hAnsi="Times New Roman" w:cs="Times New Roman"/>
          <w:sz w:val="24"/>
          <w:szCs w:val="24"/>
          <w:lang w:val="en-GB"/>
        </w:rPr>
        <w:t xml:space="preserve"> </w:t>
      </w:r>
      <w:r>
        <w:rPr>
          <w:rFonts w:ascii="Times New Roman" w:hAnsi="Times New Roman" w:cs="Times New Roman"/>
          <w:sz w:val="24"/>
          <w:szCs w:val="24"/>
        </w:rPr>
        <w:t xml:space="preserve">включват </w:t>
      </w:r>
      <w:proofErr w:type="spellStart"/>
      <w:r w:rsidRPr="006A7F3D">
        <w:rPr>
          <w:rFonts w:ascii="Times New Roman" w:hAnsi="Times New Roman" w:cs="Times New Roman"/>
          <w:sz w:val="24"/>
          <w:szCs w:val="24"/>
          <w:lang w:val="en-GB"/>
        </w:rPr>
        <w:t>ускоряване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прехода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образование</w:t>
      </w:r>
      <w:proofErr w:type="spellEnd"/>
      <w:r w:rsidRPr="006A7F3D">
        <w:rPr>
          <w:rFonts w:ascii="Times New Roman" w:hAnsi="Times New Roman" w:cs="Times New Roman"/>
          <w:sz w:val="24"/>
          <w:szCs w:val="24"/>
          <w:lang w:val="en-GB"/>
        </w:rPr>
        <w:t>–</w:t>
      </w:r>
      <w:proofErr w:type="spellStart"/>
      <w:r w:rsidRPr="006A7F3D">
        <w:rPr>
          <w:rFonts w:ascii="Times New Roman" w:hAnsi="Times New Roman" w:cs="Times New Roman"/>
          <w:sz w:val="24"/>
          <w:szCs w:val="24"/>
          <w:lang w:val="en-GB"/>
        </w:rPr>
        <w:t>работа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качествени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входни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позиции</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вградено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обучение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валидиране</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кратки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сертификационни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пътеки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редуциране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нетните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разходи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участие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чрез</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услуги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за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грижи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мобилност</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жилищна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подкрепа</w:t>
      </w:r>
      <w:proofErr w:type="spellEnd"/>
      <w:r w:rsidRPr="006A7F3D">
        <w:rPr>
          <w:rFonts w:ascii="Times New Roman" w:hAnsi="Times New Roman" w:cs="Times New Roman"/>
          <w:sz w:val="24"/>
          <w:szCs w:val="24"/>
          <w:lang w:val="en-GB"/>
        </w:rPr>
        <w:t xml:space="preserve">; и </w:t>
      </w:r>
      <w:proofErr w:type="spellStart"/>
      <w:r w:rsidRPr="006A7F3D">
        <w:rPr>
          <w:rFonts w:ascii="Times New Roman" w:hAnsi="Times New Roman" w:cs="Times New Roman"/>
          <w:sz w:val="24"/>
          <w:szCs w:val="24"/>
          <w:lang w:val="en-GB"/>
        </w:rPr>
        <w:t>обвързване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финансирането</w:t>
      </w:r>
      <w:proofErr w:type="spellEnd"/>
      <w:r w:rsidRPr="006A7F3D">
        <w:rPr>
          <w:rFonts w:ascii="Times New Roman" w:hAnsi="Times New Roman" w:cs="Times New Roman"/>
          <w:sz w:val="24"/>
          <w:szCs w:val="24"/>
          <w:lang w:val="en-GB"/>
        </w:rPr>
        <w:t xml:space="preserve"> с </w:t>
      </w:r>
      <w:proofErr w:type="spellStart"/>
      <w:r w:rsidRPr="006A7F3D">
        <w:rPr>
          <w:rFonts w:ascii="Times New Roman" w:hAnsi="Times New Roman" w:cs="Times New Roman"/>
          <w:sz w:val="24"/>
          <w:szCs w:val="24"/>
          <w:lang w:val="en-GB"/>
        </w:rPr>
        <w:t>измерими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устойчиви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изходи</w:t>
      </w:r>
      <w:proofErr w:type="spellEnd"/>
      <w:r>
        <w:rPr>
          <w:rFonts w:ascii="Times New Roman" w:hAnsi="Times New Roman" w:cs="Times New Roman"/>
          <w:sz w:val="24"/>
          <w:szCs w:val="24"/>
        </w:rPr>
        <w:t xml:space="preserve">, но конкретното прилагане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тези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насоки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националните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контексти</w:t>
      </w:r>
      <w:proofErr w:type="spellEnd"/>
      <w:r w:rsidRPr="006A7F3D">
        <w:rPr>
          <w:rFonts w:ascii="Times New Roman" w:hAnsi="Times New Roman" w:cs="Times New Roman"/>
          <w:sz w:val="24"/>
          <w:szCs w:val="24"/>
          <w:lang w:val="en-GB"/>
        </w:rPr>
        <w:t xml:space="preserve"> </w:t>
      </w:r>
      <w:r>
        <w:rPr>
          <w:rFonts w:ascii="Times New Roman" w:hAnsi="Times New Roman" w:cs="Times New Roman"/>
          <w:sz w:val="24"/>
          <w:szCs w:val="24"/>
        </w:rPr>
        <w:t xml:space="preserve">има потенциал да </w:t>
      </w:r>
      <w:proofErr w:type="spellStart"/>
      <w:r w:rsidRPr="006A7F3D">
        <w:rPr>
          <w:rFonts w:ascii="Times New Roman" w:hAnsi="Times New Roman" w:cs="Times New Roman"/>
          <w:sz w:val="24"/>
          <w:szCs w:val="24"/>
          <w:lang w:val="en-GB"/>
        </w:rPr>
        <w:t>преведе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благоприятните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пазарни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сигнали</w:t>
      </w:r>
      <w:proofErr w:type="spellEnd"/>
      <w:r w:rsidRPr="006A7F3D">
        <w:rPr>
          <w:rFonts w:ascii="Times New Roman" w:hAnsi="Times New Roman" w:cs="Times New Roman"/>
          <w:sz w:val="24"/>
          <w:szCs w:val="24"/>
          <w:lang w:val="en-GB"/>
        </w:rPr>
        <w:t xml:space="preserve"> в </w:t>
      </w:r>
      <w:proofErr w:type="spellStart"/>
      <w:r w:rsidRPr="006A7F3D">
        <w:rPr>
          <w:rFonts w:ascii="Times New Roman" w:hAnsi="Times New Roman" w:cs="Times New Roman"/>
          <w:sz w:val="24"/>
          <w:szCs w:val="24"/>
          <w:lang w:val="en-GB"/>
        </w:rPr>
        <w:t>трайно</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намаляване</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младежката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трудова</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неактивност</w:t>
      </w:r>
      <w:proofErr w:type="spellEnd"/>
      <w:r w:rsidRPr="006A7F3D">
        <w:rPr>
          <w:rFonts w:ascii="Times New Roman" w:hAnsi="Times New Roman" w:cs="Times New Roman"/>
          <w:sz w:val="24"/>
          <w:szCs w:val="24"/>
          <w:lang w:val="en-GB"/>
        </w:rPr>
        <w:t>.</w:t>
      </w:r>
    </w:p>
    <w:p w14:paraId="348E5A95" w14:textId="77777777" w:rsidR="006A7F3D" w:rsidRPr="006A7F3D" w:rsidRDefault="006A7F3D" w:rsidP="006A7F3D">
      <w:pPr>
        <w:spacing w:line="360" w:lineRule="auto"/>
        <w:ind w:firstLine="708"/>
        <w:jc w:val="both"/>
        <w:rPr>
          <w:rFonts w:ascii="Times New Roman" w:hAnsi="Times New Roman" w:cs="Times New Roman"/>
          <w:sz w:val="24"/>
          <w:szCs w:val="24"/>
        </w:rPr>
      </w:pPr>
    </w:p>
    <w:p w14:paraId="63B32A34" w14:textId="77777777" w:rsidR="006A7F3D" w:rsidRPr="006A7F3D" w:rsidRDefault="006A7F3D" w:rsidP="006A7F3D">
      <w:pPr>
        <w:spacing w:line="360" w:lineRule="auto"/>
        <w:ind w:firstLine="708"/>
        <w:jc w:val="both"/>
        <w:rPr>
          <w:rFonts w:ascii="Times New Roman" w:hAnsi="Times New Roman" w:cs="Times New Roman"/>
          <w:sz w:val="24"/>
          <w:szCs w:val="24"/>
        </w:rPr>
      </w:pPr>
    </w:p>
    <w:p w14:paraId="2BDA5973" w14:textId="77777777" w:rsidR="002672B7" w:rsidRPr="002672B7" w:rsidRDefault="002672B7" w:rsidP="000A495F">
      <w:pPr>
        <w:spacing w:line="360" w:lineRule="auto"/>
        <w:ind w:firstLine="708"/>
        <w:jc w:val="both"/>
        <w:rPr>
          <w:rFonts w:ascii="Times New Roman" w:hAnsi="Times New Roman" w:cs="Times New Roman"/>
          <w:sz w:val="24"/>
          <w:szCs w:val="24"/>
        </w:rPr>
      </w:pPr>
    </w:p>
    <w:p w14:paraId="06F46EA8" w14:textId="77777777" w:rsidR="005C2B62" w:rsidRPr="003E1F48" w:rsidRDefault="005C2B62">
      <w:pPr>
        <w:rPr>
          <w:rFonts w:ascii="Times New Roman" w:hAnsi="Times New Roman" w:cs="Times New Roman"/>
          <w:b/>
          <w:bCs/>
          <w:sz w:val="24"/>
          <w:szCs w:val="24"/>
        </w:rPr>
      </w:pPr>
      <w:r w:rsidRPr="003E1F48">
        <w:rPr>
          <w:rFonts w:ascii="Times New Roman" w:hAnsi="Times New Roman" w:cs="Times New Roman"/>
          <w:b/>
          <w:bCs/>
          <w:sz w:val="24"/>
          <w:szCs w:val="24"/>
        </w:rPr>
        <w:br w:type="page"/>
      </w:r>
    </w:p>
    <w:p w14:paraId="02F53B3E" w14:textId="55C1CD79" w:rsidR="00C02E88" w:rsidRPr="003E1F48" w:rsidRDefault="00C02E88" w:rsidP="005C2B62">
      <w:pPr>
        <w:spacing w:line="360" w:lineRule="auto"/>
        <w:ind w:firstLine="708"/>
        <w:jc w:val="center"/>
        <w:rPr>
          <w:rFonts w:ascii="Times New Roman" w:hAnsi="Times New Roman" w:cs="Times New Roman"/>
          <w:sz w:val="24"/>
          <w:szCs w:val="24"/>
        </w:rPr>
      </w:pPr>
      <w:r w:rsidRPr="003E1F48">
        <w:rPr>
          <w:rFonts w:ascii="Times New Roman" w:hAnsi="Times New Roman" w:cs="Times New Roman"/>
          <w:b/>
          <w:bCs/>
          <w:sz w:val="24"/>
          <w:szCs w:val="24"/>
        </w:rPr>
        <w:lastRenderedPageBreak/>
        <w:t>Библиография</w:t>
      </w:r>
    </w:p>
    <w:p w14:paraId="5F1CD296" w14:textId="77777777" w:rsidR="006A7F3D" w:rsidRDefault="006A7F3D" w:rsidP="006A7F3D">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Агенция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заетостта</w:t>
      </w:r>
      <w:proofErr w:type="spellEnd"/>
      <w:r w:rsidRPr="009276DF">
        <w:rPr>
          <w:rFonts w:ascii="Times New Roman" w:hAnsi="Times New Roman" w:cs="Times New Roman"/>
          <w:sz w:val="24"/>
          <w:szCs w:val="24"/>
          <w:lang w:val="en-GB"/>
        </w:rPr>
        <w:t>. (</w:t>
      </w:r>
      <w:proofErr w:type="spellStart"/>
      <w:r w:rsidRPr="009276DF">
        <w:rPr>
          <w:rFonts w:ascii="Times New Roman" w:hAnsi="Times New Roman" w:cs="Times New Roman"/>
          <w:sz w:val="24"/>
          <w:szCs w:val="24"/>
          <w:lang w:val="en-GB"/>
        </w:rPr>
        <w:t>н.д</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i/>
          <w:iCs/>
          <w:sz w:val="24"/>
          <w:szCs w:val="24"/>
          <w:lang w:val="en-GB"/>
        </w:rPr>
        <w:t>Компонент</w:t>
      </w:r>
      <w:proofErr w:type="spellEnd"/>
      <w:r w:rsidRPr="009276DF">
        <w:rPr>
          <w:rFonts w:ascii="Times New Roman" w:hAnsi="Times New Roman" w:cs="Times New Roman"/>
          <w:i/>
          <w:iCs/>
          <w:sz w:val="24"/>
          <w:szCs w:val="24"/>
          <w:lang w:val="en-GB"/>
        </w:rPr>
        <w:t xml:space="preserve"> 2: </w:t>
      </w:r>
      <w:proofErr w:type="spellStart"/>
      <w:r w:rsidRPr="009276DF">
        <w:rPr>
          <w:rFonts w:ascii="Times New Roman" w:hAnsi="Times New Roman" w:cs="Times New Roman"/>
          <w:i/>
          <w:iCs/>
          <w:sz w:val="24"/>
          <w:szCs w:val="24"/>
          <w:lang w:val="en-GB"/>
        </w:rPr>
        <w:t>Обучения</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w:t>
      </w:r>
      <w:proofErr w:type="spellEnd"/>
      <w:r w:rsidRPr="009276DF">
        <w:rPr>
          <w:rFonts w:ascii="Times New Roman" w:hAnsi="Times New Roman" w:cs="Times New Roman"/>
          <w:i/>
          <w:iCs/>
          <w:sz w:val="24"/>
          <w:szCs w:val="24"/>
          <w:lang w:val="en-GB"/>
        </w:rPr>
        <w:t xml:space="preserve"> DI-GI </w:t>
      </w:r>
      <w:proofErr w:type="spellStart"/>
      <w:r w:rsidRPr="009276DF">
        <w:rPr>
          <w:rFonts w:ascii="Times New Roman" w:hAnsi="Times New Roman" w:cs="Times New Roman"/>
          <w:i/>
          <w:iCs/>
          <w:sz w:val="24"/>
          <w:szCs w:val="24"/>
          <w:lang w:val="en-GB"/>
        </w:rPr>
        <w:t>умения</w:t>
      </w:r>
      <w:proofErr w:type="spellEnd"/>
      <w:r w:rsidRPr="009276DF">
        <w:rPr>
          <w:rFonts w:ascii="Times New Roman" w:hAnsi="Times New Roman" w:cs="Times New Roman"/>
          <w:i/>
          <w:iCs/>
          <w:sz w:val="24"/>
          <w:szCs w:val="24"/>
          <w:lang w:val="en-GB"/>
        </w:rPr>
        <w:t xml:space="preserve"> и </w:t>
      </w:r>
      <w:proofErr w:type="spellStart"/>
      <w:r w:rsidRPr="009276DF">
        <w:rPr>
          <w:rFonts w:ascii="Times New Roman" w:hAnsi="Times New Roman" w:cs="Times New Roman"/>
          <w:i/>
          <w:iCs/>
          <w:sz w:val="24"/>
          <w:szCs w:val="24"/>
          <w:lang w:val="en-GB"/>
        </w:rPr>
        <w:t>компетенции</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обучение</w:t>
      </w:r>
      <w:proofErr w:type="spellEnd"/>
      <w:r w:rsidRPr="009276DF">
        <w:rPr>
          <w:rFonts w:ascii="Times New Roman" w:hAnsi="Times New Roman" w:cs="Times New Roman"/>
          <w:i/>
          <w:iCs/>
          <w:sz w:val="24"/>
          <w:szCs w:val="24"/>
          <w:lang w:val="en-GB"/>
        </w:rPr>
        <w:t xml:space="preserve"> с </w:t>
      </w:r>
      <w:proofErr w:type="spellStart"/>
      <w:r w:rsidRPr="009276DF">
        <w:rPr>
          <w:rFonts w:ascii="Times New Roman" w:hAnsi="Times New Roman" w:cs="Times New Roman"/>
          <w:i/>
          <w:iCs/>
          <w:sz w:val="24"/>
          <w:szCs w:val="24"/>
          <w:lang w:val="en-GB"/>
        </w:rPr>
        <w:t>ваучери</w:t>
      </w:r>
      <w:proofErr w:type="spellEnd"/>
      <w:r w:rsidRPr="009276DF">
        <w:rPr>
          <w:rFonts w:ascii="Times New Roman" w:hAnsi="Times New Roman" w:cs="Times New Roman"/>
          <w:i/>
          <w:iCs/>
          <w:sz w:val="24"/>
          <w:szCs w:val="24"/>
          <w:lang w:val="en-GB"/>
        </w:rPr>
        <w:t>)</w:t>
      </w:r>
      <w:r w:rsidRPr="009276DF">
        <w:rPr>
          <w:rFonts w:ascii="Times New Roman" w:hAnsi="Times New Roman" w:cs="Times New Roman"/>
          <w:sz w:val="24"/>
          <w:szCs w:val="24"/>
          <w:lang w:val="en-GB"/>
        </w:rPr>
        <w:t xml:space="preserve">. </w:t>
      </w:r>
      <w:hyperlink r:id="rId16" w:history="1">
        <w:r w:rsidRPr="009276DF">
          <w:rPr>
            <w:rStyle w:val="Hyperlink"/>
            <w:rFonts w:ascii="Times New Roman" w:hAnsi="Times New Roman" w:cs="Times New Roman"/>
            <w:sz w:val="24"/>
            <w:szCs w:val="24"/>
            <w:lang w:val="en-GB"/>
          </w:rPr>
          <w:t>https://az.government.bg/pages/komponent-2-obuchenija-za-di-gi-umenija-i-kompetencii/</w:t>
        </w:r>
      </w:hyperlink>
    </w:p>
    <w:p w14:paraId="6FC79B68" w14:textId="77777777" w:rsidR="006A7F3D" w:rsidRDefault="006A7F3D" w:rsidP="006A7F3D">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Европейска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комисия</w:t>
      </w:r>
      <w:proofErr w:type="spellEnd"/>
      <w:r w:rsidRPr="009276DF">
        <w:rPr>
          <w:rFonts w:ascii="Times New Roman" w:hAnsi="Times New Roman" w:cs="Times New Roman"/>
          <w:sz w:val="24"/>
          <w:szCs w:val="24"/>
          <w:lang w:val="en-GB"/>
        </w:rPr>
        <w:t>. (</w:t>
      </w:r>
      <w:proofErr w:type="spellStart"/>
      <w:r w:rsidRPr="009276DF">
        <w:rPr>
          <w:rFonts w:ascii="Times New Roman" w:hAnsi="Times New Roman" w:cs="Times New Roman"/>
          <w:sz w:val="24"/>
          <w:szCs w:val="24"/>
          <w:lang w:val="en-GB"/>
        </w:rPr>
        <w:t>н.д</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i/>
          <w:iCs/>
          <w:sz w:val="24"/>
          <w:szCs w:val="24"/>
          <w:lang w:val="en-GB"/>
        </w:rPr>
        <w:t>План</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възстановяването</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на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Европа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NextGenerationEU</w:t>
      </w:r>
      <w:proofErr w:type="spellEnd"/>
      <w:r w:rsidRPr="009276DF">
        <w:rPr>
          <w:rFonts w:ascii="Times New Roman" w:hAnsi="Times New Roman" w:cs="Times New Roman"/>
          <w:i/>
          <w:iCs/>
          <w:sz w:val="24"/>
          <w:szCs w:val="24"/>
          <w:lang w:val="en-GB"/>
        </w:rPr>
        <w:t>)</w:t>
      </w:r>
      <w:r w:rsidRPr="009276DF">
        <w:rPr>
          <w:rFonts w:ascii="Times New Roman" w:hAnsi="Times New Roman" w:cs="Times New Roman"/>
          <w:sz w:val="24"/>
          <w:szCs w:val="24"/>
          <w:lang w:val="en-GB"/>
        </w:rPr>
        <w:t xml:space="preserve">. </w:t>
      </w:r>
      <w:hyperlink r:id="rId17" w:history="1">
        <w:r w:rsidRPr="009276DF">
          <w:rPr>
            <w:rStyle w:val="Hyperlink"/>
            <w:rFonts w:ascii="Times New Roman" w:hAnsi="Times New Roman" w:cs="Times New Roman"/>
            <w:sz w:val="24"/>
            <w:szCs w:val="24"/>
            <w:lang w:val="en-GB"/>
          </w:rPr>
          <w:t>https://commission.europa.eu/strategy-and-policy/recovery-plan-europe_bg</w:t>
        </w:r>
      </w:hyperlink>
    </w:p>
    <w:p w14:paraId="57A1D998" w14:textId="77777777" w:rsidR="006A7F3D" w:rsidRDefault="006A7F3D" w:rsidP="006A7F3D">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Министерство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труда</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социалната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политика</w:t>
      </w:r>
      <w:proofErr w:type="spellEnd"/>
      <w:r w:rsidRPr="009276DF">
        <w:rPr>
          <w:rFonts w:ascii="Times New Roman" w:hAnsi="Times New Roman" w:cs="Times New Roman"/>
          <w:sz w:val="24"/>
          <w:szCs w:val="24"/>
          <w:lang w:val="en-GB"/>
        </w:rPr>
        <w:t>. (</w:t>
      </w:r>
      <w:proofErr w:type="spellStart"/>
      <w:r w:rsidRPr="009276DF">
        <w:rPr>
          <w:rFonts w:ascii="Times New Roman" w:hAnsi="Times New Roman" w:cs="Times New Roman"/>
          <w:sz w:val="24"/>
          <w:szCs w:val="24"/>
          <w:lang w:val="en-GB"/>
        </w:rPr>
        <w:t>н.д</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i/>
          <w:iCs/>
          <w:sz w:val="24"/>
          <w:szCs w:val="24"/>
          <w:lang w:val="en-GB"/>
        </w:rPr>
        <w:t>Гаранция</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младежта</w:t>
      </w:r>
      <w:proofErr w:type="spellEnd"/>
      <w:r w:rsidRPr="009276DF">
        <w:rPr>
          <w:rFonts w:ascii="Times New Roman" w:hAnsi="Times New Roman" w:cs="Times New Roman"/>
          <w:i/>
          <w:iCs/>
          <w:sz w:val="24"/>
          <w:szCs w:val="24"/>
          <w:lang w:val="en-GB"/>
        </w:rPr>
        <w:t xml:space="preserve"> – </w:t>
      </w:r>
      <w:proofErr w:type="spellStart"/>
      <w:r w:rsidRPr="009276DF">
        <w:rPr>
          <w:rFonts w:ascii="Times New Roman" w:hAnsi="Times New Roman" w:cs="Times New Roman"/>
          <w:i/>
          <w:iCs/>
          <w:sz w:val="24"/>
          <w:szCs w:val="24"/>
          <w:lang w:val="en-GB"/>
        </w:rPr>
        <w:t>официален</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портал</w:t>
      </w:r>
      <w:proofErr w:type="spellEnd"/>
      <w:r w:rsidRPr="009276DF">
        <w:rPr>
          <w:rFonts w:ascii="Times New Roman" w:hAnsi="Times New Roman" w:cs="Times New Roman"/>
          <w:sz w:val="24"/>
          <w:szCs w:val="24"/>
          <w:lang w:val="en-GB"/>
        </w:rPr>
        <w:t xml:space="preserve">. </w:t>
      </w:r>
      <w:hyperlink r:id="rId18" w:history="1">
        <w:r w:rsidRPr="009276DF">
          <w:rPr>
            <w:rStyle w:val="Hyperlink"/>
            <w:rFonts w:ascii="Times New Roman" w:hAnsi="Times New Roman" w:cs="Times New Roman"/>
            <w:sz w:val="24"/>
            <w:szCs w:val="24"/>
            <w:lang w:val="en-GB"/>
          </w:rPr>
          <w:t>https://yg.mlsp.government.bg/</w:t>
        </w:r>
      </w:hyperlink>
    </w:p>
    <w:p w14:paraId="77257CF3" w14:textId="77777777" w:rsidR="006A7F3D" w:rsidRDefault="006A7F3D" w:rsidP="006A7F3D">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Народно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събрание</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Република</w:t>
      </w:r>
      <w:proofErr w:type="spellEnd"/>
      <w:r w:rsidRPr="009276DF">
        <w:rPr>
          <w:rFonts w:ascii="Times New Roman" w:hAnsi="Times New Roman" w:cs="Times New Roman"/>
          <w:sz w:val="24"/>
          <w:szCs w:val="24"/>
          <w:lang w:val="en-GB"/>
        </w:rPr>
        <w:t xml:space="preserve"> България. (2001/</w:t>
      </w:r>
      <w:proofErr w:type="spellStart"/>
      <w:r w:rsidRPr="009276DF">
        <w:rPr>
          <w:rFonts w:ascii="Times New Roman" w:hAnsi="Times New Roman" w:cs="Times New Roman"/>
          <w:sz w:val="24"/>
          <w:szCs w:val="24"/>
          <w:lang w:val="en-GB"/>
        </w:rPr>
        <w:t>посл</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i/>
          <w:iCs/>
          <w:sz w:val="24"/>
          <w:szCs w:val="24"/>
          <w:lang w:val="en-GB"/>
        </w:rPr>
        <w:t>Закон</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насърчаване</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на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заетостта</w:t>
      </w:r>
      <w:proofErr w:type="spellEnd"/>
      <w:r w:rsidRPr="009276DF">
        <w:rPr>
          <w:rFonts w:ascii="Times New Roman" w:hAnsi="Times New Roman" w:cs="Times New Roman"/>
          <w:sz w:val="24"/>
          <w:szCs w:val="24"/>
          <w:lang w:val="en-GB"/>
        </w:rPr>
        <w:t xml:space="preserve">. </w:t>
      </w:r>
      <w:hyperlink r:id="rId19" w:history="1">
        <w:r w:rsidRPr="009276DF">
          <w:rPr>
            <w:rStyle w:val="Hyperlink"/>
            <w:rFonts w:ascii="Times New Roman" w:hAnsi="Times New Roman" w:cs="Times New Roman"/>
            <w:sz w:val="24"/>
            <w:szCs w:val="24"/>
            <w:lang w:val="en-GB"/>
          </w:rPr>
          <w:t>https://lex.bg/laws/ldoc/-12262909</w:t>
        </w:r>
      </w:hyperlink>
    </w:p>
    <w:p w14:paraId="74376338"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Национален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статистически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институт</w:t>
      </w:r>
      <w:proofErr w:type="spellEnd"/>
      <w:r w:rsidRPr="006A7F3D">
        <w:rPr>
          <w:rFonts w:ascii="Times New Roman" w:hAnsi="Times New Roman" w:cs="Times New Roman"/>
          <w:sz w:val="24"/>
          <w:szCs w:val="24"/>
          <w:lang w:val="en-GB"/>
        </w:rPr>
        <w:t xml:space="preserve">. (2025a). </w:t>
      </w:r>
      <w:r w:rsidRPr="006A7F3D">
        <w:rPr>
          <w:rFonts w:ascii="Times New Roman" w:hAnsi="Times New Roman" w:cs="Times New Roman"/>
          <w:i/>
          <w:iCs/>
          <w:sz w:val="24"/>
          <w:szCs w:val="24"/>
          <w:lang w:val="en-GB"/>
        </w:rPr>
        <w:t>ХИПЦ</w:t>
      </w:r>
      <w:r w:rsidRPr="006A7F3D">
        <w:rPr>
          <w:rFonts w:ascii="Times New Roman" w:hAnsi="Times New Roman" w:cs="Times New Roman"/>
          <w:sz w:val="24"/>
          <w:szCs w:val="24"/>
          <w:lang w:val="en-GB"/>
        </w:rPr>
        <w:t>. Infostat.nsi.bg. https://infostat.nsi.bg/infostat/pages/reports/result.jsf?x_2=858</w:t>
      </w:r>
    </w:p>
    <w:p w14:paraId="0BE65FB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Национален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статистически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институт</w:t>
      </w:r>
      <w:proofErr w:type="spellEnd"/>
      <w:r w:rsidRPr="006A7F3D">
        <w:rPr>
          <w:rFonts w:ascii="Times New Roman" w:hAnsi="Times New Roman" w:cs="Times New Roman"/>
          <w:sz w:val="24"/>
          <w:szCs w:val="24"/>
          <w:lang w:val="en-GB"/>
        </w:rPr>
        <w:t xml:space="preserve">. (2025b). </w:t>
      </w:r>
      <w:proofErr w:type="spellStart"/>
      <w:r w:rsidRPr="006A7F3D">
        <w:rPr>
          <w:rFonts w:ascii="Times New Roman" w:hAnsi="Times New Roman" w:cs="Times New Roman"/>
          <w:i/>
          <w:iCs/>
          <w:sz w:val="24"/>
          <w:szCs w:val="24"/>
          <w:lang w:val="en-GB"/>
        </w:rPr>
        <w:t>Средна</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работна</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заплата</w:t>
      </w:r>
      <w:proofErr w:type="spellEnd"/>
      <w:r w:rsidRPr="006A7F3D">
        <w:rPr>
          <w:rFonts w:ascii="Times New Roman" w:hAnsi="Times New Roman" w:cs="Times New Roman"/>
          <w:sz w:val="24"/>
          <w:szCs w:val="24"/>
          <w:lang w:val="en-GB"/>
        </w:rPr>
        <w:t xml:space="preserve">. НСИ - </w:t>
      </w:r>
      <w:proofErr w:type="spellStart"/>
      <w:r w:rsidRPr="006A7F3D">
        <w:rPr>
          <w:rFonts w:ascii="Times New Roman" w:hAnsi="Times New Roman" w:cs="Times New Roman"/>
          <w:sz w:val="24"/>
          <w:szCs w:val="24"/>
          <w:lang w:val="en-GB"/>
        </w:rPr>
        <w:t>Национален</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статистически</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институт</w:t>
      </w:r>
      <w:proofErr w:type="spellEnd"/>
      <w:r w:rsidRPr="006A7F3D">
        <w:rPr>
          <w:rFonts w:ascii="Times New Roman" w:hAnsi="Times New Roman" w:cs="Times New Roman"/>
          <w:sz w:val="24"/>
          <w:szCs w:val="24"/>
          <w:lang w:val="en-GB"/>
        </w:rPr>
        <w:t>. https://www.nsi.bg/statistical-data/179</w:t>
      </w:r>
    </w:p>
    <w:p w14:paraId="1FF3D45E" w14:textId="77777777" w:rsidR="006A7F3D" w:rsidRDefault="006A7F3D" w:rsidP="006A7F3D">
      <w:pPr>
        <w:spacing w:line="360" w:lineRule="auto"/>
        <w:ind w:firstLine="708"/>
        <w:jc w:val="both"/>
        <w:rPr>
          <w:rFonts w:ascii="Times New Roman" w:hAnsi="Times New Roman" w:cs="Times New Roman"/>
          <w:sz w:val="24"/>
          <w:szCs w:val="24"/>
        </w:rPr>
      </w:pPr>
      <w:proofErr w:type="spellStart"/>
      <w:r w:rsidRPr="009276DF">
        <w:rPr>
          <w:rFonts w:ascii="Times New Roman" w:hAnsi="Times New Roman" w:cs="Times New Roman"/>
          <w:sz w:val="24"/>
          <w:szCs w:val="24"/>
          <w:lang w:val="en-GB"/>
        </w:rPr>
        <w:t>Национална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агенция</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за</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професионално</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образование</w:t>
      </w:r>
      <w:proofErr w:type="spellEnd"/>
      <w:r w:rsidRPr="009276DF">
        <w:rPr>
          <w:rFonts w:ascii="Times New Roman" w:hAnsi="Times New Roman" w:cs="Times New Roman"/>
          <w:sz w:val="24"/>
          <w:szCs w:val="24"/>
          <w:lang w:val="en-GB"/>
        </w:rPr>
        <w:t xml:space="preserve"> и </w:t>
      </w:r>
      <w:proofErr w:type="spellStart"/>
      <w:r w:rsidRPr="009276DF">
        <w:rPr>
          <w:rFonts w:ascii="Times New Roman" w:hAnsi="Times New Roman" w:cs="Times New Roman"/>
          <w:sz w:val="24"/>
          <w:szCs w:val="24"/>
          <w:lang w:val="en-GB"/>
        </w:rPr>
        <w:t>обучение</w:t>
      </w:r>
      <w:proofErr w:type="spellEnd"/>
      <w:r w:rsidRPr="009276DF">
        <w:rPr>
          <w:rFonts w:ascii="Times New Roman" w:hAnsi="Times New Roman" w:cs="Times New Roman"/>
          <w:sz w:val="24"/>
          <w:szCs w:val="24"/>
          <w:lang w:val="en-GB"/>
        </w:rPr>
        <w:t xml:space="preserve"> (НАПОО). (2016/</w:t>
      </w:r>
      <w:proofErr w:type="spellStart"/>
      <w:r w:rsidRPr="009276DF">
        <w:rPr>
          <w:rFonts w:ascii="Times New Roman" w:hAnsi="Times New Roman" w:cs="Times New Roman"/>
          <w:sz w:val="24"/>
          <w:szCs w:val="24"/>
          <w:lang w:val="en-GB"/>
        </w:rPr>
        <w:t>посл</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изм</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i/>
          <w:iCs/>
          <w:sz w:val="24"/>
          <w:szCs w:val="24"/>
          <w:lang w:val="en-GB"/>
        </w:rPr>
        <w:t>Закон</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за</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професионалното</w:t>
      </w:r>
      <w:proofErr w:type="spellEnd"/>
      <w:r w:rsidRPr="009276DF">
        <w:rPr>
          <w:rFonts w:ascii="Times New Roman" w:hAnsi="Times New Roman" w:cs="Times New Roman"/>
          <w:i/>
          <w:iCs/>
          <w:sz w:val="24"/>
          <w:szCs w:val="24"/>
          <w:lang w:val="en-GB"/>
        </w:rPr>
        <w:t xml:space="preserve"> </w:t>
      </w:r>
      <w:proofErr w:type="spellStart"/>
      <w:r w:rsidRPr="009276DF">
        <w:rPr>
          <w:rFonts w:ascii="Times New Roman" w:hAnsi="Times New Roman" w:cs="Times New Roman"/>
          <w:i/>
          <w:iCs/>
          <w:sz w:val="24"/>
          <w:szCs w:val="24"/>
          <w:lang w:val="en-GB"/>
        </w:rPr>
        <w:t>образование</w:t>
      </w:r>
      <w:proofErr w:type="spellEnd"/>
      <w:r w:rsidRPr="009276DF">
        <w:rPr>
          <w:rFonts w:ascii="Times New Roman" w:hAnsi="Times New Roman" w:cs="Times New Roman"/>
          <w:i/>
          <w:iCs/>
          <w:sz w:val="24"/>
          <w:szCs w:val="24"/>
          <w:lang w:val="en-GB"/>
        </w:rPr>
        <w:t xml:space="preserve"> и </w:t>
      </w:r>
      <w:proofErr w:type="spellStart"/>
      <w:r w:rsidRPr="009276DF">
        <w:rPr>
          <w:rFonts w:ascii="Times New Roman" w:hAnsi="Times New Roman" w:cs="Times New Roman"/>
          <w:i/>
          <w:iCs/>
          <w:sz w:val="24"/>
          <w:szCs w:val="24"/>
          <w:lang w:val="en-GB"/>
        </w:rPr>
        <w:t>обучение</w:t>
      </w:r>
      <w:proofErr w:type="spellEnd"/>
      <w:r w:rsidRPr="009276DF">
        <w:rPr>
          <w:rFonts w:ascii="Times New Roman" w:hAnsi="Times New Roman" w:cs="Times New Roman"/>
          <w:sz w:val="24"/>
          <w:szCs w:val="24"/>
          <w:lang w:val="en-GB"/>
        </w:rPr>
        <w:t xml:space="preserve">. </w:t>
      </w:r>
      <w:hyperlink r:id="rId20" w:history="1">
        <w:r w:rsidRPr="009276DF">
          <w:rPr>
            <w:rStyle w:val="Hyperlink"/>
            <w:rFonts w:ascii="Times New Roman" w:hAnsi="Times New Roman" w:cs="Times New Roman"/>
            <w:sz w:val="24"/>
            <w:szCs w:val="24"/>
            <w:lang w:val="en-GB"/>
          </w:rPr>
          <w:t>https://www.navet.government.bg/bg/media/ZPOO-2018.pdf</w:t>
        </w:r>
      </w:hyperlink>
    </w:p>
    <w:p w14:paraId="2CEE81C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A European approach to micro-credentials</w:t>
      </w:r>
      <w:r w:rsidRPr="006A7F3D">
        <w:rPr>
          <w:rFonts w:ascii="Times New Roman" w:hAnsi="Times New Roman" w:cs="Times New Roman"/>
          <w:sz w:val="24"/>
          <w:szCs w:val="24"/>
          <w:lang w:val="en-GB"/>
        </w:rPr>
        <w:t>. (2024a, December 19). Https://Education.ec.europa.eu/Education-Levels/Higher-Education/Micro-Credentials?Utm_source=Chatgpt.com. https://education.ec.europa.eu/education-levels/higher-education/micro-credentials?utm</w:t>
      </w:r>
    </w:p>
    <w:p w14:paraId="54F5BE2E"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A European approach to micro-credentials</w:t>
      </w:r>
      <w:r w:rsidRPr="006A7F3D">
        <w:rPr>
          <w:rFonts w:ascii="Times New Roman" w:hAnsi="Times New Roman" w:cs="Times New Roman"/>
          <w:sz w:val="24"/>
          <w:szCs w:val="24"/>
          <w:lang w:val="en-GB"/>
        </w:rPr>
        <w:t>. (2024b, December 19). Https://Education.ec.europa.eu/Education-Levels/Higher-Education/Micro-Credentials?Utm_source=Chatgpt.com. https://education.ec.europa.eu/education-levels/higher-education/micro-credentials?utm</w:t>
      </w:r>
    </w:p>
    <w:p w14:paraId="728DD37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lastRenderedPageBreak/>
        <w:t>A European approach to micro-credentials</w:t>
      </w:r>
      <w:r w:rsidRPr="006A7F3D">
        <w:rPr>
          <w:rFonts w:ascii="Times New Roman" w:hAnsi="Times New Roman" w:cs="Times New Roman"/>
          <w:sz w:val="24"/>
          <w:szCs w:val="24"/>
          <w:lang w:val="en-GB"/>
        </w:rPr>
        <w:t>. (2024c, December 19). Https://Education.ec.europa.eu/Education-Levels/Higher-Education/Micro-Credentials?Utm_source=Chatgpt.com. https://education.ec.europa.eu/education-levels/higher-education/micro-credentials?utm</w:t>
      </w:r>
    </w:p>
    <w:p w14:paraId="45F62D2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Amini, A. F., &amp; </w:t>
      </w:r>
      <w:proofErr w:type="spellStart"/>
      <w:r w:rsidRPr="006A7F3D">
        <w:rPr>
          <w:rFonts w:ascii="Times New Roman" w:hAnsi="Times New Roman" w:cs="Times New Roman"/>
          <w:sz w:val="24"/>
          <w:szCs w:val="24"/>
          <w:lang w:val="en-GB"/>
        </w:rPr>
        <w:t>Aditina</w:t>
      </w:r>
      <w:proofErr w:type="spellEnd"/>
      <w:r w:rsidRPr="006A7F3D">
        <w:rPr>
          <w:rFonts w:ascii="Times New Roman" w:hAnsi="Times New Roman" w:cs="Times New Roman"/>
          <w:sz w:val="24"/>
          <w:szCs w:val="24"/>
          <w:lang w:val="en-GB"/>
        </w:rPr>
        <w:t xml:space="preserve">, N. (2024). Youth Not in Employment, Education or Training (NEET): Evidence from National Labor Force Survey 2018. </w:t>
      </w:r>
      <w:r w:rsidRPr="006A7F3D">
        <w:rPr>
          <w:rFonts w:ascii="Times New Roman" w:hAnsi="Times New Roman" w:cs="Times New Roman"/>
          <w:i/>
          <w:iCs/>
          <w:sz w:val="24"/>
          <w:szCs w:val="24"/>
          <w:lang w:val="en-GB"/>
        </w:rPr>
        <w:t>SRIWIJAYA INTERNATIONAL JOURNAL of DYNAMIC ECONOMICS and BUSINESS</w:t>
      </w:r>
      <w:r w:rsidRPr="006A7F3D">
        <w:rPr>
          <w:rFonts w:ascii="Times New Roman" w:hAnsi="Times New Roman" w:cs="Times New Roman"/>
          <w:sz w:val="24"/>
          <w:szCs w:val="24"/>
          <w:lang w:val="en-GB"/>
        </w:rPr>
        <w:t>, 159–182. https://doi.org/10.29259/sijdeb.v8i2.159-182</w:t>
      </w:r>
    </w:p>
    <w:p w14:paraId="102F48E7"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BDO Netherlands. (2025, July 1). </w:t>
      </w:r>
      <w:r w:rsidRPr="00AF1FCB">
        <w:rPr>
          <w:rFonts w:ascii="Times New Roman" w:hAnsi="Times New Roman" w:cs="Times New Roman"/>
          <w:i/>
          <w:iCs/>
          <w:sz w:val="24"/>
          <w:szCs w:val="24"/>
        </w:rPr>
        <w:t>The Energy Performance of Buildings Directive (EPBD): What it means for businesses and the built environment</w:t>
      </w:r>
      <w:r w:rsidRPr="00AF1FCB">
        <w:rPr>
          <w:rFonts w:ascii="Times New Roman" w:hAnsi="Times New Roman" w:cs="Times New Roman"/>
          <w:sz w:val="24"/>
          <w:szCs w:val="24"/>
        </w:rPr>
        <w:t xml:space="preserve">. </w:t>
      </w:r>
      <w:hyperlink r:id="rId21" w:history="1">
        <w:r w:rsidRPr="00AF1FCB">
          <w:rPr>
            <w:rStyle w:val="Hyperlink"/>
            <w:rFonts w:ascii="Times New Roman" w:hAnsi="Times New Roman" w:cs="Times New Roman"/>
            <w:sz w:val="24"/>
            <w:szCs w:val="24"/>
          </w:rPr>
          <w:t>https://www.bdo.nl/en-gb/insights/the-energy-performance-of-buildings-directive-%28epbd%29-what-it-means-for-businesses-and-the-built-env</w:t>
        </w:r>
      </w:hyperlink>
      <w:r w:rsidRPr="00AF1FCB">
        <w:rPr>
          <w:rFonts w:ascii="Times New Roman" w:hAnsi="Times New Roman" w:cs="Times New Roman"/>
          <w:sz w:val="24"/>
          <w:szCs w:val="24"/>
        </w:rPr>
        <w:t xml:space="preserve"> (</w:t>
      </w:r>
      <w:hyperlink r:id="rId22" w:tooltip="The Energy Performance of Buildings Directive (EPBD)" w:history="1">
        <w:r w:rsidRPr="00AF1FCB">
          <w:rPr>
            <w:rStyle w:val="Hyperlink"/>
            <w:rFonts w:ascii="Times New Roman" w:hAnsi="Times New Roman" w:cs="Times New Roman"/>
            <w:sz w:val="24"/>
            <w:szCs w:val="24"/>
          </w:rPr>
          <w:t>bdo.nl</w:t>
        </w:r>
      </w:hyperlink>
      <w:r w:rsidRPr="00AF1FCB">
        <w:rPr>
          <w:rFonts w:ascii="Times New Roman" w:hAnsi="Times New Roman" w:cs="Times New Roman"/>
          <w:sz w:val="24"/>
          <w:szCs w:val="24"/>
        </w:rPr>
        <w:t>)</w:t>
      </w:r>
    </w:p>
    <w:p w14:paraId="010C7294" w14:textId="77777777" w:rsidR="006A7F3D" w:rsidRPr="00213DF3"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Carnet / e-</w:t>
      </w:r>
      <w:proofErr w:type="spellStart"/>
      <w:r w:rsidRPr="00213DF3">
        <w:rPr>
          <w:rFonts w:ascii="Times New Roman" w:hAnsi="Times New Roman" w:cs="Times New Roman"/>
          <w:sz w:val="24"/>
          <w:szCs w:val="24"/>
          <w:lang w:val="en-GB"/>
        </w:rPr>
        <w:t>Škole</w:t>
      </w:r>
      <w:proofErr w:type="spellEnd"/>
      <w:r w:rsidRPr="00213DF3">
        <w:rPr>
          <w:rFonts w:ascii="Times New Roman" w:hAnsi="Times New Roman" w:cs="Times New Roman"/>
          <w:sz w:val="24"/>
          <w:szCs w:val="24"/>
          <w:lang w:val="en-GB"/>
        </w:rPr>
        <w:t xml:space="preserve">. (n.d.). </w:t>
      </w:r>
      <w:r w:rsidRPr="00213DF3">
        <w:rPr>
          <w:rFonts w:ascii="Times New Roman" w:hAnsi="Times New Roman" w:cs="Times New Roman"/>
          <w:i/>
          <w:iCs/>
          <w:sz w:val="24"/>
          <w:szCs w:val="24"/>
          <w:lang w:val="en-GB"/>
        </w:rPr>
        <w:t>E-Schools programme — Project description</w:t>
      </w:r>
      <w:r w:rsidRPr="00213DF3">
        <w:rPr>
          <w:rFonts w:ascii="Times New Roman" w:hAnsi="Times New Roman" w:cs="Times New Roman"/>
          <w:sz w:val="24"/>
          <w:szCs w:val="24"/>
          <w:lang w:val="en-GB"/>
        </w:rPr>
        <w:t>. https://pilot.e-skole.hr/en/e-schools/project-description/</w:t>
      </w:r>
    </w:p>
    <w:p w14:paraId="55945522" w14:textId="77777777" w:rsidR="006A7F3D" w:rsidRDefault="006A7F3D" w:rsidP="009276DF">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CEDEFOP. (2015). </w:t>
      </w:r>
      <w:r w:rsidRPr="009276DF">
        <w:rPr>
          <w:rFonts w:ascii="Times New Roman" w:hAnsi="Times New Roman" w:cs="Times New Roman"/>
          <w:i/>
          <w:iCs/>
          <w:sz w:val="24"/>
          <w:szCs w:val="24"/>
          <w:lang w:val="en-GB"/>
        </w:rPr>
        <w:t>Legal framework for the implementation of dual VET (Bulgaria)</w:t>
      </w:r>
      <w:r w:rsidRPr="009276DF">
        <w:rPr>
          <w:rFonts w:ascii="Times New Roman" w:hAnsi="Times New Roman" w:cs="Times New Roman"/>
          <w:sz w:val="24"/>
          <w:szCs w:val="24"/>
          <w:lang w:val="en-GB"/>
        </w:rPr>
        <w:t xml:space="preserve">. </w:t>
      </w:r>
      <w:hyperlink r:id="rId23" w:tgtFrame="_new" w:history="1">
        <w:r w:rsidRPr="009276DF">
          <w:rPr>
            <w:rStyle w:val="Hyperlink"/>
            <w:rFonts w:ascii="Times New Roman" w:hAnsi="Times New Roman" w:cs="Times New Roman"/>
            <w:sz w:val="24"/>
            <w:szCs w:val="24"/>
            <w:lang w:val="en-GB"/>
          </w:rPr>
          <w:t>https://www.cedefop.europa.eu/en/tools/timeline-vet-policies-europe/search/28045</w:t>
        </w:r>
      </w:hyperlink>
    </w:p>
    <w:p w14:paraId="3692CA20" w14:textId="77777777" w:rsidR="006A7F3D" w:rsidRDefault="006A7F3D" w:rsidP="00213DF3">
      <w:pPr>
        <w:spacing w:line="360" w:lineRule="auto"/>
        <w:ind w:firstLine="708"/>
        <w:jc w:val="both"/>
        <w:rPr>
          <w:rFonts w:ascii="Times New Roman" w:hAnsi="Times New Roman" w:cs="Times New Roman"/>
          <w:sz w:val="24"/>
          <w:szCs w:val="24"/>
        </w:rPr>
      </w:pPr>
      <w:proofErr w:type="spellStart"/>
      <w:r w:rsidRPr="00213DF3">
        <w:rPr>
          <w:rFonts w:ascii="Times New Roman" w:hAnsi="Times New Roman" w:cs="Times New Roman"/>
          <w:sz w:val="24"/>
          <w:szCs w:val="24"/>
          <w:lang w:val="en-GB"/>
        </w:rPr>
        <w:t>Cedefop</w:t>
      </w:r>
      <w:proofErr w:type="spellEnd"/>
      <w:r w:rsidRPr="00213DF3">
        <w:rPr>
          <w:rFonts w:ascii="Times New Roman" w:hAnsi="Times New Roman" w:cs="Times New Roman"/>
          <w:sz w:val="24"/>
          <w:szCs w:val="24"/>
          <w:lang w:val="en-GB"/>
        </w:rPr>
        <w:t xml:space="preserve">. (2024). </w:t>
      </w:r>
      <w:r w:rsidRPr="00213DF3">
        <w:rPr>
          <w:rFonts w:ascii="Times New Roman" w:hAnsi="Times New Roman" w:cs="Times New Roman"/>
          <w:i/>
          <w:iCs/>
          <w:sz w:val="24"/>
          <w:szCs w:val="24"/>
          <w:lang w:val="en-GB"/>
        </w:rPr>
        <w:t>Vocational education and training in Europe: Netherlands (VET in Europe)</w:t>
      </w:r>
      <w:r w:rsidRPr="00213DF3">
        <w:rPr>
          <w:rFonts w:ascii="Times New Roman" w:hAnsi="Times New Roman" w:cs="Times New Roman"/>
          <w:sz w:val="24"/>
          <w:szCs w:val="24"/>
          <w:lang w:val="en-GB"/>
        </w:rPr>
        <w:t xml:space="preserve">. </w:t>
      </w:r>
      <w:hyperlink r:id="rId24" w:history="1">
        <w:r w:rsidRPr="007A6FEC">
          <w:rPr>
            <w:rStyle w:val="Hyperlink"/>
            <w:rFonts w:ascii="Times New Roman" w:hAnsi="Times New Roman" w:cs="Times New Roman"/>
            <w:sz w:val="24"/>
            <w:szCs w:val="24"/>
            <w:lang w:val="en-GB"/>
          </w:rPr>
          <w:t>https://www.cedefop.europa.eu/en/tools/vet-in-europe/systems/netherlands-u3</w:t>
        </w:r>
      </w:hyperlink>
    </w:p>
    <w:p w14:paraId="38610B96" w14:textId="77777777" w:rsidR="006A7F3D" w:rsidRPr="00213DF3"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CEDEFOP. (2024, May 17). </w:t>
      </w:r>
      <w:r w:rsidRPr="009276DF">
        <w:rPr>
          <w:rFonts w:ascii="Times New Roman" w:hAnsi="Times New Roman" w:cs="Times New Roman"/>
          <w:i/>
          <w:iCs/>
          <w:sz w:val="24"/>
          <w:szCs w:val="24"/>
          <w:lang w:val="en-GB"/>
        </w:rPr>
        <w:t>Bulgaria: A new VET Act amendment further modernises VET</w:t>
      </w:r>
      <w:r w:rsidRPr="009276DF">
        <w:rPr>
          <w:rFonts w:ascii="Times New Roman" w:hAnsi="Times New Roman" w:cs="Times New Roman"/>
          <w:sz w:val="24"/>
          <w:szCs w:val="24"/>
          <w:lang w:val="en-GB"/>
        </w:rPr>
        <w:t xml:space="preserve">. </w:t>
      </w:r>
      <w:hyperlink r:id="rId25" w:history="1">
        <w:r w:rsidRPr="009276DF">
          <w:rPr>
            <w:rStyle w:val="Hyperlink"/>
            <w:rFonts w:ascii="Times New Roman" w:hAnsi="Times New Roman" w:cs="Times New Roman"/>
            <w:sz w:val="24"/>
            <w:szCs w:val="24"/>
            <w:lang w:val="en-GB"/>
          </w:rPr>
          <w:t>https://www.cedefop.europa.eu/en/news/bulgaria-new-vet-act-amendment-further-modernises-vet</w:t>
        </w:r>
      </w:hyperlink>
    </w:p>
    <w:p w14:paraId="7E064AC9" w14:textId="77777777" w:rsidR="006A7F3D" w:rsidRDefault="006A7F3D" w:rsidP="009276DF">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CEDEFOP. (</w:t>
      </w:r>
      <w:proofErr w:type="spellStart"/>
      <w:r w:rsidRPr="009276DF">
        <w:rPr>
          <w:rFonts w:ascii="Times New Roman" w:hAnsi="Times New Roman" w:cs="Times New Roman"/>
          <w:sz w:val="24"/>
          <w:szCs w:val="24"/>
          <w:lang w:val="en-GB"/>
        </w:rPr>
        <w:t>н.д</w:t>
      </w:r>
      <w:proofErr w:type="spellEnd"/>
      <w:r w:rsidRPr="009276DF">
        <w:rPr>
          <w:rFonts w:ascii="Times New Roman" w:hAnsi="Times New Roman" w:cs="Times New Roman"/>
          <w:sz w:val="24"/>
          <w:szCs w:val="24"/>
          <w:lang w:val="en-GB"/>
        </w:rPr>
        <w:t xml:space="preserve">.). </w:t>
      </w:r>
      <w:r w:rsidRPr="009276DF">
        <w:rPr>
          <w:rFonts w:ascii="Times New Roman" w:hAnsi="Times New Roman" w:cs="Times New Roman"/>
          <w:i/>
          <w:iCs/>
          <w:sz w:val="24"/>
          <w:szCs w:val="24"/>
          <w:lang w:val="en-GB"/>
        </w:rPr>
        <w:t>Apprenticeship schemes: Country fiche – Bulgaria</w:t>
      </w:r>
      <w:r w:rsidRPr="009276DF">
        <w:rPr>
          <w:rFonts w:ascii="Times New Roman" w:hAnsi="Times New Roman" w:cs="Times New Roman"/>
          <w:sz w:val="24"/>
          <w:szCs w:val="24"/>
          <w:lang w:val="en-GB"/>
        </w:rPr>
        <w:t xml:space="preserve">. </w:t>
      </w:r>
      <w:hyperlink r:id="rId26" w:history="1">
        <w:r w:rsidRPr="009276DF">
          <w:rPr>
            <w:rStyle w:val="Hyperlink"/>
            <w:rFonts w:ascii="Times New Roman" w:hAnsi="Times New Roman" w:cs="Times New Roman"/>
            <w:sz w:val="24"/>
            <w:szCs w:val="24"/>
            <w:lang w:val="en-GB"/>
          </w:rPr>
          <w:t>https://www.cedefop.europa.eu/en/tools/apprenticeship-schemes/country-fiches/bulgaria</w:t>
        </w:r>
      </w:hyperlink>
    </w:p>
    <w:p w14:paraId="5270044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Chen, Y.-W. (2010). Once a NEET always a NEET? Experiences of employment and unemployment among youth in a job training programme in Taiwan. </w:t>
      </w:r>
      <w:r w:rsidRPr="006A7F3D">
        <w:rPr>
          <w:rFonts w:ascii="Times New Roman" w:hAnsi="Times New Roman" w:cs="Times New Roman"/>
          <w:i/>
          <w:iCs/>
          <w:sz w:val="24"/>
          <w:szCs w:val="24"/>
          <w:lang w:val="en-GB"/>
        </w:rPr>
        <w:t>International Journal of Social Welfare</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20</w:t>
      </w:r>
      <w:r w:rsidRPr="006A7F3D">
        <w:rPr>
          <w:rFonts w:ascii="Times New Roman" w:hAnsi="Times New Roman" w:cs="Times New Roman"/>
          <w:sz w:val="24"/>
          <w:szCs w:val="24"/>
          <w:lang w:val="en-GB"/>
        </w:rPr>
        <w:t>(1), 33–42. https://doi.org/10.1111/j.1468-2397.2009.00711.x</w:t>
      </w:r>
    </w:p>
    <w:p w14:paraId="2E619414" w14:textId="77777777" w:rsidR="006A7F3D" w:rsidRPr="003E1F48"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lastRenderedPageBreak/>
        <w:t xml:space="preserve">Circle Economy. (2020). </w:t>
      </w:r>
      <w:r w:rsidRPr="00AF1FCB">
        <w:rPr>
          <w:rFonts w:ascii="Times New Roman" w:hAnsi="Times New Roman" w:cs="Times New Roman"/>
          <w:i/>
          <w:iCs/>
          <w:sz w:val="24"/>
          <w:szCs w:val="24"/>
        </w:rPr>
        <w:t>Circularity Gap Report—The Netherlands</w:t>
      </w:r>
      <w:r w:rsidRPr="00AF1FCB">
        <w:rPr>
          <w:rFonts w:ascii="Times New Roman" w:hAnsi="Times New Roman" w:cs="Times New Roman"/>
          <w:sz w:val="24"/>
          <w:szCs w:val="24"/>
        </w:rPr>
        <w:t xml:space="preserve">. </w:t>
      </w:r>
      <w:hyperlink r:id="rId27" w:history="1">
        <w:r w:rsidRPr="00AF1FCB">
          <w:rPr>
            <w:rStyle w:val="Hyperlink"/>
            <w:rFonts w:ascii="Times New Roman" w:hAnsi="Times New Roman" w:cs="Times New Roman"/>
            <w:sz w:val="24"/>
            <w:szCs w:val="24"/>
          </w:rPr>
          <w:t>https://hollandcircularhotspot.nl/wp-content/uploads/2020/06/Circularity-Gap-Report-Netherlands.pdf</w:t>
        </w:r>
      </w:hyperlink>
      <w:r w:rsidRPr="00AF1FCB">
        <w:rPr>
          <w:rFonts w:ascii="Times New Roman" w:hAnsi="Times New Roman" w:cs="Times New Roman"/>
          <w:sz w:val="24"/>
          <w:szCs w:val="24"/>
        </w:rPr>
        <w:t xml:space="preserve"> (</w:t>
      </w:r>
      <w:hyperlink r:id="rId28" w:tooltip="Circularity-Gap-Report-Netherlands.pdf" w:history="1">
        <w:r w:rsidRPr="00AF1FCB">
          <w:rPr>
            <w:rStyle w:val="Hyperlink"/>
            <w:rFonts w:ascii="Times New Roman" w:hAnsi="Times New Roman" w:cs="Times New Roman"/>
            <w:sz w:val="24"/>
            <w:szCs w:val="24"/>
          </w:rPr>
          <w:t>hollandcircularhotspot.nl</w:t>
        </w:r>
      </w:hyperlink>
      <w:r w:rsidRPr="00AF1FCB">
        <w:rPr>
          <w:rFonts w:ascii="Times New Roman" w:hAnsi="Times New Roman" w:cs="Times New Roman"/>
          <w:sz w:val="24"/>
          <w:szCs w:val="24"/>
        </w:rPr>
        <w:t>)</w:t>
      </w:r>
    </w:p>
    <w:p w14:paraId="707A8D24"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Council of the European Union. (2020, October 30). </w:t>
      </w:r>
      <w:r w:rsidRPr="009C30C5">
        <w:rPr>
          <w:rFonts w:ascii="Times New Roman" w:hAnsi="Times New Roman" w:cs="Times New Roman"/>
          <w:i/>
          <w:iCs/>
          <w:sz w:val="24"/>
          <w:szCs w:val="24"/>
          <w:lang w:val="en-GB"/>
        </w:rPr>
        <w:t>Council Recommendation on “A Bridge to Jobs” – Reinforcing the Youth Guarantee</w:t>
      </w:r>
      <w:r w:rsidRPr="009C30C5">
        <w:rPr>
          <w:rFonts w:ascii="Times New Roman" w:hAnsi="Times New Roman" w:cs="Times New Roman"/>
          <w:sz w:val="24"/>
          <w:szCs w:val="24"/>
          <w:lang w:val="en-GB"/>
        </w:rPr>
        <w:t xml:space="preserve"> (2020/C 372/01). https://eur-lex.europa.eu/legal-content/EN/TXT/?uri=oj%3AJOC_2020_372_R_0001</w:t>
      </w:r>
    </w:p>
    <w:p w14:paraId="2885A207"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Croatian Employment Service. (2023). </w:t>
      </w:r>
      <w:r w:rsidRPr="00213DF3">
        <w:rPr>
          <w:rFonts w:ascii="Times New Roman" w:hAnsi="Times New Roman" w:cs="Times New Roman"/>
          <w:i/>
          <w:iCs/>
          <w:sz w:val="24"/>
          <w:szCs w:val="24"/>
          <w:lang w:val="en-GB"/>
        </w:rPr>
        <w:t>Yearbook 2022</w:t>
      </w:r>
      <w:r w:rsidRPr="00213DF3">
        <w:rPr>
          <w:rFonts w:ascii="Times New Roman" w:hAnsi="Times New Roman" w:cs="Times New Roman"/>
          <w:sz w:val="24"/>
          <w:szCs w:val="24"/>
          <w:lang w:val="en-GB"/>
        </w:rPr>
        <w:t xml:space="preserve"> (EN). https://www.hzz.hr/app/uploads/2023/03/2022-YEARBOOK.pdfCedefop. (2023). </w:t>
      </w:r>
      <w:r w:rsidRPr="00213DF3">
        <w:rPr>
          <w:rFonts w:ascii="Times New Roman" w:hAnsi="Times New Roman" w:cs="Times New Roman"/>
          <w:i/>
          <w:iCs/>
          <w:sz w:val="24"/>
          <w:szCs w:val="24"/>
          <w:lang w:val="en-GB"/>
        </w:rPr>
        <w:t>Vocational education and training policy briefs 2023 – Croatia</w:t>
      </w:r>
      <w:r w:rsidRPr="00213DF3">
        <w:rPr>
          <w:rFonts w:ascii="Times New Roman" w:hAnsi="Times New Roman" w:cs="Times New Roman"/>
          <w:sz w:val="24"/>
          <w:szCs w:val="24"/>
          <w:lang w:val="en-GB"/>
        </w:rPr>
        <w:t xml:space="preserve">. </w:t>
      </w:r>
      <w:hyperlink r:id="rId29" w:history="1">
        <w:r w:rsidRPr="00213DF3">
          <w:rPr>
            <w:rStyle w:val="Hyperlink"/>
            <w:rFonts w:ascii="Times New Roman" w:hAnsi="Times New Roman" w:cs="Times New Roman"/>
            <w:sz w:val="24"/>
            <w:szCs w:val="24"/>
            <w:lang w:val="en-GB"/>
          </w:rPr>
          <w:t>https://www.cedefop.europa.eu/en/country-reports/vocational-education-and-training-policy-briefs-2023-croatia</w:t>
        </w:r>
      </w:hyperlink>
    </w:p>
    <w:p w14:paraId="29A5BB70"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Croatian Employment Service. (2024). </w:t>
      </w:r>
      <w:r w:rsidRPr="00213DF3">
        <w:rPr>
          <w:rFonts w:ascii="Times New Roman" w:hAnsi="Times New Roman" w:cs="Times New Roman"/>
          <w:i/>
          <w:iCs/>
          <w:sz w:val="24"/>
          <w:szCs w:val="24"/>
          <w:lang w:val="en-GB"/>
        </w:rPr>
        <w:t>Yearbook 2024</w:t>
      </w:r>
      <w:r w:rsidRPr="00213DF3">
        <w:rPr>
          <w:rFonts w:ascii="Times New Roman" w:hAnsi="Times New Roman" w:cs="Times New Roman"/>
          <w:sz w:val="24"/>
          <w:szCs w:val="24"/>
          <w:lang w:val="en-GB"/>
        </w:rPr>
        <w:t xml:space="preserve"> (EN). </w:t>
      </w:r>
      <w:hyperlink r:id="rId30" w:tgtFrame="_new" w:history="1">
        <w:r w:rsidRPr="00213DF3">
          <w:rPr>
            <w:rStyle w:val="Hyperlink"/>
            <w:rFonts w:ascii="Times New Roman" w:hAnsi="Times New Roman" w:cs="Times New Roman"/>
            <w:sz w:val="24"/>
            <w:szCs w:val="24"/>
            <w:lang w:val="en-GB"/>
          </w:rPr>
          <w:t>https://www.hzz.hr/app/uploads/2023/03/Godisnjak-2024-eng.pdf</w:t>
        </w:r>
      </w:hyperlink>
    </w:p>
    <w:p w14:paraId="561489CF" w14:textId="77777777" w:rsidR="006A7F3D" w:rsidRDefault="006A7F3D" w:rsidP="009276DF">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Digital Skills &amp; Jobs Platform. (2023, June 14). </w:t>
      </w:r>
      <w:r w:rsidRPr="009276DF">
        <w:rPr>
          <w:rFonts w:ascii="Times New Roman" w:hAnsi="Times New Roman" w:cs="Times New Roman"/>
          <w:i/>
          <w:iCs/>
          <w:sz w:val="24"/>
          <w:szCs w:val="24"/>
          <w:lang w:val="en-GB"/>
        </w:rPr>
        <w:t>Available funding in Bulgaria</w:t>
      </w:r>
      <w:r w:rsidRPr="009276DF">
        <w:rPr>
          <w:rFonts w:ascii="Times New Roman" w:hAnsi="Times New Roman" w:cs="Times New Roman"/>
          <w:sz w:val="24"/>
          <w:szCs w:val="24"/>
          <w:lang w:val="en-GB"/>
        </w:rPr>
        <w:t xml:space="preserve">. </w:t>
      </w:r>
      <w:hyperlink r:id="rId31" w:tgtFrame="_new" w:history="1">
        <w:r w:rsidRPr="009276DF">
          <w:rPr>
            <w:rStyle w:val="Hyperlink"/>
            <w:rFonts w:ascii="Times New Roman" w:hAnsi="Times New Roman" w:cs="Times New Roman"/>
            <w:sz w:val="24"/>
            <w:szCs w:val="24"/>
            <w:lang w:val="en-GB"/>
          </w:rPr>
          <w:t>https://digital-skills-jobs.europa.eu/en/latest/briefs/available-funding-bulgaria</w:t>
        </w:r>
      </w:hyperlink>
    </w:p>
    <w:p w14:paraId="6CF7A708"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Dorsett, R., &amp; Lucchino, P. (2014). Explaining patterns in the school-to-work transition: An analysis using optimal matching. </w:t>
      </w:r>
      <w:r w:rsidRPr="006A7F3D">
        <w:rPr>
          <w:rFonts w:ascii="Times New Roman" w:hAnsi="Times New Roman" w:cs="Times New Roman"/>
          <w:i/>
          <w:iCs/>
          <w:sz w:val="24"/>
          <w:szCs w:val="24"/>
          <w:lang w:val="en-GB"/>
        </w:rPr>
        <w:t>Advances in Life Course Research</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22</w:t>
      </w:r>
      <w:r w:rsidRPr="006A7F3D">
        <w:rPr>
          <w:rFonts w:ascii="Times New Roman" w:hAnsi="Times New Roman" w:cs="Times New Roman"/>
          <w:sz w:val="24"/>
          <w:szCs w:val="24"/>
          <w:lang w:val="en-GB"/>
        </w:rPr>
        <w:t>, 1–14. https://doi.org/10.1016/j.alcr.2014.07.002</w:t>
      </w:r>
    </w:p>
    <w:p w14:paraId="73CFE021"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Državni</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zavod</w:t>
      </w:r>
      <w:proofErr w:type="spellEnd"/>
      <w:r w:rsidRPr="006A7F3D">
        <w:rPr>
          <w:rFonts w:ascii="Times New Roman" w:hAnsi="Times New Roman" w:cs="Times New Roman"/>
          <w:sz w:val="24"/>
          <w:szCs w:val="24"/>
          <w:lang w:val="en-GB"/>
        </w:rPr>
        <w:t xml:space="preserve"> za </w:t>
      </w:r>
      <w:proofErr w:type="spellStart"/>
      <w:r w:rsidRPr="006A7F3D">
        <w:rPr>
          <w:rFonts w:ascii="Times New Roman" w:hAnsi="Times New Roman" w:cs="Times New Roman"/>
          <w:sz w:val="24"/>
          <w:szCs w:val="24"/>
          <w:lang w:val="en-GB"/>
        </w:rPr>
        <w:t>statistiku</w:t>
      </w:r>
      <w:proofErr w:type="spellEnd"/>
      <w:r w:rsidRPr="006A7F3D">
        <w:rPr>
          <w:rFonts w:ascii="Times New Roman" w:hAnsi="Times New Roman" w:cs="Times New Roman"/>
          <w:sz w:val="24"/>
          <w:szCs w:val="24"/>
          <w:lang w:val="en-GB"/>
        </w:rPr>
        <w:t xml:space="preserve">. (2025). </w:t>
      </w:r>
      <w:r w:rsidRPr="006A7F3D">
        <w:rPr>
          <w:rFonts w:ascii="Times New Roman" w:hAnsi="Times New Roman" w:cs="Times New Roman"/>
          <w:i/>
          <w:iCs/>
          <w:sz w:val="24"/>
          <w:szCs w:val="24"/>
          <w:lang w:val="en-GB"/>
        </w:rPr>
        <w:t xml:space="preserve">STAN-2025-2-1 </w:t>
      </w:r>
      <w:proofErr w:type="spellStart"/>
      <w:r w:rsidRPr="006A7F3D">
        <w:rPr>
          <w:rFonts w:ascii="Times New Roman" w:hAnsi="Times New Roman" w:cs="Times New Roman"/>
          <w:i/>
          <w:iCs/>
          <w:sz w:val="24"/>
          <w:szCs w:val="24"/>
          <w:lang w:val="en-GB"/>
        </w:rPr>
        <w:t>Migracija</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stanovništva</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Republike</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Hrvatske</w:t>
      </w:r>
      <w:proofErr w:type="spellEnd"/>
      <w:r w:rsidRPr="006A7F3D">
        <w:rPr>
          <w:rFonts w:ascii="Times New Roman" w:hAnsi="Times New Roman" w:cs="Times New Roman"/>
          <w:i/>
          <w:iCs/>
          <w:sz w:val="24"/>
          <w:szCs w:val="24"/>
          <w:lang w:val="en-GB"/>
        </w:rPr>
        <w:t xml:space="preserve"> u 2024.</w:t>
      </w:r>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Državni</w:t>
      </w:r>
      <w:proofErr w:type="spellEnd"/>
      <w:r w:rsidRPr="006A7F3D">
        <w:rPr>
          <w:rFonts w:ascii="Times New Roman" w:hAnsi="Times New Roman" w:cs="Times New Roman"/>
          <w:sz w:val="24"/>
          <w:szCs w:val="24"/>
          <w:lang w:val="en-GB"/>
        </w:rPr>
        <w:t xml:space="preserve"> Zavod Za </w:t>
      </w:r>
      <w:proofErr w:type="spellStart"/>
      <w:r w:rsidRPr="006A7F3D">
        <w:rPr>
          <w:rFonts w:ascii="Times New Roman" w:hAnsi="Times New Roman" w:cs="Times New Roman"/>
          <w:sz w:val="24"/>
          <w:szCs w:val="24"/>
          <w:lang w:val="en-GB"/>
        </w:rPr>
        <w:t>Statistiku</w:t>
      </w:r>
      <w:proofErr w:type="spellEnd"/>
      <w:r w:rsidRPr="006A7F3D">
        <w:rPr>
          <w:rFonts w:ascii="Times New Roman" w:hAnsi="Times New Roman" w:cs="Times New Roman"/>
          <w:sz w:val="24"/>
          <w:szCs w:val="24"/>
          <w:lang w:val="en-GB"/>
        </w:rPr>
        <w:t>. https://podaci.dzs.hr/2025/hr/97255</w:t>
      </w:r>
    </w:p>
    <w:p w14:paraId="08D64681"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Duval, R., </w:t>
      </w:r>
      <w:proofErr w:type="spellStart"/>
      <w:r w:rsidRPr="009C30C5">
        <w:rPr>
          <w:rFonts w:ascii="Times New Roman" w:hAnsi="Times New Roman" w:cs="Times New Roman"/>
          <w:sz w:val="24"/>
          <w:szCs w:val="24"/>
          <w:lang w:val="en-GB"/>
        </w:rPr>
        <w:t>Furceri</w:t>
      </w:r>
      <w:proofErr w:type="spellEnd"/>
      <w:r w:rsidRPr="009C30C5">
        <w:rPr>
          <w:rFonts w:ascii="Times New Roman" w:hAnsi="Times New Roman" w:cs="Times New Roman"/>
          <w:sz w:val="24"/>
          <w:szCs w:val="24"/>
          <w:lang w:val="en-GB"/>
        </w:rPr>
        <w:t xml:space="preserve">, D., Hu, B., </w:t>
      </w:r>
      <w:proofErr w:type="spellStart"/>
      <w:r w:rsidRPr="009C30C5">
        <w:rPr>
          <w:rFonts w:ascii="Times New Roman" w:hAnsi="Times New Roman" w:cs="Times New Roman"/>
          <w:sz w:val="24"/>
          <w:szCs w:val="24"/>
          <w:lang w:val="en-GB"/>
        </w:rPr>
        <w:t>Jalles</w:t>
      </w:r>
      <w:proofErr w:type="spellEnd"/>
      <w:r w:rsidRPr="009C30C5">
        <w:rPr>
          <w:rFonts w:ascii="Times New Roman" w:hAnsi="Times New Roman" w:cs="Times New Roman"/>
          <w:sz w:val="24"/>
          <w:szCs w:val="24"/>
          <w:lang w:val="en-GB"/>
        </w:rPr>
        <w:t xml:space="preserve">, J. T., &amp; Nguyen, H. (2022). </w:t>
      </w:r>
      <w:r w:rsidRPr="009C30C5">
        <w:rPr>
          <w:rFonts w:ascii="Times New Roman" w:hAnsi="Times New Roman" w:cs="Times New Roman"/>
          <w:i/>
          <w:iCs/>
          <w:sz w:val="24"/>
          <w:szCs w:val="24"/>
          <w:lang w:val="en-GB"/>
        </w:rPr>
        <w:t>Labor Market Tightness in Advanced Economies</w:t>
      </w:r>
      <w:r w:rsidRPr="009C30C5">
        <w:rPr>
          <w:rFonts w:ascii="Times New Roman" w:hAnsi="Times New Roman" w:cs="Times New Roman"/>
          <w:sz w:val="24"/>
          <w:szCs w:val="24"/>
          <w:lang w:val="en-GB"/>
        </w:rPr>
        <w:t xml:space="preserve"> (IMF Staff Discussion Note 2022/001). International Monetary Fund. https://www.elibrary.imf.org/downloadpdf/view/journals/006/2022/001/006.2022.issue-001-en.pdf</w:t>
      </w:r>
    </w:p>
    <w:p w14:paraId="1F5B87BA"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EACEA / Youth Wiki. (2023). </w:t>
      </w:r>
      <w:r w:rsidRPr="00213DF3">
        <w:rPr>
          <w:rFonts w:ascii="Times New Roman" w:hAnsi="Times New Roman" w:cs="Times New Roman"/>
          <w:i/>
          <w:iCs/>
          <w:sz w:val="24"/>
          <w:szCs w:val="24"/>
          <w:lang w:val="en-GB"/>
        </w:rPr>
        <w:t>1.3 National youth strategy — Croatia</w:t>
      </w:r>
      <w:r w:rsidRPr="00213DF3">
        <w:rPr>
          <w:rFonts w:ascii="Times New Roman" w:hAnsi="Times New Roman" w:cs="Times New Roman"/>
          <w:sz w:val="24"/>
          <w:szCs w:val="24"/>
          <w:lang w:val="en-GB"/>
        </w:rPr>
        <w:t xml:space="preserve"> (National Youth Programme 2023–2025). </w:t>
      </w:r>
      <w:hyperlink r:id="rId32" w:history="1">
        <w:r w:rsidRPr="00213DF3">
          <w:rPr>
            <w:rStyle w:val="Hyperlink"/>
            <w:rFonts w:ascii="Times New Roman" w:hAnsi="Times New Roman" w:cs="Times New Roman"/>
            <w:sz w:val="24"/>
            <w:szCs w:val="24"/>
            <w:lang w:val="en-GB"/>
          </w:rPr>
          <w:t>https://national-policies.eacea.ec.europa.eu/youthwiki/chapters/croatia/13-national-youth-strategy-0</w:t>
        </w:r>
      </w:hyperlink>
    </w:p>
    <w:p w14:paraId="15729B47"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lastRenderedPageBreak/>
        <w:t xml:space="preserve">EACEA / Youth Wiki. (2024, March 27). </w:t>
      </w:r>
      <w:r w:rsidRPr="00213DF3">
        <w:rPr>
          <w:rFonts w:ascii="Times New Roman" w:hAnsi="Times New Roman" w:cs="Times New Roman"/>
          <w:i/>
          <w:iCs/>
          <w:sz w:val="24"/>
          <w:szCs w:val="24"/>
          <w:lang w:val="en-GB"/>
        </w:rPr>
        <w:t>3.6 Integration of young people in the labour market — Croatia</w:t>
      </w:r>
      <w:r w:rsidRPr="00213DF3">
        <w:rPr>
          <w:rFonts w:ascii="Times New Roman" w:hAnsi="Times New Roman" w:cs="Times New Roman"/>
          <w:sz w:val="24"/>
          <w:szCs w:val="24"/>
          <w:lang w:val="en-GB"/>
        </w:rPr>
        <w:t xml:space="preserve">. </w:t>
      </w:r>
      <w:hyperlink r:id="rId33" w:tgtFrame="_new" w:history="1">
        <w:r w:rsidRPr="00213DF3">
          <w:rPr>
            <w:rStyle w:val="Hyperlink"/>
            <w:rFonts w:ascii="Times New Roman" w:hAnsi="Times New Roman" w:cs="Times New Roman"/>
            <w:sz w:val="24"/>
            <w:szCs w:val="24"/>
            <w:lang w:val="en-GB"/>
          </w:rPr>
          <w:t>https://national-policies.eacea.ec.europa.eu/youthwiki/chapters/croatia/36-integration-of-young-people-in-the-labour-market</w:t>
        </w:r>
      </w:hyperlink>
    </w:p>
    <w:p w14:paraId="68BBA8D0"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Education and Training Monitor 2024</w:t>
      </w:r>
      <w:r w:rsidRPr="006A7F3D">
        <w:rPr>
          <w:rFonts w:ascii="Times New Roman" w:hAnsi="Times New Roman" w:cs="Times New Roman"/>
          <w:sz w:val="24"/>
          <w:szCs w:val="24"/>
          <w:lang w:val="en-GB"/>
        </w:rPr>
        <w:t>. (2024). Europa.eu. https://op.europa.eu/webpub/eac/education-and-training-monitor/en/country-reports/croatia.html?utm_source=chatgpt.com</w:t>
      </w:r>
    </w:p>
    <w:p w14:paraId="02483258"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Efficient Buildings Europe. (2025). </w:t>
      </w:r>
      <w:r w:rsidRPr="00AF1FCB">
        <w:rPr>
          <w:rFonts w:ascii="Times New Roman" w:hAnsi="Times New Roman" w:cs="Times New Roman"/>
          <w:i/>
          <w:iCs/>
          <w:sz w:val="24"/>
          <w:szCs w:val="24"/>
        </w:rPr>
        <w:t>Energy Performance of Buildings Directive (EPBD): Implementation guide 2025</w:t>
      </w:r>
      <w:r w:rsidRPr="00AF1FCB">
        <w:rPr>
          <w:rFonts w:ascii="Times New Roman" w:hAnsi="Times New Roman" w:cs="Times New Roman"/>
          <w:sz w:val="24"/>
          <w:szCs w:val="24"/>
        </w:rPr>
        <w:t xml:space="preserve">. </w:t>
      </w:r>
      <w:hyperlink r:id="rId34" w:history="1">
        <w:r w:rsidRPr="00AF1FCB">
          <w:rPr>
            <w:rStyle w:val="Hyperlink"/>
            <w:rFonts w:ascii="Times New Roman" w:hAnsi="Times New Roman" w:cs="Times New Roman"/>
            <w:sz w:val="24"/>
            <w:szCs w:val="24"/>
          </w:rPr>
          <w:t>https://efficientbuildings.eu/wp-content/uploads/2025/10/Efficient-Buildings-Europe-Implementation-Guide-2025_online_V3.pdf</w:t>
        </w:r>
      </w:hyperlink>
      <w:r w:rsidRPr="00AF1FCB">
        <w:rPr>
          <w:rFonts w:ascii="Times New Roman" w:hAnsi="Times New Roman" w:cs="Times New Roman"/>
          <w:sz w:val="24"/>
          <w:szCs w:val="24"/>
        </w:rPr>
        <w:t xml:space="preserve"> (</w:t>
      </w:r>
      <w:hyperlink r:id="rId35" w:tooltip="Energy Performance of Buildings Directive (EPBD)" w:history="1">
        <w:r w:rsidRPr="00AF1FCB">
          <w:rPr>
            <w:rStyle w:val="Hyperlink"/>
            <w:rFonts w:ascii="Times New Roman" w:hAnsi="Times New Roman" w:cs="Times New Roman"/>
            <w:sz w:val="24"/>
            <w:szCs w:val="24"/>
          </w:rPr>
          <w:t>efficientbuildings.eu</w:t>
        </w:r>
      </w:hyperlink>
      <w:r w:rsidRPr="00AF1FCB">
        <w:rPr>
          <w:rFonts w:ascii="Times New Roman" w:hAnsi="Times New Roman" w:cs="Times New Roman"/>
          <w:sz w:val="24"/>
          <w:szCs w:val="24"/>
        </w:rPr>
        <w:t>)</w:t>
      </w:r>
    </w:p>
    <w:p w14:paraId="26C01A56"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e-</w:t>
      </w:r>
      <w:proofErr w:type="spellStart"/>
      <w:r w:rsidRPr="006A7F3D">
        <w:rPr>
          <w:rFonts w:ascii="Times New Roman" w:hAnsi="Times New Roman" w:cs="Times New Roman"/>
          <w:i/>
          <w:iCs/>
          <w:sz w:val="24"/>
          <w:szCs w:val="24"/>
          <w:lang w:val="en-GB"/>
        </w:rPr>
        <w:t>Građani</w:t>
      </w:r>
      <w:proofErr w:type="spellEnd"/>
      <w:r w:rsidRPr="006A7F3D">
        <w:rPr>
          <w:rFonts w:ascii="Times New Roman" w:hAnsi="Times New Roman" w:cs="Times New Roman"/>
          <w:i/>
          <w:iCs/>
          <w:sz w:val="24"/>
          <w:szCs w:val="24"/>
          <w:lang w:val="en-GB"/>
        </w:rPr>
        <w:t xml:space="preserve"> - </w:t>
      </w:r>
      <w:proofErr w:type="spellStart"/>
      <w:r w:rsidRPr="006A7F3D">
        <w:rPr>
          <w:rFonts w:ascii="Times New Roman" w:hAnsi="Times New Roman" w:cs="Times New Roman"/>
          <w:i/>
          <w:iCs/>
          <w:sz w:val="24"/>
          <w:szCs w:val="24"/>
          <w:lang w:val="en-GB"/>
        </w:rPr>
        <w:t>statistika</w:t>
      </w:r>
      <w:proofErr w:type="spellEnd"/>
      <w:r w:rsidRPr="006A7F3D">
        <w:rPr>
          <w:rFonts w:ascii="Times New Roman" w:hAnsi="Times New Roman" w:cs="Times New Roman"/>
          <w:i/>
          <w:iCs/>
          <w:sz w:val="24"/>
          <w:szCs w:val="24"/>
          <w:lang w:val="en-GB"/>
        </w:rPr>
        <w:t xml:space="preserve"> - CKAN</w:t>
      </w:r>
      <w:r w:rsidRPr="006A7F3D">
        <w:rPr>
          <w:rFonts w:ascii="Times New Roman" w:hAnsi="Times New Roman" w:cs="Times New Roman"/>
          <w:sz w:val="24"/>
          <w:szCs w:val="24"/>
          <w:lang w:val="en-GB"/>
        </w:rPr>
        <w:t>. (2025). Data.gov.hr. https://data.gov.hr/ckan/hr/dataset/e-gradjani-statistika?utm</w:t>
      </w:r>
    </w:p>
    <w:p w14:paraId="32BF09D8"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 Staffing. (2025). </w:t>
      </w:r>
      <w:r w:rsidRPr="006A7F3D">
        <w:rPr>
          <w:rFonts w:ascii="Times New Roman" w:hAnsi="Times New Roman" w:cs="Times New Roman"/>
          <w:i/>
          <w:iCs/>
          <w:sz w:val="24"/>
          <w:szCs w:val="24"/>
          <w:lang w:val="en-GB"/>
        </w:rPr>
        <w:t>The Netherlands Average Salary: Detailed Income Insights for 2025</w:t>
      </w:r>
      <w:r w:rsidRPr="006A7F3D">
        <w:rPr>
          <w:rFonts w:ascii="Times New Roman" w:hAnsi="Times New Roman" w:cs="Times New Roman"/>
          <w:sz w:val="24"/>
          <w:szCs w:val="24"/>
          <w:lang w:val="en-GB"/>
        </w:rPr>
        <w:t>. Playroll.com. https://www.playroll.com/blog/the-netherlands-average-salary</w:t>
      </w:r>
    </w:p>
    <w:p w14:paraId="65E98194"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 Staffing. (2025). </w:t>
      </w:r>
      <w:r w:rsidRPr="00AF1FCB">
        <w:rPr>
          <w:rFonts w:ascii="Times New Roman" w:hAnsi="Times New Roman" w:cs="Times New Roman"/>
          <w:i/>
          <w:iCs/>
          <w:sz w:val="24"/>
          <w:szCs w:val="24"/>
        </w:rPr>
        <w:t>The Netherlands average salary: Detailed income insights for 2025</w:t>
      </w:r>
      <w:r w:rsidRPr="00AF1FCB">
        <w:rPr>
          <w:rFonts w:ascii="Times New Roman" w:hAnsi="Times New Roman" w:cs="Times New Roman"/>
          <w:sz w:val="24"/>
          <w:szCs w:val="24"/>
        </w:rPr>
        <w:t xml:space="preserve">. </w:t>
      </w:r>
      <w:hyperlink r:id="rId36" w:history="1">
        <w:r w:rsidRPr="00AF1FCB">
          <w:rPr>
            <w:rStyle w:val="Hyperlink"/>
            <w:rFonts w:ascii="Times New Roman" w:hAnsi="Times New Roman" w:cs="Times New Roman"/>
            <w:sz w:val="24"/>
            <w:szCs w:val="24"/>
          </w:rPr>
          <w:t>https://www.playroll.com/blog/the-netherlands-average-salary</w:t>
        </w:r>
      </w:hyperlink>
    </w:p>
    <w:p w14:paraId="4A1CEA00"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Central Bank. (2021). </w:t>
      </w:r>
      <w:r w:rsidRPr="009C30C5">
        <w:rPr>
          <w:rFonts w:ascii="Times New Roman" w:hAnsi="Times New Roman" w:cs="Times New Roman"/>
          <w:i/>
          <w:iCs/>
          <w:sz w:val="24"/>
          <w:szCs w:val="24"/>
          <w:lang w:val="en-GB"/>
        </w:rPr>
        <w:t>Economic Bulletin, Issue 8/2021.</w:t>
      </w:r>
      <w:r w:rsidRPr="009C30C5">
        <w:rPr>
          <w:rFonts w:ascii="Times New Roman" w:hAnsi="Times New Roman" w:cs="Times New Roman"/>
          <w:sz w:val="24"/>
          <w:szCs w:val="24"/>
          <w:lang w:val="en-GB"/>
        </w:rPr>
        <w:t xml:space="preserve"> https://www.ecb.europa.eu/pub/pdf/ecbu/eb202108.en.pdf</w:t>
      </w:r>
    </w:p>
    <w:p w14:paraId="5249D6A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European Centre for the Development of Professional Training (CEDEFOP). (2020, October 16). </w:t>
      </w:r>
      <w:r w:rsidRPr="006A7F3D">
        <w:rPr>
          <w:rFonts w:ascii="Times New Roman" w:hAnsi="Times New Roman" w:cs="Times New Roman"/>
          <w:i/>
          <w:iCs/>
          <w:sz w:val="24"/>
          <w:szCs w:val="24"/>
          <w:lang w:val="en-GB"/>
        </w:rPr>
        <w:t>Young persons neither in employment nor education or training (NEET)</w:t>
      </w:r>
      <w:r w:rsidRPr="006A7F3D">
        <w:rPr>
          <w:rFonts w:ascii="Times New Roman" w:hAnsi="Times New Roman" w:cs="Times New Roman"/>
          <w:sz w:val="24"/>
          <w:szCs w:val="24"/>
          <w:lang w:val="en-GB"/>
        </w:rPr>
        <w:t>. CEDEFOP. https://www.cedefop.europa.eu/en/tools/skills-intelligence/young-persons-neither-employment-nor-education-or-training-neet</w:t>
      </w:r>
    </w:p>
    <w:p w14:paraId="75BD41B3"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European Commission, DG REGIO. (2020). </w:t>
      </w:r>
      <w:r w:rsidRPr="00213DF3">
        <w:rPr>
          <w:rFonts w:ascii="Times New Roman" w:hAnsi="Times New Roman" w:cs="Times New Roman"/>
          <w:i/>
          <w:iCs/>
          <w:sz w:val="24"/>
          <w:szCs w:val="24"/>
          <w:lang w:val="en-GB"/>
        </w:rPr>
        <w:t>E-schools project – Bringing Croatian schools in the digital era</w:t>
      </w:r>
      <w:r w:rsidRPr="00213DF3">
        <w:rPr>
          <w:rFonts w:ascii="Times New Roman" w:hAnsi="Times New Roman" w:cs="Times New Roman"/>
          <w:sz w:val="24"/>
          <w:szCs w:val="24"/>
          <w:lang w:val="en-GB"/>
        </w:rPr>
        <w:t xml:space="preserve"> (Factsheet). </w:t>
      </w:r>
      <w:hyperlink r:id="rId37" w:history="1">
        <w:r w:rsidRPr="00213DF3">
          <w:rPr>
            <w:rStyle w:val="Hyperlink"/>
            <w:rFonts w:ascii="Times New Roman" w:hAnsi="Times New Roman" w:cs="Times New Roman"/>
            <w:sz w:val="24"/>
            <w:szCs w:val="24"/>
            <w:lang w:val="en-GB"/>
          </w:rPr>
          <w:t>https://ec.europa.eu/regional_policy/information-sources/publications/factsheets/2020/e-schools-project-bringing-croatian-schools-in-the-digital-era_en</w:t>
        </w:r>
      </w:hyperlink>
    </w:p>
    <w:p w14:paraId="788E5939"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lastRenderedPageBreak/>
        <w:t xml:space="preserve">European Commission. (2021). </w:t>
      </w:r>
      <w:r w:rsidRPr="00213DF3">
        <w:rPr>
          <w:rFonts w:ascii="Times New Roman" w:hAnsi="Times New Roman" w:cs="Times New Roman"/>
          <w:i/>
          <w:iCs/>
          <w:sz w:val="24"/>
          <w:szCs w:val="24"/>
          <w:lang w:val="en-GB"/>
        </w:rPr>
        <w:t>Croatia’s recovery and resilience plan – Summary</w:t>
      </w:r>
      <w:r w:rsidRPr="00213DF3">
        <w:rPr>
          <w:rFonts w:ascii="Times New Roman" w:hAnsi="Times New Roman" w:cs="Times New Roman"/>
          <w:sz w:val="24"/>
          <w:szCs w:val="24"/>
          <w:lang w:val="en-GB"/>
        </w:rPr>
        <w:t xml:space="preserve"> (HR_RRP_summary.pdf). </w:t>
      </w:r>
      <w:hyperlink r:id="rId38" w:history="1">
        <w:r w:rsidRPr="00213DF3">
          <w:rPr>
            <w:rStyle w:val="Hyperlink"/>
            <w:rFonts w:ascii="Times New Roman" w:hAnsi="Times New Roman" w:cs="Times New Roman"/>
            <w:sz w:val="24"/>
            <w:szCs w:val="24"/>
            <w:lang w:val="en-GB"/>
          </w:rPr>
          <w:t>https://commission.europa.eu/system/files/2021-10/hr_rrp_summary.pdf</w:t>
        </w:r>
      </w:hyperlink>
    </w:p>
    <w:p w14:paraId="0801E0D0"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Commission. (2021, March 4). </w:t>
      </w:r>
      <w:r w:rsidRPr="009C30C5">
        <w:rPr>
          <w:rFonts w:ascii="Times New Roman" w:hAnsi="Times New Roman" w:cs="Times New Roman"/>
          <w:i/>
          <w:iCs/>
          <w:sz w:val="24"/>
          <w:szCs w:val="24"/>
          <w:lang w:val="en-GB"/>
        </w:rPr>
        <w:t>Commission Recommendation (EU) 2021/402 on an effective active support to employment following the COVID-19 crisis (EASE).</w:t>
      </w:r>
      <w:r w:rsidRPr="009C30C5">
        <w:rPr>
          <w:rFonts w:ascii="Times New Roman" w:hAnsi="Times New Roman" w:cs="Times New Roman"/>
          <w:sz w:val="24"/>
          <w:szCs w:val="24"/>
          <w:lang w:val="en-GB"/>
        </w:rPr>
        <w:t xml:space="preserve"> OJ L 80, 1–8. https://eur-lex.europa.eu/eli/reco/2021/402/oj/eng</w:t>
      </w:r>
    </w:p>
    <w:p w14:paraId="4B1A3DD7"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Commission. (2021, March 4). </w:t>
      </w:r>
      <w:r w:rsidRPr="009C30C5">
        <w:rPr>
          <w:rFonts w:ascii="Times New Roman" w:hAnsi="Times New Roman" w:cs="Times New Roman"/>
          <w:i/>
          <w:iCs/>
          <w:sz w:val="24"/>
          <w:szCs w:val="24"/>
          <w:lang w:val="en-GB"/>
        </w:rPr>
        <w:t>Communication from the Commission: Effective Active Support to Employment (EASE) following the COVID-19 crisis (</w:t>
      </w:r>
      <w:proofErr w:type="gramStart"/>
      <w:r w:rsidRPr="009C30C5">
        <w:rPr>
          <w:rFonts w:ascii="Times New Roman" w:hAnsi="Times New Roman" w:cs="Times New Roman"/>
          <w:i/>
          <w:iCs/>
          <w:sz w:val="24"/>
          <w:szCs w:val="24"/>
          <w:lang w:val="en-GB"/>
        </w:rPr>
        <w:t>COM(</w:t>
      </w:r>
      <w:proofErr w:type="gramEnd"/>
      <w:r w:rsidRPr="009C30C5">
        <w:rPr>
          <w:rFonts w:ascii="Times New Roman" w:hAnsi="Times New Roman" w:cs="Times New Roman"/>
          <w:i/>
          <w:iCs/>
          <w:sz w:val="24"/>
          <w:szCs w:val="24"/>
          <w:lang w:val="en-GB"/>
        </w:rPr>
        <w:t>2021) 102 final).</w:t>
      </w:r>
      <w:r w:rsidRPr="009C30C5">
        <w:rPr>
          <w:rFonts w:ascii="Times New Roman" w:hAnsi="Times New Roman" w:cs="Times New Roman"/>
          <w:sz w:val="24"/>
          <w:szCs w:val="24"/>
          <w:lang w:val="en-GB"/>
        </w:rPr>
        <w:t xml:space="preserve"> https://eur-lex.europa.eu/resource.html?format=PDF&amp;uri=cellar%3Ab7c08d86-7cd5-11eb-9ac9-01aa75ed71a1.0001.02%2FDOC_1</w:t>
      </w:r>
    </w:p>
    <w:p w14:paraId="48C33660"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Commission. (2022). </w:t>
      </w:r>
      <w:r w:rsidRPr="009C30C5">
        <w:rPr>
          <w:rFonts w:ascii="Times New Roman" w:hAnsi="Times New Roman" w:cs="Times New Roman"/>
          <w:i/>
          <w:iCs/>
          <w:sz w:val="24"/>
          <w:szCs w:val="24"/>
          <w:lang w:val="en-GB"/>
        </w:rPr>
        <w:t>Employment and Social Developments in Europe 2022.</w:t>
      </w:r>
      <w:r w:rsidRPr="009C30C5">
        <w:rPr>
          <w:rFonts w:ascii="Times New Roman" w:hAnsi="Times New Roman" w:cs="Times New Roman"/>
          <w:sz w:val="24"/>
          <w:szCs w:val="24"/>
          <w:lang w:val="en-GB"/>
        </w:rPr>
        <w:t xml:space="preserve"> Publications Office of the EU. https://op.europa.eu/webpub/empl/esde-2023/PDFs/KE-BD-22-001-EN-N.pdf</w:t>
      </w:r>
    </w:p>
    <w:p w14:paraId="0409CF7B"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European Commission. (2024). </w:t>
      </w:r>
      <w:r w:rsidRPr="009276DF">
        <w:rPr>
          <w:rFonts w:ascii="Times New Roman" w:hAnsi="Times New Roman" w:cs="Times New Roman"/>
          <w:i/>
          <w:iCs/>
          <w:sz w:val="24"/>
          <w:szCs w:val="24"/>
          <w:lang w:val="en-GB"/>
        </w:rPr>
        <w:t>Education and Training Monitor 2024 — Country report: Netherlands</w:t>
      </w:r>
      <w:r w:rsidRPr="009276DF">
        <w:rPr>
          <w:rFonts w:ascii="Times New Roman" w:hAnsi="Times New Roman" w:cs="Times New Roman"/>
          <w:sz w:val="24"/>
          <w:szCs w:val="24"/>
          <w:lang w:val="en-GB"/>
        </w:rPr>
        <w:t xml:space="preserve">. </w:t>
      </w:r>
      <w:hyperlink r:id="rId39" w:history="1">
        <w:r w:rsidRPr="009276DF">
          <w:rPr>
            <w:rStyle w:val="Hyperlink"/>
            <w:rFonts w:ascii="Times New Roman" w:hAnsi="Times New Roman" w:cs="Times New Roman"/>
            <w:sz w:val="24"/>
            <w:szCs w:val="24"/>
            <w:lang w:val="en-GB"/>
          </w:rPr>
          <w:t>https://op.europa.eu/webpub/eac/education-and-training-monitor/en/country-reports/netherlands.html</w:t>
        </w:r>
      </w:hyperlink>
    </w:p>
    <w:p w14:paraId="0769438E"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European Commission. (2024). </w:t>
      </w:r>
      <w:r w:rsidRPr="006A7F3D">
        <w:rPr>
          <w:rFonts w:ascii="Times New Roman" w:hAnsi="Times New Roman" w:cs="Times New Roman"/>
          <w:i/>
          <w:iCs/>
          <w:sz w:val="24"/>
          <w:szCs w:val="24"/>
          <w:lang w:val="en-GB"/>
        </w:rPr>
        <w:t>Introduction of vouchers for developing green and digital skills</w:t>
      </w:r>
      <w:r w:rsidRPr="006A7F3D">
        <w:rPr>
          <w:rFonts w:ascii="Times New Roman" w:hAnsi="Times New Roman" w:cs="Times New Roman"/>
          <w:sz w:val="24"/>
          <w:szCs w:val="24"/>
          <w:lang w:val="en-GB"/>
        </w:rPr>
        <w:t>. European Commission. https://commission.europa.eu/projects/introduction-vouchers-developing-green-and-digital-skills_en?utm_source=chatgpt.com</w:t>
      </w:r>
    </w:p>
    <w:p w14:paraId="6C5155F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European Commission. (2025a). </w:t>
      </w:r>
      <w:r w:rsidRPr="006A7F3D">
        <w:rPr>
          <w:rFonts w:ascii="Times New Roman" w:hAnsi="Times New Roman" w:cs="Times New Roman"/>
          <w:i/>
          <w:iCs/>
          <w:sz w:val="24"/>
          <w:szCs w:val="24"/>
          <w:lang w:val="en-GB"/>
        </w:rPr>
        <w:t xml:space="preserve">Labour market and wage developments in </w:t>
      </w:r>
      <w:proofErr w:type="gramStart"/>
      <w:r w:rsidRPr="006A7F3D">
        <w:rPr>
          <w:rFonts w:ascii="Times New Roman" w:hAnsi="Times New Roman" w:cs="Times New Roman"/>
          <w:i/>
          <w:iCs/>
          <w:sz w:val="24"/>
          <w:szCs w:val="24"/>
          <w:lang w:val="en-GB"/>
        </w:rPr>
        <w:t xml:space="preserve">Europe </w:t>
      </w:r>
      <w:r w:rsidRPr="006A7F3D">
        <w:rPr>
          <w:rFonts w:ascii="Times New Roman" w:hAnsi="Times New Roman" w:cs="Times New Roman"/>
          <w:sz w:val="24"/>
          <w:szCs w:val="24"/>
          <w:lang w:val="en-GB"/>
        </w:rPr>
        <w:t>.</w:t>
      </w:r>
      <w:proofErr w:type="gramEnd"/>
      <w:r w:rsidRPr="006A7F3D">
        <w:rPr>
          <w:rFonts w:ascii="Times New Roman" w:hAnsi="Times New Roman" w:cs="Times New Roman"/>
          <w:sz w:val="24"/>
          <w:szCs w:val="24"/>
          <w:lang w:val="en-GB"/>
        </w:rPr>
        <w:t xml:space="preserve"> Publications Office of the EU. https://op.europa.eu/en/publication-detail/-/publication/4752398b-a7dc-11f0-a7c5-01aa75ed71a1/language-en</w:t>
      </w:r>
    </w:p>
    <w:p w14:paraId="075B7AC3"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European Commission. (2025b, May 14). </w:t>
      </w:r>
      <w:r w:rsidRPr="006A7F3D">
        <w:rPr>
          <w:rFonts w:ascii="Times New Roman" w:hAnsi="Times New Roman" w:cs="Times New Roman"/>
          <w:i/>
          <w:iCs/>
          <w:sz w:val="24"/>
          <w:szCs w:val="24"/>
          <w:lang w:val="en-GB"/>
        </w:rPr>
        <w:t>Croatia allocates €25 Million for energy renovation to combat energy poverty | BUILD UP</w:t>
      </w:r>
      <w:r w:rsidRPr="006A7F3D">
        <w:rPr>
          <w:rFonts w:ascii="Times New Roman" w:hAnsi="Times New Roman" w:cs="Times New Roman"/>
          <w:sz w:val="24"/>
          <w:szCs w:val="24"/>
          <w:lang w:val="en-GB"/>
        </w:rPr>
        <w:t>. Europa.eu. https://build-up.ec.europa.eu/en/news-and-events/news/croatia-allocates-eu25-million-energy-renovation-combat-energy-poverty?utm</w:t>
      </w:r>
    </w:p>
    <w:p w14:paraId="5B814DE6"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lastRenderedPageBreak/>
        <w:t xml:space="preserve">European Commission. (n.d.). </w:t>
      </w:r>
      <w:r w:rsidRPr="00213DF3">
        <w:rPr>
          <w:rFonts w:ascii="Times New Roman" w:hAnsi="Times New Roman" w:cs="Times New Roman"/>
          <w:i/>
          <w:iCs/>
          <w:sz w:val="24"/>
          <w:szCs w:val="24"/>
          <w:lang w:val="en-GB"/>
        </w:rPr>
        <w:t>Croatia’s Recovery and Resilience Plan</w:t>
      </w:r>
      <w:r w:rsidRPr="00213DF3">
        <w:rPr>
          <w:rFonts w:ascii="Times New Roman" w:hAnsi="Times New Roman" w:cs="Times New Roman"/>
          <w:sz w:val="24"/>
          <w:szCs w:val="24"/>
          <w:lang w:val="en-GB"/>
        </w:rPr>
        <w:t xml:space="preserve">. </w:t>
      </w:r>
      <w:hyperlink r:id="rId40" w:tgtFrame="_new" w:history="1">
        <w:r w:rsidRPr="00213DF3">
          <w:rPr>
            <w:rStyle w:val="Hyperlink"/>
            <w:rFonts w:ascii="Times New Roman" w:hAnsi="Times New Roman" w:cs="Times New Roman"/>
            <w:sz w:val="24"/>
            <w:szCs w:val="24"/>
            <w:lang w:val="en-GB"/>
          </w:rPr>
          <w:t>https://commission.europa.eu/business-economy-euro/economic-recovery/recovery-and-resilience-facility/country-pages/croatias-recovery-and-resilience-plan_en</w:t>
        </w:r>
      </w:hyperlink>
    </w:p>
    <w:p w14:paraId="0A966034"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European Commission. (</w:t>
      </w:r>
      <w:proofErr w:type="spellStart"/>
      <w:r w:rsidRPr="009276DF">
        <w:rPr>
          <w:rFonts w:ascii="Times New Roman" w:hAnsi="Times New Roman" w:cs="Times New Roman"/>
          <w:sz w:val="24"/>
          <w:szCs w:val="24"/>
          <w:lang w:val="en-GB"/>
        </w:rPr>
        <w:t>н.д</w:t>
      </w:r>
      <w:proofErr w:type="spellEnd"/>
      <w:r w:rsidRPr="009276DF">
        <w:rPr>
          <w:rFonts w:ascii="Times New Roman" w:hAnsi="Times New Roman" w:cs="Times New Roman"/>
          <w:sz w:val="24"/>
          <w:szCs w:val="24"/>
          <w:lang w:val="en-GB"/>
        </w:rPr>
        <w:t xml:space="preserve">.). </w:t>
      </w:r>
      <w:r w:rsidRPr="009276DF">
        <w:rPr>
          <w:rFonts w:ascii="Times New Roman" w:hAnsi="Times New Roman" w:cs="Times New Roman"/>
          <w:i/>
          <w:iCs/>
          <w:sz w:val="24"/>
          <w:szCs w:val="24"/>
          <w:lang w:val="en-GB"/>
        </w:rPr>
        <w:t>Bulgaria’s Recovery and Resilience Plan</w:t>
      </w:r>
      <w:r w:rsidRPr="009276DF">
        <w:rPr>
          <w:rFonts w:ascii="Times New Roman" w:hAnsi="Times New Roman" w:cs="Times New Roman"/>
          <w:sz w:val="24"/>
          <w:szCs w:val="24"/>
          <w:lang w:val="en-GB"/>
        </w:rPr>
        <w:t xml:space="preserve">. </w:t>
      </w:r>
      <w:hyperlink r:id="rId41" w:tgtFrame="_new" w:history="1">
        <w:r w:rsidRPr="009276DF">
          <w:rPr>
            <w:rStyle w:val="Hyperlink"/>
            <w:rFonts w:ascii="Times New Roman" w:hAnsi="Times New Roman" w:cs="Times New Roman"/>
            <w:sz w:val="24"/>
            <w:szCs w:val="24"/>
            <w:lang w:val="en-GB"/>
          </w:rPr>
          <w:t>https://commission.europa.eu/business-economy-euro/economic-recovery/recovery-and-resilience-facility/country-pages/bulgarias-recovery-and-resilience-plan_en</w:t>
        </w:r>
      </w:hyperlink>
    </w:p>
    <w:p w14:paraId="45F550B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European Environment Agency. (2025). </w:t>
      </w:r>
      <w:r w:rsidRPr="006A7F3D">
        <w:rPr>
          <w:rFonts w:ascii="Times New Roman" w:hAnsi="Times New Roman" w:cs="Times New Roman"/>
          <w:i/>
          <w:iCs/>
          <w:sz w:val="24"/>
          <w:szCs w:val="24"/>
          <w:lang w:val="en-GB"/>
        </w:rPr>
        <w:t>Waste management country profile with a focus on municipal and packaging waste</w:t>
      </w:r>
      <w:r w:rsidRPr="006A7F3D">
        <w:rPr>
          <w:rFonts w:ascii="Times New Roman" w:hAnsi="Times New Roman" w:cs="Times New Roman"/>
          <w:sz w:val="24"/>
          <w:szCs w:val="24"/>
          <w:lang w:val="en-GB"/>
        </w:rPr>
        <w:t>. https://www.eea.europa.eu/en/topics/in-depth/waste-and-recycling/municipal-and-packaging-waste-management-country-profiles-2025/hr-municipal-waste-factsheet.pdf/%40%40download/file?utm</w:t>
      </w:r>
    </w:p>
    <w:p w14:paraId="6F26E55B"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European Environment Information and Observation Network (Eionet) / ETC-CE. (2024). </w:t>
      </w:r>
      <w:r w:rsidRPr="00AF1FCB">
        <w:rPr>
          <w:rFonts w:ascii="Times New Roman" w:hAnsi="Times New Roman" w:cs="Times New Roman"/>
          <w:i/>
          <w:iCs/>
          <w:sz w:val="24"/>
          <w:szCs w:val="24"/>
        </w:rPr>
        <w:t>Circular economy country profile 2024—The Netherlands</w:t>
      </w:r>
      <w:r w:rsidRPr="00AF1FCB">
        <w:rPr>
          <w:rFonts w:ascii="Times New Roman" w:hAnsi="Times New Roman" w:cs="Times New Roman"/>
          <w:sz w:val="24"/>
          <w:szCs w:val="24"/>
        </w:rPr>
        <w:t xml:space="preserve">. </w:t>
      </w:r>
      <w:hyperlink r:id="rId42" w:history="1">
        <w:r w:rsidRPr="00AF1FCB">
          <w:rPr>
            <w:rStyle w:val="Hyperlink"/>
            <w:rFonts w:ascii="Times New Roman" w:hAnsi="Times New Roman" w:cs="Times New Roman"/>
            <w:sz w:val="24"/>
            <w:szCs w:val="24"/>
          </w:rPr>
          <w:t>https://www.eionet.europa.eu/etcs/etc-ce/netherlands_2024-ce-country-profile_final.pdf</w:t>
        </w:r>
      </w:hyperlink>
      <w:r w:rsidRPr="00AF1FCB">
        <w:rPr>
          <w:rFonts w:ascii="Times New Roman" w:hAnsi="Times New Roman" w:cs="Times New Roman"/>
          <w:sz w:val="24"/>
          <w:szCs w:val="24"/>
        </w:rPr>
        <w:t xml:space="preserve"> (</w:t>
      </w:r>
      <w:hyperlink r:id="rId43" w:tooltip="Circular economy country profile 2024 – The Netherlands" w:history="1">
        <w:r w:rsidRPr="00AF1FCB">
          <w:rPr>
            <w:rStyle w:val="Hyperlink"/>
            <w:rFonts w:ascii="Times New Roman" w:hAnsi="Times New Roman" w:cs="Times New Roman"/>
            <w:sz w:val="24"/>
            <w:szCs w:val="24"/>
          </w:rPr>
          <w:t>Eionet Portal</w:t>
        </w:r>
      </w:hyperlink>
      <w:r w:rsidRPr="00AF1FCB">
        <w:rPr>
          <w:rFonts w:ascii="Times New Roman" w:hAnsi="Times New Roman" w:cs="Times New Roman"/>
          <w:sz w:val="24"/>
          <w:szCs w:val="24"/>
        </w:rPr>
        <w:t>)</w:t>
      </w:r>
    </w:p>
    <w:p w14:paraId="4239C294"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Parliament &amp; Council. (2021, February 12). </w:t>
      </w:r>
      <w:r w:rsidRPr="009C30C5">
        <w:rPr>
          <w:rFonts w:ascii="Times New Roman" w:hAnsi="Times New Roman" w:cs="Times New Roman"/>
          <w:i/>
          <w:iCs/>
          <w:sz w:val="24"/>
          <w:szCs w:val="24"/>
          <w:lang w:val="en-GB"/>
        </w:rPr>
        <w:t>Regulation (EU) 2021/241 establishing the Recovery and Resilience Facility (RRF).</w:t>
      </w:r>
      <w:r w:rsidRPr="009C30C5">
        <w:rPr>
          <w:rFonts w:ascii="Times New Roman" w:hAnsi="Times New Roman" w:cs="Times New Roman"/>
          <w:sz w:val="24"/>
          <w:szCs w:val="24"/>
          <w:lang w:val="en-GB"/>
        </w:rPr>
        <w:t xml:space="preserve"> https://eur-lex.europa.eu/eli/reg/2021/241/2024-03-01/eng</w:t>
      </w:r>
    </w:p>
    <w:p w14:paraId="3CEA7E9C" w14:textId="77777777" w:rsidR="006A7F3D" w:rsidRPr="009C30C5" w:rsidRDefault="006A7F3D" w:rsidP="009C30C5">
      <w:pPr>
        <w:spacing w:line="360" w:lineRule="auto"/>
        <w:ind w:firstLine="708"/>
        <w:jc w:val="both"/>
        <w:rPr>
          <w:rFonts w:ascii="Times New Roman" w:hAnsi="Times New Roman" w:cs="Times New Roman"/>
          <w:sz w:val="24"/>
          <w:szCs w:val="24"/>
          <w:lang w:val="en-GB"/>
        </w:rPr>
      </w:pPr>
      <w:r w:rsidRPr="009C30C5">
        <w:rPr>
          <w:rFonts w:ascii="Times New Roman" w:hAnsi="Times New Roman" w:cs="Times New Roman"/>
          <w:sz w:val="24"/>
          <w:szCs w:val="24"/>
          <w:lang w:val="en-GB"/>
        </w:rPr>
        <w:t xml:space="preserve">European Parliament &amp; Council. (2021, June 24). </w:t>
      </w:r>
      <w:r w:rsidRPr="009C30C5">
        <w:rPr>
          <w:rFonts w:ascii="Times New Roman" w:hAnsi="Times New Roman" w:cs="Times New Roman"/>
          <w:i/>
          <w:iCs/>
          <w:sz w:val="24"/>
          <w:szCs w:val="24"/>
          <w:lang w:val="en-GB"/>
        </w:rPr>
        <w:t>Regulation (EU) 2021/1057 establishing the European Social Fund Plus (ESF+).</w:t>
      </w:r>
      <w:r w:rsidRPr="009C30C5">
        <w:rPr>
          <w:rFonts w:ascii="Times New Roman" w:hAnsi="Times New Roman" w:cs="Times New Roman"/>
          <w:sz w:val="24"/>
          <w:szCs w:val="24"/>
          <w:lang w:val="en-GB"/>
        </w:rPr>
        <w:t xml:space="preserve"> https://eur-lex.europa.eu/eli/reg/2021/1057/oj/eng</w:t>
      </w:r>
    </w:p>
    <w:p w14:paraId="0B07EE28"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European Parliament, EPRS. (2024). </w:t>
      </w:r>
      <w:r w:rsidRPr="00AF1FCB">
        <w:rPr>
          <w:rFonts w:ascii="Times New Roman" w:hAnsi="Times New Roman" w:cs="Times New Roman"/>
          <w:i/>
          <w:iCs/>
          <w:sz w:val="24"/>
          <w:szCs w:val="24"/>
        </w:rPr>
        <w:t>The Netherlands’ climate action strategy</w:t>
      </w:r>
      <w:r w:rsidRPr="00AF1FCB">
        <w:rPr>
          <w:rFonts w:ascii="Times New Roman" w:hAnsi="Times New Roman" w:cs="Times New Roman"/>
          <w:sz w:val="24"/>
          <w:szCs w:val="24"/>
        </w:rPr>
        <w:t xml:space="preserve"> (Briefing). </w:t>
      </w:r>
      <w:r w:rsidRPr="00AF1FCB">
        <w:rPr>
          <w:rFonts w:ascii="Times New Roman" w:hAnsi="Times New Roman" w:cs="Times New Roman"/>
          <w:sz w:val="24"/>
          <w:szCs w:val="24"/>
        </w:rPr>
        <w:fldChar w:fldCharType="begin"/>
      </w:r>
      <w:r w:rsidRPr="00AF1FCB">
        <w:rPr>
          <w:rFonts w:ascii="Times New Roman" w:hAnsi="Times New Roman" w:cs="Times New Roman"/>
          <w:sz w:val="24"/>
          <w:szCs w:val="24"/>
        </w:rPr>
        <w:instrText>HYPERLINK "https://www.europarl.europa.eu/RegData/etudes/BRIE/2024/767176/EPRS_BRI%282024%29767176_EN.pdf"</w:instrText>
      </w:r>
      <w:r w:rsidRPr="00AF1FCB">
        <w:rPr>
          <w:rFonts w:ascii="Times New Roman" w:hAnsi="Times New Roman" w:cs="Times New Roman"/>
          <w:sz w:val="24"/>
          <w:szCs w:val="24"/>
        </w:rPr>
      </w:r>
      <w:r w:rsidRPr="00AF1FCB">
        <w:rPr>
          <w:rFonts w:ascii="Times New Roman" w:hAnsi="Times New Roman" w:cs="Times New Roman"/>
          <w:sz w:val="24"/>
          <w:szCs w:val="24"/>
        </w:rPr>
        <w:fldChar w:fldCharType="separate"/>
      </w:r>
      <w:r w:rsidRPr="00AF1FCB">
        <w:rPr>
          <w:rStyle w:val="Hyperlink"/>
          <w:rFonts w:ascii="Times New Roman" w:hAnsi="Times New Roman" w:cs="Times New Roman"/>
          <w:sz w:val="24"/>
          <w:szCs w:val="24"/>
        </w:rPr>
        <w:t>https://www.europarl.europa.eu/RegData/etudes/BRIE/2024/767176/EPRS_BRI%282024%29767176_EN.pdf</w:t>
      </w:r>
      <w:r w:rsidRPr="00AF1FCB">
        <w:rPr>
          <w:rFonts w:ascii="Times New Roman" w:hAnsi="Times New Roman" w:cs="Times New Roman"/>
          <w:sz w:val="24"/>
          <w:szCs w:val="24"/>
        </w:rPr>
        <w:fldChar w:fldCharType="end"/>
      </w:r>
      <w:r w:rsidRPr="00AF1FCB">
        <w:rPr>
          <w:rFonts w:ascii="Times New Roman" w:hAnsi="Times New Roman" w:cs="Times New Roman"/>
          <w:sz w:val="24"/>
          <w:szCs w:val="24"/>
        </w:rPr>
        <w:t xml:space="preserve"> (</w:t>
      </w:r>
      <w:hyperlink r:id="rId44" w:tooltip="The Netherlands' climate action strategy - European Parliament" w:history="1">
        <w:r w:rsidRPr="00AF1FCB">
          <w:rPr>
            <w:rStyle w:val="Hyperlink"/>
            <w:rFonts w:ascii="Times New Roman" w:hAnsi="Times New Roman" w:cs="Times New Roman"/>
            <w:sz w:val="24"/>
            <w:szCs w:val="24"/>
          </w:rPr>
          <w:t>European Parliament</w:t>
        </w:r>
      </w:hyperlink>
      <w:r w:rsidRPr="00AF1FCB">
        <w:rPr>
          <w:rFonts w:ascii="Times New Roman" w:hAnsi="Times New Roman" w:cs="Times New Roman"/>
          <w:sz w:val="24"/>
          <w:szCs w:val="24"/>
        </w:rPr>
        <w:t>)</w:t>
      </w:r>
    </w:p>
    <w:p w14:paraId="4A4832F2"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European Parliament, Think Tank. (2025, September 9). </w:t>
      </w:r>
      <w:r w:rsidRPr="009276DF">
        <w:rPr>
          <w:rFonts w:ascii="Times New Roman" w:hAnsi="Times New Roman" w:cs="Times New Roman"/>
          <w:i/>
          <w:iCs/>
          <w:sz w:val="24"/>
          <w:szCs w:val="24"/>
          <w:lang w:val="en-GB"/>
        </w:rPr>
        <w:t>Bulgaria’s National Recovery and Resilience Plan</w:t>
      </w:r>
      <w:r w:rsidRPr="009276DF">
        <w:rPr>
          <w:rFonts w:ascii="Times New Roman" w:hAnsi="Times New Roman" w:cs="Times New Roman"/>
          <w:sz w:val="24"/>
          <w:szCs w:val="24"/>
          <w:lang w:val="en-GB"/>
        </w:rPr>
        <w:t xml:space="preserve"> (EPRS Briefing 733662). </w:t>
      </w:r>
      <w:hyperlink r:id="rId45" w:history="1">
        <w:r w:rsidRPr="009276DF">
          <w:rPr>
            <w:rStyle w:val="Hyperlink"/>
            <w:rFonts w:ascii="Times New Roman" w:hAnsi="Times New Roman" w:cs="Times New Roman"/>
            <w:sz w:val="24"/>
            <w:szCs w:val="24"/>
            <w:lang w:val="en-GB"/>
          </w:rPr>
          <w:t>https://www.europarl.europa.eu/thinktank/en/document/EPRS_BRI%282022%29733662</w:t>
        </w:r>
      </w:hyperlink>
    </w:p>
    <w:p w14:paraId="4ED75384"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European Social Fund Plus. (n.d.). </w:t>
      </w:r>
      <w:r w:rsidRPr="00213DF3">
        <w:rPr>
          <w:rFonts w:ascii="Times New Roman" w:hAnsi="Times New Roman" w:cs="Times New Roman"/>
          <w:i/>
          <w:iCs/>
          <w:sz w:val="24"/>
          <w:szCs w:val="24"/>
          <w:lang w:val="en-GB"/>
        </w:rPr>
        <w:t>The ESF+ in Croatia</w:t>
      </w:r>
      <w:r w:rsidRPr="00213DF3">
        <w:rPr>
          <w:rFonts w:ascii="Times New Roman" w:hAnsi="Times New Roman" w:cs="Times New Roman"/>
          <w:sz w:val="24"/>
          <w:szCs w:val="24"/>
          <w:lang w:val="en-GB"/>
        </w:rPr>
        <w:t xml:space="preserve">. </w:t>
      </w:r>
      <w:hyperlink r:id="rId46" w:history="1">
        <w:r w:rsidRPr="00213DF3">
          <w:rPr>
            <w:rStyle w:val="Hyperlink"/>
            <w:rFonts w:ascii="Times New Roman" w:hAnsi="Times New Roman" w:cs="Times New Roman"/>
            <w:sz w:val="24"/>
            <w:szCs w:val="24"/>
            <w:lang w:val="en-GB"/>
          </w:rPr>
          <w:t>https://european-social-fund-plus.ec.europa.eu/en/support-your-country/esf-croatia</w:t>
        </w:r>
      </w:hyperlink>
    </w:p>
    <w:p w14:paraId="35ABD47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Eurostat. (2024a). </w:t>
      </w:r>
      <w:r w:rsidRPr="006A7F3D">
        <w:rPr>
          <w:rFonts w:ascii="Times New Roman" w:hAnsi="Times New Roman" w:cs="Times New Roman"/>
          <w:i/>
          <w:iCs/>
          <w:sz w:val="24"/>
          <w:szCs w:val="24"/>
          <w:lang w:val="en-GB"/>
        </w:rPr>
        <w:t>INFORMA test - Statistics Explained - Eurostat</w:t>
      </w:r>
      <w:r w:rsidRPr="006A7F3D">
        <w:rPr>
          <w:rFonts w:ascii="Times New Roman" w:hAnsi="Times New Roman" w:cs="Times New Roman"/>
          <w:sz w:val="24"/>
          <w:szCs w:val="24"/>
          <w:lang w:val="en-GB"/>
        </w:rPr>
        <w:t>. Europa.eu. https://ec.europa.eu/eurostat/statistics-explained/index.php?oldid=683307&amp;title=INFORMA_test&amp;utm</w:t>
      </w:r>
    </w:p>
    <w:p w14:paraId="1C03513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(2024b). </w:t>
      </w:r>
      <w:r w:rsidRPr="006A7F3D">
        <w:rPr>
          <w:rFonts w:ascii="Times New Roman" w:hAnsi="Times New Roman" w:cs="Times New Roman"/>
          <w:i/>
          <w:iCs/>
          <w:sz w:val="24"/>
          <w:szCs w:val="24"/>
          <w:lang w:val="en-GB"/>
        </w:rPr>
        <w:t>Statistics on young people neither in employment nor in education or training - Statistics Explained</w:t>
      </w:r>
      <w:r w:rsidRPr="006A7F3D">
        <w:rPr>
          <w:rFonts w:ascii="Times New Roman" w:hAnsi="Times New Roman" w:cs="Times New Roman"/>
          <w:sz w:val="24"/>
          <w:szCs w:val="24"/>
          <w:lang w:val="en-GB"/>
        </w:rPr>
        <w:t>. Ec.europa.eu. https://ec.europa.eu/eurostat/statistics-explained/index.php?title=Statistics_on_young_people_neither_in_employment_nor_in_education_or_training</w:t>
      </w:r>
    </w:p>
    <w:p w14:paraId="46509A34"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Eurostat. (2024b). </w:t>
      </w:r>
      <w:r w:rsidRPr="00AF1FCB">
        <w:rPr>
          <w:rFonts w:ascii="Times New Roman" w:hAnsi="Times New Roman" w:cs="Times New Roman"/>
          <w:i/>
          <w:iCs/>
          <w:sz w:val="24"/>
          <w:szCs w:val="24"/>
        </w:rPr>
        <w:t>Statistics on young people neither in employment nor in education or training – Statistics Explained</w:t>
      </w:r>
      <w:r w:rsidRPr="00AF1FCB">
        <w:rPr>
          <w:rFonts w:ascii="Times New Roman" w:hAnsi="Times New Roman" w:cs="Times New Roman"/>
          <w:sz w:val="24"/>
          <w:szCs w:val="24"/>
        </w:rPr>
        <w:t xml:space="preserve">. </w:t>
      </w:r>
      <w:hyperlink r:id="rId47" w:history="1">
        <w:r w:rsidRPr="00AF1FCB">
          <w:rPr>
            <w:rStyle w:val="Hyperlink"/>
            <w:rFonts w:ascii="Times New Roman" w:hAnsi="Times New Roman" w:cs="Times New Roman"/>
            <w:sz w:val="24"/>
            <w:szCs w:val="24"/>
          </w:rPr>
          <w:t>https://ec.europa.eu/eurostat/statistics-explained/index.php?title=Statistics_on_young_people_neither_in_employment_nor_in_education_or_training</w:t>
        </w:r>
      </w:hyperlink>
    </w:p>
    <w:p w14:paraId="1D389F33"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(2024c, June 13). </w:t>
      </w:r>
      <w:r w:rsidRPr="006A7F3D">
        <w:rPr>
          <w:rFonts w:ascii="Times New Roman" w:hAnsi="Times New Roman" w:cs="Times New Roman"/>
          <w:i/>
          <w:iCs/>
          <w:sz w:val="24"/>
          <w:szCs w:val="24"/>
          <w:lang w:val="en-GB"/>
        </w:rPr>
        <w:t>Drop in youths neither working nor studying</w:t>
      </w:r>
      <w:r w:rsidRPr="006A7F3D">
        <w:rPr>
          <w:rFonts w:ascii="Times New Roman" w:hAnsi="Times New Roman" w:cs="Times New Roman"/>
          <w:sz w:val="24"/>
          <w:szCs w:val="24"/>
          <w:lang w:val="en-GB"/>
        </w:rPr>
        <w:t>. @EU_Eurostat; Eurostat. https://ec.europa.eu/eurostat/web/products-eurostat-news/w/ddn-20240613-1?utm</w:t>
      </w:r>
    </w:p>
    <w:p w14:paraId="204026FE"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Eurostat. (2024c, June 13). </w:t>
      </w:r>
      <w:r w:rsidRPr="00AF1FCB">
        <w:rPr>
          <w:rFonts w:ascii="Times New Roman" w:hAnsi="Times New Roman" w:cs="Times New Roman"/>
          <w:i/>
          <w:iCs/>
          <w:sz w:val="24"/>
          <w:szCs w:val="24"/>
        </w:rPr>
        <w:t>Drop in youths neither working nor studying</w:t>
      </w:r>
      <w:r w:rsidRPr="00AF1FCB">
        <w:rPr>
          <w:rFonts w:ascii="Times New Roman" w:hAnsi="Times New Roman" w:cs="Times New Roman"/>
          <w:sz w:val="24"/>
          <w:szCs w:val="24"/>
        </w:rPr>
        <w:t xml:space="preserve">. </w:t>
      </w:r>
      <w:hyperlink r:id="rId48" w:history="1">
        <w:r w:rsidRPr="00AF1FCB">
          <w:rPr>
            <w:rStyle w:val="Hyperlink"/>
            <w:rFonts w:ascii="Times New Roman" w:hAnsi="Times New Roman" w:cs="Times New Roman"/>
            <w:sz w:val="24"/>
            <w:szCs w:val="24"/>
          </w:rPr>
          <w:t>https://ec.europa.eu/eurostat/web/products-eurostat-news/w/ddn-20240613-1</w:t>
        </w:r>
      </w:hyperlink>
    </w:p>
    <w:p w14:paraId="5824B258"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(2025a). </w:t>
      </w:r>
      <w:r w:rsidRPr="006A7F3D">
        <w:rPr>
          <w:rFonts w:ascii="Times New Roman" w:hAnsi="Times New Roman" w:cs="Times New Roman"/>
          <w:i/>
          <w:iCs/>
          <w:sz w:val="24"/>
          <w:szCs w:val="24"/>
          <w:lang w:val="en-GB"/>
        </w:rPr>
        <w:t>Economy at regional level - Statistics Explained - Eurostat</w:t>
      </w:r>
      <w:r w:rsidRPr="006A7F3D">
        <w:rPr>
          <w:rFonts w:ascii="Times New Roman" w:hAnsi="Times New Roman" w:cs="Times New Roman"/>
          <w:sz w:val="24"/>
          <w:szCs w:val="24"/>
          <w:lang w:val="en-GB"/>
        </w:rPr>
        <w:t>. Europa.eu. https://ec.europa.eu/eurostat/statistics-explained/index.php?oldid=686184&amp;title=Economy_at_regional_level&amp;utm</w:t>
      </w:r>
    </w:p>
    <w:p w14:paraId="12DAAC2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(2025b). </w:t>
      </w:r>
      <w:r w:rsidRPr="006A7F3D">
        <w:rPr>
          <w:rFonts w:ascii="Times New Roman" w:hAnsi="Times New Roman" w:cs="Times New Roman"/>
          <w:i/>
          <w:iCs/>
          <w:sz w:val="24"/>
          <w:szCs w:val="24"/>
          <w:lang w:val="en-GB"/>
        </w:rPr>
        <w:t>Job vacancy and unemployment rates - Beveridge curve</w:t>
      </w:r>
      <w:r w:rsidRPr="006A7F3D">
        <w:rPr>
          <w:rFonts w:ascii="Times New Roman" w:hAnsi="Times New Roman" w:cs="Times New Roman"/>
          <w:sz w:val="24"/>
          <w:szCs w:val="24"/>
          <w:lang w:val="en-GB"/>
        </w:rPr>
        <w:t>. Ec.europa.eu. https://ec.europa.eu/eurostat/statistics-explained/index.php?title=Job_vacancy_and_unemployment_rates_-_Beveridge_curve</w:t>
      </w:r>
    </w:p>
    <w:p w14:paraId="6A0BAB0F"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Eurostat. (2025b). </w:t>
      </w:r>
      <w:r w:rsidRPr="00AF1FCB">
        <w:rPr>
          <w:rFonts w:ascii="Times New Roman" w:hAnsi="Times New Roman" w:cs="Times New Roman"/>
          <w:i/>
          <w:iCs/>
          <w:sz w:val="24"/>
          <w:szCs w:val="24"/>
        </w:rPr>
        <w:t>Job vacancy and unemployment rates – Beveridge curve</w:t>
      </w:r>
      <w:r w:rsidRPr="00AF1FCB">
        <w:rPr>
          <w:rFonts w:ascii="Times New Roman" w:hAnsi="Times New Roman" w:cs="Times New Roman"/>
          <w:sz w:val="24"/>
          <w:szCs w:val="24"/>
        </w:rPr>
        <w:t xml:space="preserve">. </w:t>
      </w:r>
      <w:hyperlink r:id="rId49" w:history="1">
        <w:r w:rsidRPr="00AF1FCB">
          <w:rPr>
            <w:rStyle w:val="Hyperlink"/>
            <w:rFonts w:ascii="Times New Roman" w:hAnsi="Times New Roman" w:cs="Times New Roman"/>
            <w:sz w:val="24"/>
            <w:szCs w:val="24"/>
          </w:rPr>
          <w:t>https://ec.europa.eu/eurostat/statistics-explained/index.php?title=Job_vacancy_and_unemployment_rates_-_Beveridge_curve</w:t>
        </w:r>
      </w:hyperlink>
    </w:p>
    <w:p w14:paraId="5CAE5C8D"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(2025c). </w:t>
      </w:r>
      <w:r w:rsidRPr="006A7F3D">
        <w:rPr>
          <w:rFonts w:ascii="Times New Roman" w:hAnsi="Times New Roman" w:cs="Times New Roman"/>
          <w:i/>
          <w:iCs/>
          <w:sz w:val="24"/>
          <w:szCs w:val="24"/>
          <w:lang w:val="en-GB"/>
        </w:rPr>
        <w:t>Job vacancy statistics by occupation, NUTS 2 region and NACE Rev. 2 activity - annual data (2008-2024)</w:t>
      </w:r>
      <w:r w:rsidRPr="006A7F3D">
        <w:rPr>
          <w:rFonts w:ascii="Times New Roman" w:hAnsi="Times New Roman" w:cs="Times New Roman"/>
          <w:sz w:val="24"/>
          <w:szCs w:val="24"/>
          <w:lang w:val="en-GB"/>
        </w:rPr>
        <w:t>. Europa.eu. https://ec.europa.eu/eurostat/databrowser/view/JVS_A_NACE2/default/table?lang=en</w:t>
      </w:r>
    </w:p>
    <w:p w14:paraId="282181F6"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lastRenderedPageBreak/>
        <w:t xml:space="preserve">Eurostat. (2025c). </w:t>
      </w:r>
      <w:r w:rsidRPr="00AF1FCB">
        <w:rPr>
          <w:rFonts w:ascii="Times New Roman" w:hAnsi="Times New Roman" w:cs="Times New Roman"/>
          <w:i/>
          <w:iCs/>
          <w:sz w:val="24"/>
          <w:szCs w:val="24"/>
        </w:rPr>
        <w:t>Job vacancy statistics by occupation, NUTS 2 region and NACE Rev. 2 activity – annual data (2008–2024)</w:t>
      </w:r>
      <w:r w:rsidRPr="00AF1FCB">
        <w:rPr>
          <w:rFonts w:ascii="Times New Roman" w:hAnsi="Times New Roman" w:cs="Times New Roman"/>
          <w:sz w:val="24"/>
          <w:szCs w:val="24"/>
        </w:rPr>
        <w:t xml:space="preserve">. </w:t>
      </w:r>
      <w:hyperlink r:id="rId50" w:history="1">
        <w:r w:rsidRPr="00AF1FCB">
          <w:rPr>
            <w:rStyle w:val="Hyperlink"/>
            <w:rFonts w:ascii="Times New Roman" w:hAnsi="Times New Roman" w:cs="Times New Roman"/>
            <w:sz w:val="24"/>
            <w:szCs w:val="24"/>
          </w:rPr>
          <w:t>https://ec.europa.eu/eurostat/databrowser/view/JVS_A_NACE2/default/table?lang=en</w:t>
        </w:r>
      </w:hyperlink>
    </w:p>
    <w:p w14:paraId="2883940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(2025d). </w:t>
      </w:r>
      <w:r w:rsidRPr="006A7F3D">
        <w:rPr>
          <w:rFonts w:ascii="Times New Roman" w:hAnsi="Times New Roman" w:cs="Times New Roman"/>
          <w:i/>
          <w:iCs/>
          <w:sz w:val="24"/>
          <w:szCs w:val="24"/>
          <w:lang w:val="en-GB"/>
        </w:rPr>
        <w:t xml:space="preserve">Job vacancy statistics </w:t>
      </w:r>
      <w:proofErr w:type="spellStart"/>
      <w:r w:rsidRPr="006A7F3D">
        <w:rPr>
          <w:rFonts w:ascii="Times New Roman" w:hAnsi="Times New Roman" w:cs="Times New Roman"/>
          <w:i/>
          <w:iCs/>
          <w:sz w:val="24"/>
          <w:szCs w:val="24"/>
          <w:lang w:val="en-GB"/>
        </w:rPr>
        <w:t>Statistics</w:t>
      </w:r>
      <w:proofErr w:type="spellEnd"/>
      <w:r w:rsidRPr="006A7F3D">
        <w:rPr>
          <w:rFonts w:ascii="Times New Roman" w:hAnsi="Times New Roman" w:cs="Times New Roman"/>
          <w:i/>
          <w:iCs/>
          <w:sz w:val="24"/>
          <w:szCs w:val="24"/>
          <w:lang w:val="en-GB"/>
        </w:rPr>
        <w:t xml:space="preserve"> Explained</w:t>
      </w:r>
      <w:r w:rsidRPr="006A7F3D">
        <w:rPr>
          <w:rFonts w:ascii="Times New Roman" w:hAnsi="Times New Roman" w:cs="Times New Roman"/>
          <w:sz w:val="24"/>
          <w:szCs w:val="24"/>
          <w:lang w:val="en-GB"/>
        </w:rPr>
        <w:t>. https://ec.europa.eu/eurostat/statistics-explained/SEPDF/cache/1164.pdf</w:t>
      </w:r>
    </w:p>
    <w:p w14:paraId="5AD3C72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(2025e). </w:t>
      </w:r>
      <w:r w:rsidRPr="006A7F3D">
        <w:rPr>
          <w:rFonts w:ascii="Times New Roman" w:hAnsi="Times New Roman" w:cs="Times New Roman"/>
          <w:i/>
          <w:iCs/>
          <w:sz w:val="24"/>
          <w:szCs w:val="24"/>
          <w:lang w:val="en-GB"/>
        </w:rPr>
        <w:t>Minimum Wage</w:t>
      </w:r>
      <w:r w:rsidRPr="006A7F3D">
        <w:rPr>
          <w:rFonts w:ascii="Times New Roman" w:hAnsi="Times New Roman" w:cs="Times New Roman"/>
          <w:sz w:val="24"/>
          <w:szCs w:val="24"/>
          <w:lang w:val="en-GB"/>
        </w:rPr>
        <w:t>. Europa.eu. https://ec.europa.eu/eurostat/databrowser/product/view/tps00155?category=labour.earn.earn_minw&amp;lang=en&amp;utm</w:t>
      </w:r>
    </w:p>
    <w:p w14:paraId="098D37B6"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Eurostat. (2025e, May 23). </w:t>
      </w:r>
      <w:r w:rsidRPr="00AF1FCB">
        <w:rPr>
          <w:rFonts w:ascii="Times New Roman" w:hAnsi="Times New Roman" w:cs="Times New Roman"/>
          <w:i/>
          <w:iCs/>
          <w:sz w:val="24"/>
          <w:szCs w:val="24"/>
        </w:rPr>
        <w:t>Eurostat: New lows for EU unemployment in 2024</w:t>
      </w:r>
      <w:r w:rsidRPr="00AF1FCB">
        <w:rPr>
          <w:rFonts w:ascii="Times New Roman" w:hAnsi="Times New Roman" w:cs="Times New Roman"/>
          <w:sz w:val="24"/>
          <w:szCs w:val="24"/>
        </w:rPr>
        <w:t xml:space="preserve">. </w:t>
      </w:r>
      <w:hyperlink r:id="rId51" w:history="1">
        <w:r w:rsidRPr="00AF1FCB">
          <w:rPr>
            <w:rStyle w:val="Hyperlink"/>
            <w:rFonts w:ascii="Times New Roman" w:hAnsi="Times New Roman" w:cs="Times New Roman"/>
            <w:sz w:val="24"/>
            <w:szCs w:val="24"/>
          </w:rPr>
          <w:t>https://sofiaglobe.com/2025/05/23/eurostat-new-lows-for-eu-unemployment-in-2024/</w:t>
        </w:r>
      </w:hyperlink>
    </w:p>
    <w:p w14:paraId="099EE83C"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(2025f). </w:t>
      </w:r>
      <w:r w:rsidRPr="006A7F3D">
        <w:rPr>
          <w:rFonts w:ascii="Times New Roman" w:hAnsi="Times New Roman" w:cs="Times New Roman"/>
          <w:i/>
          <w:iCs/>
          <w:sz w:val="24"/>
          <w:szCs w:val="24"/>
          <w:lang w:val="en-GB"/>
        </w:rPr>
        <w:t>Minimum wage statistics - Statistics Explained</w:t>
      </w:r>
      <w:r w:rsidRPr="006A7F3D">
        <w:rPr>
          <w:rFonts w:ascii="Times New Roman" w:hAnsi="Times New Roman" w:cs="Times New Roman"/>
          <w:sz w:val="24"/>
          <w:szCs w:val="24"/>
          <w:lang w:val="en-GB"/>
        </w:rPr>
        <w:t>. Europa.eu. https://ec.europa.eu/eurostat/statistics-explained/index.php/Minimum_wage_statistics</w:t>
      </w:r>
    </w:p>
    <w:p w14:paraId="303FF23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Eurostat. (2025g, May 23). </w:t>
      </w:r>
      <w:r w:rsidRPr="006A7F3D">
        <w:rPr>
          <w:rFonts w:ascii="Times New Roman" w:hAnsi="Times New Roman" w:cs="Times New Roman"/>
          <w:i/>
          <w:iCs/>
          <w:sz w:val="24"/>
          <w:szCs w:val="24"/>
          <w:lang w:val="en-GB"/>
        </w:rPr>
        <w:t>Eurostat: New lows for EU unemployment in 2024</w:t>
      </w:r>
      <w:r w:rsidRPr="006A7F3D">
        <w:rPr>
          <w:rFonts w:ascii="Times New Roman" w:hAnsi="Times New Roman" w:cs="Times New Roman"/>
          <w:sz w:val="24"/>
          <w:szCs w:val="24"/>
          <w:lang w:val="en-GB"/>
        </w:rPr>
        <w:t>. The Sofia Globe. https://sofiaglobe.com/2025/05/23/eurostat-new-lows-for-eu-unemployment-in-2024/?utm</w:t>
      </w:r>
    </w:p>
    <w:p w14:paraId="203C9043"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Findeisen, S., </w:t>
      </w:r>
      <w:proofErr w:type="spellStart"/>
      <w:r w:rsidRPr="006A7F3D">
        <w:rPr>
          <w:rFonts w:ascii="Times New Roman" w:hAnsi="Times New Roman" w:cs="Times New Roman"/>
          <w:sz w:val="24"/>
          <w:szCs w:val="24"/>
          <w:lang w:val="en-GB"/>
        </w:rPr>
        <w:t>Jüttler</w:t>
      </w:r>
      <w:proofErr w:type="spellEnd"/>
      <w:r w:rsidRPr="006A7F3D">
        <w:rPr>
          <w:rFonts w:ascii="Times New Roman" w:hAnsi="Times New Roman" w:cs="Times New Roman"/>
          <w:sz w:val="24"/>
          <w:szCs w:val="24"/>
          <w:lang w:val="en-GB"/>
        </w:rPr>
        <w:t xml:space="preserve">, A., Neuenschwander, M. P., &amp; Schumann, S. (2022). Transition from School to Work – Explaining Persistence Intention in Vocational Education and Training in Switzerland. </w:t>
      </w:r>
      <w:r w:rsidRPr="006A7F3D">
        <w:rPr>
          <w:rFonts w:ascii="Times New Roman" w:hAnsi="Times New Roman" w:cs="Times New Roman"/>
          <w:i/>
          <w:iCs/>
          <w:sz w:val="24"/>
          <w:szCs w:val="24"/>
          <w:lang w:val="en-GB"/>
        </w:rPr>
        <w:t>Vocations and Learning</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15</w:t>
      </w:r>
      <w:r w:rsidRPr="006A7F3D">
        <w:rPr>
          <w:rFonts w:ascii="Times New Roman" w:hAnsi="Times New Roman" w:cs="Times New Roman"/>
          <w:sz w:val="24"/>
          <w:szCs w:val="24"/>
          <w:lang w:val="en-GB"/>
        </w:rPr>
        <w:t>. https://doi.org/10.1007/s12186-021-09282-4</w:t>
      </w:r>
    </w:p>
    <w:p w14:paraId="4E77111D"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Government of the Netherlands. (2024). </w:t>
      </w:r>
      <w:r w:rsidRPr="006A7F3D">
        <w:rPr>
          <w:rFonts w:ascii="Times New Roman" w:hAnsi="Times New Roman" w:cs="Times New Roman"/>
          <w:i/>
          <w:iCs/>
          <w:sz w:val="24"/>
          <w:szCs w:val="24"/>
          <w:lang w:val="en-GB"/>
        </w:rPr>
        <w:t>New minimum wage from 2024</w:t>
      </w:r>
      <w:r w:rsidRPr="006A7F3D">
        <w:rPr>
          <w:rFonts w:ascii="Times New Roman" w:hAnsi="Times New Roman" w:cs="Times New Roman"/>
          <w:sz w:val="24"/>
          <w:szCs w:val="24"/>
          <w:lang w:val="en-GB"/>
        </w:rPr>
        <w:t>. Government.nl. https://www.government.nl/topics/minimum-wage/new-minimum-wage-from-2024?utm</w:t>
      </w:r>
    </w:p>
    <w:p w14:paraId="48D856E8"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(2024). </w:t>
      </w:r>
      <w:r w:rsidRPr="00AF1FCB">
        <w:rPr>
          <w:rFonts w:ascii="Times New Roman" w:hAnsi="Times New Roman" w:cs="Times New Roman"/>
          <w:i/>
          <w:iCs/>
          <w:sz w:val="24"/>
          <w:szCs w:val="24"/>
        </w:rPr>
        <w:t>New minimum wage from 2024</w:t>
      </w:r>
      <w:r w:rsidRPr="00AF1FCB">
        <w:rPr>
          <w:rFonts w:ascii="Times New Roman" w:hAnsi="Times New Roman" w:cs="Times New Roman"/>
          <w:sz w:val="24"/>
          <w:szCs w:val="24"/>
        </w:rPr>
        <w:t xml:space="preserve">. </w:t>
      </w:r>
      <w:hyperlink r:id="rId52" w:history="1">
        <w:r w:rsidRPr="00AF1FCB">
          <w:rPr>
            <w:rStyle w:val="Hyperlink"/>
            <w:rFonts w:ascii="Times New Roman" w:hAnsi="Times New Roman" w:cs="Times New Roman"/>
            <w:sz w:val="24"/>
            <w:szCs w:val="24"/>
          </w:rPr>
          <w:t>https://www.government.nl/topics/minimum-wage/new-minimum-wage-from-2024</w:t>
        </w:r>
      </w:hyperlink>
    </w:p>
    <w:p w14:paraId="2E8AE629"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Government of the Netherlands. (2024). </w:t>
      </w:r>
      <w:r w:rsidRPr="009276DF">
        <w:rPr>
          <w:rFonts w:ascii="Times New Roman" w:hAnsi="Times New Roman" w:cs="Times New Roman"/>
          <w:i/>
          <w:iCs/>
          <w:sz w:val="24"/>
          <w:szCs w:val="24"/>
          <w:lang w:val="en-GB"/>
        </w:rPr>
        <w:t>New minimum wage from 2024</w:t>
      </w:r>
      <w:r w:rsidRPr="009276DF">
        <w:rPr>
          <w:rFonts w:ascii="Times New Roman" w:hAnsi="Times New Roman" w:cs="Times New Roman"/>
          <w:sz w:val="24"/>
          <w:szCs w:val="24"/>
          <w:lang w:val="en-GB"/>
        </w:rPr>
        <w:t xml:space="preserve"> (hourly minimum wage introduction). </w:t>
      </w:r>
      <w:hyperlink r:id="rId53" w:history="1">
        <w:r w:rsidRPr="009276DF">
          <w:rPr>
            <w:rStyle w:val="Hyperlink"/>
            <w:rFonts w:ascii="Times New Roman" w:hAnsi="Times New Roman" w:cs="Times New Roman"/>
            <w:sz w:val="24"/>
            <w:szCs w:val="24"/>
            <w:lang w:val="en-GB"/>
          </w:rPr>
          <w:t>https://www.government.nl/topics/minimum-wage/new-minimum-wage-from-2024</w:t>
        </w:r>
      </w:hyperlink>
    </w:p>
    <w:p w14:paraId="21AC919B"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lastRenderedPageBreak/>
        <w:t xml:space="preserve">Government of the Netherlands. (2025). </w:t>
      </w:r>
      <w:r w:rsidRPr="009276DF">
        <w:rPr>
          <w:rFonts w:ascii="Times New Roman" w:hAnsi="Times New Roman" w:cs="Times New Roman"/>
          <w:i/>
          <w:iCs/>
          <w:sz w:val="24"/>
          <w:szCs w:val="24"/>
          <w:lang w:val="en-GB"/>
        </w:rPr>
        <w:t>Minimum wage amounts</w:t>
      </w:r>
      <w:r w:rsidRPr="009276DF">
        <w:rPr>
          <w:rFonts w:ascii="Times New Roman" w:hAnsi="Times New Roman" w:cs="Times New Roman"/>
          <w:sz w:val="24"/>
          <w:szCs w:val="24"/>
          <w:lang w:val="en-GB"/>
        </w:rPr>
        <w:t xml:space="preserve"> (hourly amounts by age). </w:t>
      </w:r>
      <w:hyperlink r:id="rId54" w:history="1">
        <w:r w:rsidRPr="009276DF">
          <w:rPr>
            <w:rStyle w:val="Hyperlink"/>
            <w:rFonts w:ascii="Times New Roman" w:hAnsi="Times New Roman" w:cs="Times New Roman"/>
            <w:sz w:val="24"/>
            <w:szCs w:val="24"/>
            <w:lang w:val="en-GB"/>
          </w:rPr>
          <w:t>https://www.government.nl/topics/minimum-wage/minimum-wage-amounts</w:t>
        </w:r>
      </w:hyperlink>
    </w:p>
    <w:p w14:paraId="745AB18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Government of the Netherlands. (2025). </w:t>
      </w:r>
      <w:r w:rsidRPr="006A7F3D">
        <w:rPr>
          <w:rFonts w:ascii="Times New Roman" w:hAnsi="Times New Roman" w:cs="Times New Roman"/>
          <w:i/>
          <w:iCs/>
          <w:sz w:val="24"/>
          <w:szCs w:val="24"/>
          <w:lang w:val="en-GB"/>
        </w:rPr>
        <w:t>Minimum wage amounts</w:t>
      </w:r>
      <w:r w:rsidRPr="006A7F3D">
        <w:rPr>
          <w:rFonts w:ascii="Times New Roman" w:hAnsi="Times New Roman" w:cs="Times New Roman"/>
          <w:sz w:val="24"/>
          <w:szCs w:val="24"/>
          <w:lang w:val="en-GB"/>
        </w:rPr>
        <w:t>. Government.nl. https://www.government.nl/topics/minimum-wage/minimum-wage-amounts</w:t>
      </w:r>
    </w:p>
    <w:p w14:paraId="565ABB60"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(2025). </w:t>
      </w:r>
      <w:r w:rsidRPr="00AF1FCB">
        <w:rPr>
          <w:rFonts w:ascii="Times New Roman" w:hAnsi="Times New Roman" w:cs="Times New Roman"/>
          <w:i/>
          <w:iCs/>
          <w:sz w:val="24"/>
          <w:szCs w:val="24"/>
        </w:rPr>
        <w:t>Minimum wage amounts</w:t>
      </w:r>
      <w:r w:rsidRPr="00AF1FCB">
        <w:rPr>
          <w:rFonts w:ascii="Times New Roman" w:hAnsi="Times New Roman" w:cs="Times New Roman"/>
          <w:sz w:val="24"/>
          <w:szCs w:val="24"/>
        </w:rPr>
        <w:t xml:space="preserve">. </w:t>
      </w:r>
      <w:hyperlink r:id="rId55" w:history="1">
        <w:r w:rsidRPr="00AF1FCB">
          <w:rPr>
            <w:rStyle w:val="Hyperlink"/>
            <w:rFonts w:ascii="Times New Roman" w:hAnsi="Times New Roman" w:cs="Times New Roman"/>
            <w:sz w:val="24"/>
            <w:szCs w:val="24"/>
          </w:rPr>
          <w:t>https://www.government.nl/topics/minimum-wage/minimum-wage-amounts</w:t>
        </w:r>
      </w:hyperlink>
    </w:p>
    <w:p w14:paraId="71D33899"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(n.d.). </w:t>
      </w:r>
      <w:r w:rsidRPr="00AF1FCB">
        <w:rPr>
          <w:rFonts w:ascii="Times New Roman" w:hAnsi="Times New Roman" w:cs="Times New Roman"/>
          <w:i/>
          <w:iCs/>
          <w:sz w:val="24"/>
          <w:szCs w:val="24"/>
        </w:rPr>
        <w:t>Circular Dutch economy by 2050</w:t>
      </w:r>
      <w:r w:rsidRPr="00AF1FCB">
        <w:rPr>
          <w:rFonts w:ascii="Times New Roman" w:hAnsi="Times New Roman" w:cs="Times New Roman"/>
          <w:sz w:val="24"/>
          <w:szCs w:val="24"/>
        </w:rPr>
        <w:t xml:space="preserve">. </w:t>
      </w:r>
      <w:hyperlink r:id="rId56" w:history="1">
        <w:r w:rsidRPr="00AF1FCB">
          <w:rPr>
            <w:rStyle w:val="Hyperlink"/>
            <w:rFonts w:ascii="Times New Roman" w:hAnsi="Times New Roman" w:cs="Times New Roman"/>
            <w:sz w:val="24"/>
            <w:szCs w:val="24"/>
          </w:rPr>
          <w:t>https://www.government.nl/topics/circular-economy/circular-dutch-economy-by-2050</w:t>
        </w:r>
      </w:hyperlink>
      <w:r w:rsidRPr="00AF1FCB">
        <w:rPr>
          <w:rFonts w:ascii="Times New Roman" w:hAnsi="Times New Roman" w:cs="Times New Roman"/>
          <w:sz w:val="24"/>
          <w:szCs w:val="24"/>
        </w:rPr>
        <w:t xml:space="preserve"> (</w:t>
      </w:r>
      <w:hyperlink r:id="rId57" w:tooltip="Circular Dutch economy by 2050" w:history="1">
        <w:r w:rsidRPr="00AF1FCB">
          <w:rPr>
            <w:rStyle w:val="Hyperlink"/>
            <w:rFonts w:ascii="Times New Roman" w:hAnsi="Times New Roman" w:cs="Times New Roman"/>
            <w:sz w:val="24"/>
            <w:szCs w:val="24"/>
          </w:rPr>
          <w:t>Government.nl</w:t>
        </w:r>
      </w:hyperlink>
      <w:r w:rsidRPr="00AF1FCB">
        <w:rPr>
          <w:rFonts w:ascii="Times New Roman" w:hAnsi="Times New Roman" w:cs="Times New Roman"/>
          <w:sz w:val="24"/>
          <w:szCs w:val="24"/>
        </w:rPr>
        <w:t>)</w:t>
      </w:r>
    </w:p>
    <w:p w14:paraId="4F2F46E8"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(n.d.). </w:t>
      </w:r>
      <w:r w:rsidRPr="00AF1FCB">
        <w:rPr>
          <w:rFonts w:ascii="Times New Roman" w:hAnsi="Times New Roman" w:cs="Times New Roman"/>
          <w:i/>
          <w:iCs/>
          <w:sz w:val="24"/>
          <w:szCs w:val="24"/>
        </w:rPr>
        <w:t>Circular economy</w:t>
      </w:r>
      <w:r w:rsidRPr="00AF1FCB">
        <w:rPr>
          <w:rFonts w:ascii="Times New Roman" w:hAnsi="Times New Roman" w:cs="Times New Roman"/>
          <w:sz w:val="24"/>
          <w:szCs w:val="24"/>
        </w:rPr>
        <w:t xml:space="preserve">. </w:t>
      </w:r>
      <w:hyperlink r:id="rId58" w:history="1">
        <w:r w:rsidRPr="00AF1FCB">
          <w:rPr>
            <w:rStyle w:val="Hyperlink"/>
            <w:rFonts w:ascii="Times New Roman" w:hAnsi="Times New Roman" w:cs="Times New Roman"/>
            <w:sz w:val="24"/>
            <w:szCs w:val="24"/>
          </w:rPr>
          <w:t>https://www.government.nl/topics/circular-economy</w:t>
        </w:r>
      </w:hyperlink>
      <w:r w:rsidRPr="00AF1FCB">
        <w:rPr>
          <w:rFonts w:ascii="Times New Roman" w:hAnsi="Times New Roman" w:cs="Times New Roman"/>
          <w:sz w:val="24"/>
          <w:szCs w:val="24"/>
        </w:rPr>
        <w:t xml:space="preserve"> (</w:t>
      </w:r>
      <w:hyperlink r:id="rId59" w:tooltip="Circular economy" w:history="1">
        <w:r w:rsidRPr="00AF1FCB">
          <w:rPr>
            <w:rStyle w:val="Hyperlink"/>
            <w:rFonts w:ascii="Times New Roman" w:hAnsi="Times New Roman" w:cs="Times New Roman"/>
            <w:sz w:val="24"/>
            <w:szCs w:val="24"/>
          </w:rPr>
          <w:t>Government.nl</w:t>
        </w:r>
      </w:hyperlink>
      <w:r w:rsidRPr="00AF1FCB">
        <w:rPr>
          <w:rFonts w:ascii="Times New Roman" w:hAnsi="Times New Roman" w:cs="Times New Roman"/>
          <w:sz w:val="24"/>
          <w:szCs w:val="24"/>
        </w:rPr>
        <w:t>)</w:t>
      </w:r>
    </w:p>
    <w:p w14:paraId="63C01FE6"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(n.d.). </w:t>
      </w:r>
      <w:r w:rsidRPr="00AF1FCB">
        <w:rPr>
          <w:rFonts w:ascii="Times New Roman" w:hAnsi="Times New Roman" w:cs="Times New Roman"/>
          <w:i/>
          <w:iCs/>
          <w:sz w:val="24"/>
          <w:szCs w:val="24"/>
        </w:rPr>
        <w:t>Mitigating climate change</w:t>
      </w:r>
      <w:r w:rsidRPr="00AF1FCB">
        <w:rPr>
          <w:rFonts w:ascii="Times New Roman" w:hAnsi="Times New Roman" w:cs="Times New Roman"/>
          <w:sz w:val="24"/>
          <w:szCs w:val="24"/>
        </w:rPr>
        <w:t xml:space="preserve">. </w:t>
      </w:r>
      <w:hyperlink r:id="rId60" w:history="1">
        <w:r w:rsidRPr="00AF1FCB">
          <w:rPr>
            <w:rStyle w:val="Hyperlink"/>
            <w:rFonts w:ascii="Times New Roman" w:hAnsi="Times New Roman" w:cs="Times New Roman"/>
            <w:sz w:val="24"/>
            <w:szCs w:val="24"/>
          </w:rPr>
          <w:t>https://www.government.nl/topics/climate-change/mitigating-climate-change</w:t>
        </w:r>
      </w:hyperlink>
      <w:r w:rsidRPr="00AF1FCB">
        <w:rPr>
          <w:rFonts w:ascii="Times New Roman" w:hAnsi="Times New Roman" w:cs="Times New Roman"/>
          <w:sz w:val="24"/>
          <w:szCs w:val="24"/>
        </w:rPr>
        <w:t xml:space="preserve"> (</w:t>
      </w:r>
      <w:hyperlink r:id="rId61" w:tooltip="Mitigating climate change" w:history="1">
        <w:r w:rsidRPr="00AF1FCB">
          <w:rPr>
            <w:rStyle w:val="Hyperlink"/>
            <w:rFonts w:ascii="Times New Roman" w:hAnsi="Times New Roman" w:cs="Times New Roman"/>
            <w:sz w:val="24"/>
            <w:szCs w:val="24"/>
          </w:rPr>
          <w:t>Government.nl</w:t>
        </w:r>
      </w:hyperlink>
      <w:r w:rsidRPr="00AF1FCB">
        <w:rPr>
          <w:rFonts w:ascii="Times New Roman" w:hAnsi="Times New Roman" w:cs="Times New Roman"/>
          <w:sz w:val="24"/>
          <w:szCs w:val="24"/>
        </w:rPr>
        <w:t>)</w:t>
      </w:r>
    </w:p>
    <w:p w14:paraId="5C94B0CA"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Government of the Netherlands. (n.d.). </w:t>
      </w:r>
      <w:r w:rsidRPr="009276DF">
        <w:rPr>
          <w:rFonts w:ascii="Times New Roman" w:hAnsi="Times New Roman" w:cs="Times New Roman"/>
          <w:i/>
          <w:iCs/>
          <w:sz w:val="24"/>
          <w:szCs w:val="24"/>
          <w:lang w:val="en-GB"/>
        </w:rPr>
        <w:t>Secondary vocational education (MBO)</w:t>
      </w:r>
      <w:r w:rsidRPr="009276DF">
        <w:rPr>
          <w:rFonts w:ascii="Times New Roman" w:hAnsi="Times New Roman" w:cs="Times New Roman"/>
          <w:sz w:val="24"/>
          <w:szCs w:val="24"/>
          <w:lang w:val="en-GB"/>
        </w:rPr>
        <w:t xml:space="preserve">. </w:t>
      </w:r>
      <w:hyperlink r:id="rId62" w:history="1">
        <w:r w:rsidRPr="009276DF">
          <w:rPr>
            <w:rStyle w:val="Hyperlink"/>
            <w:rFonts w:ascii="Times New Roman" w:hAnsi="Times New Roman" w:cs="Times New Roman"/>
            <w:sz w:val="24"/>
            <w:szCs w:val="24"/>
            <w:lang w:val="en-GB"/>
          </w:rPr>
          <w:t>https://www.government.nl/topics/secondary-vocational-education-mbo-and-tertiary-higher-education/secondary-vocational-education-mbo</w:t>
        </w:r>
      </w:hyperlink>
    </w:p>
    <w:p w14:paraId="4F4F2759"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Government of the Netherlands; Ministry of Economic Affairs &amp; Climate Policy. (2016). </w:t>
      </w:r>
      <w:r w:rsidRPr="00AF1FCB">
        <w:rPr>
          <w:rFonts w:ascii="Times New Roman" w:hAnsi="Times New Roman" w:cs="Times New Roman"/>
          <w:i/>
          <w:iCs/>
          <w:sz w:val="24"/>
          <w:szCs w:val="24"/>
        </w:rPr>
        <w:t>A circular economy in the Netherlands by 2050</w:t>
      </w:r>
      <w:r w:rsidRPr="00AF1FCB">
        <w:rPr>
          <w:rFonts w:ascii="Times New Roman" w:hAnsi="Times New Roman" w:cs="Times New Roman"/>
          <w:sz w:val="24"/>
          <w:szCs w:val="24"/>
        </w:rPr>
        <w:t xml:space="preserve"> (Programme). </w:t>
      </w:r>
      <w:r w:rsidRPr="00AF1FCB">
        <w:rPr>
          <w:rFonts w:ascii="Times New Roman" w:hAnsi="Times New Roman" w:cs="Times New Roman"/>
          <w:sz w:val="24"/>
          <w:szCs w:val="24"/>
        </w:rPr>
        <w:fldChar w:fldCharType="begin"/>
      </w:r>
      <w:r w:rsidRPr="00AF1FCB">
        <w:rPr>
          <w:rFonts w:ascii="Times New Roman" w:hAnsi="Times New Roman" w:cs="Times New Roman"/>
          <w:sz w:val="24"/>
          <w:szCs w:val="24"/>
        </w:rPr>
        <w:instrText>HYPERLINK "https://circulareconomy.europa.eu/platform/sites/default/files/17037circulaireeconomie_en.pdf"</w:instrText>
      </w:r>
      <w:r w:rsidRPr="00AF1FCB">
        <w:rPr>
          <w:rFonts w:ascii="Times New Roman" w:hAnsi="Times New Roman" w:cs="Times New Roman"/>
          <w:sz w:val="24"/>
          <w:szCs w:val="24"/>
        </w:rPr>
      </w:r>
      <w:r w:rsidRPr="00AF1FCB">
        <w:rPr>
          <w:rFonts w:ascii="Times New Roman" w:hAnsi="Times New Roman" w:cs="Times New Roman"/>
          <w:sz w:val="24"/>
          <w:szCs w:val="24"/>
        </w:rPr>
        <w:fldChar w:fldCharType="separate"/>
      </w:r>
      <w:r w:rsidRPr="00AF1FCB">
        <w:rPr>
          <w:rStyle w:val="Hyperlink"/>
          <w:rFonts w:ascii="Times New Roman" w:hAnsi="Times New Roman" w:cs="Times New Roman"/>
          <w:sz w:val="24"/>
          <w:szCs w:val="24"/>
        </w:rPr>
        <w:t>https://circulareconomy.europa.eu/platform/sites/default/files/17037circulaireeconomie_en.pdf</w:t>
      </w:r>
      <w:r w:rsidRPr="00AF1FCB">
        <w:rPr>
          <w:rFonts w:ascii="Times New Roman" w:hAnsi="Times New Roman" w:cs="Times New Roman"/>
          <w:sz w:val="24"/>
          <w:szCs w:val="24"/>
        </w:rPr>
        <w:fldChar w:fldCharType="end"/>
      </w:r>
      <w:r w:rsidRPr="00AF1FCB">
        <w:rPr>
          <w:rFonts w:ascii="Times New Roman" w:hAnsi="Times New Roman" w:cs="Times New Roman"/>
          <w:sz w:val="24"/>
          <w:szCs w:val="24"/>
        </w:rPr>
        <w:t xml:space="preserve"> (</w:t>
      </w:r>
      <w:hyperlink r:id="rId63" w:tooltip="A Circular Economy in the Netherlands by 2050" w:history="1">
        <w:r w:rsidRPr="00AF1FCB">
          <w:rPr>
            <w:rStyle w:val="Hyperlink"/>
            <w:rFonts w:ascii="Times New Roman" w:hAnsi="Times New Roman" w:cs="Times New Roman"/>
            <w:sz w:val="24"/>
            <w:szCs w:val="24"/>
          </w:rPr>
          <w:t>circulareconomy.europa.eu</w:t>
        </w:r>
      </w:hyperlink>
      <w:r w:rsidRPr="00AF1FCB">
        <w:rPr>
          <w:rFonts w:ascii="Times New Roman" w:hAnsi="Times New Roman" w:cs="Times New Roman"/>
          <w:sz w:val="24"/>
          <w:szCs w:val="24"/>
        </w:rPr>
        <w:t>)</w:t>
      </w:r>
    </w:p>
    <w:p w14:paraId="2AA565BD" w14:textId="77777777" w:rsidR="006A7F3D" w:rsidRDefault="006A7F3D" w:rsidP="00213DF3">
      <w:pPr>
        <w:spacing w:line="360" w:lineRule="auto"/>
        <w:ind w:firstLine="708"/>
        <w:jc w:val="both"/>
        <w:rPr>
          <w:rFonts w:ascii="Times New Roman" w:hAnsi="Times New Roman" w:cs="Times New Roman"/>
          <w:sz w:val="24"/>
          <w:szCs w:val="24"/>
        </w:rPr>
      </w:pPr>
      <w:r w:rsidRPr="00213DF3">
        <w:rPr>
          <w:rFonts w:ascii="Times New Roman" w:hAnsi="Times New Roman" w:cs="Times New Roman"/>
          <w:sz w:val="24"/>
          <w:szCs w:val="24"/>
          <w:lang w:val="en-GB"/>
        </w:rPr>
        <w:t xml:space="preserve">Government of the Republic of Croatia, Ministry of Demography and Youth. (2023). </w:t>
      </w:r>
      <w:r w:rsidRPr="00213DF3">
        <w:rPr>
          <w:rFonts w:ascii="Times New Roman" w:hAnsi="Times New Roman" w:cs="Times New Roman"/>
          <w:i/>
          <w:iCs/>
          <w:sz w:val="24"/>
          <w:szCs w:val="24"/>
          <w:lang w:val="en-GB"/>
        </w:rPr>
        <w:t>National Youth Programme 2023–2025</w:t>
      </w:r>
      <w:r w:rsidRPr="00213DF3">
        <w:rPr>
          <w:rFonts w:ascii="Times New Roman" w:hAnsi="Times New Roman" w:cs="Times New Roman"/>
          <w:sz w:val="24"/>
          <w:szCs w:val="24"/>
          <w:lang w:val="en-GB"/>
        </w:rPr>
        <w:t xml:space="preserve"> (EN). </w:t>
      </w:r>
      <w:hyperlink r:id="rId64" w:history="1">
        <w:r w:rsidRPr="00213DF3">
          <w:rPr>
            <w:rStyle w:val="Hyperlink"/>
            <w:rFonts w:ascii="Times New Roman" w:hAnsi="Times New Roman" w:cs="Times New Roman"/>
            <w:sz w:val="24"/>
            <w:szCs w:val="24"/>
            <w:lang w:val="en-GB"/>
          </w:rPr>
          <w:t>https://mdu.gov.hr/UserDocsImages/Direktorij%202/Slike%20od%20111.23/Dokumenti%20od%20111.23/Nacionalni%20program%20za%20mlade%202023-2025%20A4%20EN%20web..pdf</w:t>
        </w:r>
      </w:hyperlink>
    </w:p>
    <w:p w14:paraId="263CC66C"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Gunnes, M., Thaulow, K., Kaspersen, S. L., Jensen, C., &amp; Ose, S. O. (2025). Young adults not in education, employment, or training (NEET): a global scoping review. </w:t>
      </w:r>
      <w:r w:rsidRPr="006A7F3D">
        <w:rPr>
          <w:rFonts w:ascii="Times New Roman" w:hAnsi="Times New Roman" w:cs="Times New Roman"/>
          <w:i/>
          <w:iCs/>
          <w:sz w:val="24"/>
          <w:szCs w:val="24"/>
          <w:lang w:val="en-GB"/>
        </w:rPr>
        <w:t>BMC Public Health</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25</w:t>
      </w:r>
      <w:r w:rsidRPr="006A7F3D">
        <w:rPr>
          <w:rFonts w:ascii="Times New Roman" w:hAnsi="Times New Roman" w:cs="Times New Roman"/>
          <w:sz w:val="24"/>
          <w:szCs w:val="24"/>
          <w:lang w:val="en-GB"/>
        </w:rPr>
        <w:t>(1). https://doi.org/10.1186/s12889-025-24781-y</w:t>
      </w:r>
    </w:p>
    <w:p w14:paraId="0494F102" w14:textId="77777777" w:rsidR="006A7F3D" w:rsidRDefault="006A7F3D" w:rsidP="009276DF">
      <w:pPr>
        <w:spacing w:line="360" w:lineRule="auto"/>
        <w:ind w:firstLine="708"/>
        <w:jc w:val="both"/>
        <w:rPr>
          <w:rFonts w:ascii="Times New Roman" w:hAnsi="Times New Roman" w:cs="Times New Roman"/>
          <w:sz w:val="24"/>
          <w:szCs w:val="24"/>
        </w:rPr>
      </w:pPr>
      <w:r w:rsidRPr="009C30C5">
        <w:rPr>
          <w:rFonts w:ascii="Times New Roman" w:hAnsi="Times New Roman" w:cs="Times New Roman"/>
          <w:sz w:val="24"/>
          <w:szCs w:val="24"/>
          <w:lang w:val="en-GB"/>
        </w:rPr>
        <w:t xml:space="preserve">Hallaert, J. J. (Ed.). (2022). </w:t>
      </w:r>
      <w:r w:rsidRPr="009C30C5">
        <w:rPr>
          <w:rFonts w:ascii="Times New Roman" w:hAnsi="Times New Roman" w:cs="Times New Roman"/>
          <w:i/>
          <w:iCs/>
          <w:sz w:val="24"/>
          <w:szCs w:val="24"/>
          <w:lang w:val="en-GB"/>
        </w:rPr>
        <w:t>European Labor Markets and the COVID-19 Pandemic</w:t>
      </w:r>
      <w:r w:rsidRPr="009C30C5">
        <w:rPr>
          <w:rFonts w:ascii="Times New Roman" w:hAnsi="Times New Roman" w:cs="Times New Roman"/>
          <w:sz w:val="24"/>
          <w:szCs w:val="24"/>
          <w:lang w:val="en-GB"/>
        </w:rPr>
        <w:t xml:space="preserve"> (IMF Departmental Paper 2022/004). International Monetary Fund. </w:t>
      </w:r>
      <w:hyperlink r:id="rId65" w:history="1">
        <w:r w:rsidRPr="009C30C5">
          <w:rPr>
            <w:rStyle w:val="Hyperlink"/>
            <w:rFonts w:ascii="Times New Roman" w:hAnsi="Times New Roman" w:cs="Times New Roman"/>
            <w:sz w:val="24"/>
            <w:szCs w:val="24"/>
            <w:lang w:val="en-GB"/>
          </w:rPr>
          <w:t>https://www.elibrary.imf.org/downloadpdf/view/journals/087/2022/004/087.2022.issue-004-en.pdf</w:t>
        </w:r>
      </w:hyperlink>
    </w:p>
    <w:p w14:paraId="60EE900C"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Hrvatski </w:t>
      </w:r>
      <w:proofErr w:type="spellStart"/>
      <w:r w:rsidRPr="006A7F3D">
        <w:rPr>
          <w:rFonts w:ascii="Times New Roman" w:hAnsi="Times New Roman" w:cs="Times New Roman"/>
          <w:sz w:val="24"/>
          <w:szCs w:val="24"/>
          <w:lang w:val="en-GB"/>
        </w:rPr>
        <w:t>zavod</w:t>
      </w:r>
      <w:proofErr w:type="spellEnd"/>
      <w:r w:rsidRPr="006A7F3D">
        <w:rPr>
          <w:rFonts w:ascii="Times New Roman" w:hAnsi="Times New Roman" w:cs="Times New Roman"/>
          <w:sz w:val="24"/>
          <w:szCs w:val="24"/>
          <w:lang w:val="en-GB"/>
        </w:rPr>
        <w:t xml:space="preserve"> za </w:t>
      </w:r>
      <w:proofErr w:type="spellStart"/>
      <w:proofErr w:type="gramStart"/>
      <w:r w:rsidRPr="006A7F3D">
        <w:rPr>
          <w:rFonts w:ascii="Times New Roman" w:hAnsi="Times New Roman" w:cs="Times New Roman"/>
          <w:sz w:val="24"/>
          <w:szCs w:val="24"/>
          <w:lang w:val="en-GB"/>
        </w:rPr>
        <w:t>zapošljavanje</w:t>
      </w:r>
      <w:proofErr w:type="spellEnd"/>
      <w:r w:rsidRPr="006A7F3D">
        <w:rPr>
          <w:rFonts w:ascii="Times New Roman" w:hAnsi="Times New Roman" w:cs="Times New Roman"/>
          <w:sz w:val="24"/>
          <w:szCs w:val="24"/>
          <w:lang w:val="en-GB"/>
        </w:rPr>
        <w:t xml:space="preserve"> .</w:t>
      </w:r>
      <w:proofErr w:type="gramEnd"/>
      <w:r w:rsidRPr="006A7F3D">
        <w:rPr>
          <w:rFonts w:ascii="Times New Roman" w:hAnsi="Times New Roman" w:cs="Times New Roman"/>
          <w:sz w:val="24"/>
          <w:szCs w:val="24"/>
          <w:lang w:val="en-GB"/>
        </w:rPr>
        <w:t xml:space="preserve"> (2024). </w:t>
      </w:r>
      <w:r w:rsidRPr="006A7F3D">
        <w:rPr>
          <w:rFonts w:ascii="Times New Roman" w:hAnsi="Times New Roman" w:cs="Times New Roman"/>
          <w:i/>
          <w:iCs/>
          <w:sz w:val="24"/>
          <w:szCs w:val="24"/>
          <w:lang w:val="en-GB"/>
        </w:rPr>
        <w:t xml:space="preserve">Hrvatski </w:t>
      </w:r>
      <w:proofErr w:type="spellStart"/>
      <w:r w:rsidRPr="006A7F3D">
        <w:rPr>
          <w:rFonts w:ascii="Times New Roman" w:hAnsi="Times New Roman" w:cs="Times New Roman"/>
          <w:i/>
          <w:iCs/>
          <w:sz w:val="24"/>
          <w:szCs w:val="24"/>
          <w:lang w:val="en-GB"/>
        </w:rPr>
        <w:t>zavod</w:t>
      </w:r>
      <w:proofErr w:type="spellEnd"/>
      <w:r w:rsidRPr="006A7F3D">
        <w:rPr>
          <w:rFonts w:ascii="Times New Roman" w:hAnsi="Times New Roman" w:cs="Times New Roman"/>
          <w:i/>
          <w:iCs/>
          <w:sz w:val="24"/>
          <w:szCs w:val="24"/>
          <w:lang w:val="en-GB"/>
        </w:rPr>
        <w:t xml:space="preserve"> za </w:t>
      </w:r>
      <w:proofErr w:type="spellStart"/>
      <w:r w:rsidRPr="006A7F3D">
        <w:rPr>
          <w:rFonts w:ascii="Times New Roman" w:hAnsi="Times New Roman" w:cs="Times New Roman"/>
          <w:i/>
          <w:iCs/>
          <w:sz w:val="24"/>
          <w:szCs w:val="24"/>
          <w:lang w:val="en-GB"/>
        </w:rPr>
        <w:t>zapošljavanje</w:t>
      </w:r>
      <w:proofErr w:type="spellEnd"/>
      <w:r w:rsidRPr="006A7F3D">
        <w:rPr>
          <w:rFonts w:ascii="Times New Roman" w:hAnsi="Times New Roman" w:cs="Times New Roman"/>
          <w:i/>
          <w:iCs/>
          <w:sz w:val="24"/>
          <w:szCs w:val="24"/>
          <w:lang w:val="en-GB"/>
        </w:rPr>
        <w:t xml:space="preserve"> GODIŠNJI IZVJEŠTAJ O RADU</w:t>
      </w:r>
      <w:r w:rsidRPr="006A7F3D">
        <w:rPr>
          <w:rFonts w:ascii="Times New Roman" w:hAnsi="Times New Roman" w:cs="Times New Roman"/>
          <w:sz w:val="24"/>
          <w:szCs w:val="24"/>
          <w:lang w:val="en-GB"/>
        </w:rPr>
        <w:t>. https://vlada.gov.hr/UserDocsImages//2016/Sjednice/2024/Srpanj/15_sjednica_VRH//15%20-%2016%20Izvjesce.pdf?utm_source=chatgpt.com</w:t>
      </w:r>
    </w:p>
    <w:p w14:paraId="3B1910A6"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Hrvatski </w:t>
      </w:r>
      <w:proofErr w:type="spellStart"/>
      <w:r w:rsidRPr="006A7F3D">
        <w:rPr>
          <w:rFonts w:ascii="Times New Roman" w:hAnsi="Times New Roman" w:cs="Times New Roman"/>
          <w:sz w:val="24"/>
          <w:szCs w:val="24"/>
          <w:lang w:val="en-GB"/>
        </w:rPr>
        <w:t>zavod</w:t>
      </w:r>
      <w:proofErr w:type="spellEnd"/>
      <w:r w:rsidRPr="006A7F3D">
        <w:rPr>
          <w:rFonts w:ascii="Times New Roman" w:hAnsi="Times New Roman" w:cs="Times New Roman"/>
          <w:sz w:val="24"/>
          <w:szCs w:val="24"/>
          <w:lang w:val="en-GB"/>
        </w:rPr>
        <w:t xml:space="preserve"> za </w:t>
      </w:r>
      <w:proofErr w:type="spellStart"/>
      <w:r w:rsidRPr="006A7F3D">
        <w:rPr>
          <w:rFonts w:ascii="Times New Roman" w:hAnsi="Times New Roman" w:cs="Times New Roman"/>
          <w:sz w:val="24"/>
          <w:szCs w:val="24"/>
          <w:lang w:val="en-GB"/>
        </w:rPr>
        <w:t>zapošljavanje</w:t>
      </w:r>
      <w:proofErr w:type="spellEnd"/>
      <w:r w:rsidRPr="006A7F3D">
        <w:rPr>
          <w:rFonts w:ascii="Times New Roman" w:hAnsi="Times New Roman" w:cs="Times New Roman"/>
          <w:sz w:val="24"/>
          <w:szCs w:val="24"/>
          <w:lang w:val="en-GB"/>
        </w:rPr>
        <w:t xml:space="preserve">. (2025). </w:t>
      </w:r>
      <w:r w:rsidRPr="006A7F3D">
        <w:rPr>
          <w:rFonts w:ascii="Times New Roman" w:hAnsi="Times New Roman" w:cs="Times New Roman"/>
          <w:i/>
          <w:iCs/>
          <w:sz w:val="24"/>
          <w:szCs w:val="24"/>
          <w:lang w:val="en-GB"/>
        </w:rPr>
        <w:t xml:space="preserve">Hrvatski </w:t>
      </w:r>
      <w:proofErr w:type="spellStart"/>
      <w:r w:rsidRPr="006A7F3D">
        <w:rPr>
          <w:rFonts w:ascii="Times New Roman" w:hAnsi="Times New Roman" w:cs="Times New Roman"/>
          <w:i/>
          <w:iCs/>
          <w:sz w:val="24"/>
          <w:szCs w:val="24"/>
          <w:lang w:val="en-GB"/>
        </w:rPr>
        <w:t>zavod</w:t>
      </w:r>
      <w:proofErr w:type="spellEnd"/>
      <w:r w:rsidRPr="006A7F3D">
        <w:rPr>
          <w:rFonts w:ascii="Times New Roman" w:hAnsi="Times New Roman" w:cs="Times New Roman"/>
          <w:i/>
          <w:iCs/>
          <w:sz w:val="24"/>
          <w:szCs w:val="24"/>
          <w:lang w:val="en-GB"/>
        </w:rPr>
        <w:t xml:space="preserve"> za </w:t>
      </w:r>
      <w:proofErr w:type="spellStart"/>
      <w:r w:rsidRPr="006A7F3D">
        <w:rPr>
          <w:rFonts w:ascii="Times New Roman" w:hAnsi="Times New Roman" w:cs="Times New Roman"/>
          <w:i/>
          <w:iCs/>
          <w:sz w:val="24"/>
          <w:szCs w:val="24"/>
          <w:lang w:val="en-GB"/>
        </w:rPr>
        <w:t>zapošljavanje</w:t>
      </w:r>
      <w:proofErr w:type="spellEnd"/>
      <w:r w:rsidRPr="006A7F3D">
        <w:rPr>
          <w:rFonts w:ascii="Times New Roman" w:hAnsi="Times New Roman" w:cs="Times New Roman"/>
          <w:i/>
          <w:iCs/>
          <w:sz w:val="24"/>
          <w:szCs w:val="24"/>
          <w:lang w:val="en-GB"/>
        </w:rPr>
        <w:t xml:space="preserve"> - </w:t>
      </w:r>
      <w:proofErr w:type="spellStart"/>
      <w:r w:rsidRPr="006A7F3D">
        <w:rPr>
          <w:rFonts w:ascii="Times New Roman" w:hAnsi="Times New Roman" w:cs="Times New Roman"/>
          <w:i/>
          <w:iCs/>
          <w:sz w:val="24"/>
          <w:szCs w:val="24"/>
          <w:lang w:val="en-GB"/>
        </w:rPr>
        <w:t>Statistika</w:t>
      </w:r>
      <w:proofErr w:type="spellEnd"/>
      <w:r w:rsidRPr="006A7F3D">
        <w:rPr>
          <w:rFonts w:ascii="Times New Roman" w:hAnsi="Times New Roman" w:cs="Times New Roman"/>
          <w:i/>
          <w:iCs/>
          <w:sz w:val="24"/>
          <w:szCs w:val="24"/>
          <w:lang w:val="en-GB"/>
        </w:rPr>
        <w:t xml:space="preserve"> On-Line</w:t>
      </w:r>
      <w:r w:rsidRPr="006A7F3D">
        <w:rPr>
          <w:rFonts w:ascii="Times New Roman" w:hAnsi="Times New Roman" w:cs="Times New Roman"/>
          <w:sz w:val="24"/>
          <w:szCs w:val="24"/>
          <w:lang w:val="en-GB"/>
        </w:rPr>
        <w:t>. Statistika.hzz.hr. https://statistika.hzz.hr/?utm</w:t>
      </w:r>
    </w:p>
    <w:p w14:paraId="4BA0868C"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International Energy Agency (IEA). (2025). </w:t>
      </w:r>
      <w:r w:rsidRPr="00AF1FCB">
        <w:rPr>
          <w:rFonts w:ascii="Times New Roman" w:hAnsi="Times New Roman" w:cs="Times New Roman"/>
          <w:i/>
          <w:iCs/>
          <w:sz w:val="24"/>
          <w:szCs w:val="24"/>
        </w:rPr>
        <w:t>Energy efficiency policy toolkit 2025: Heat pumps for buildings</w:t>
      </w:r>
      <w:r w:rsidRPr="00AF1FCB">
        <w:rPr>
          <w:rFonts w:ascii="Times New Roman" w:hAnsi="Times New Roman" w:cs="Times New Roman"/>
          <w:sz w:val="24"/>
          <w:szCs w:val="24"/>
        </w:rPr>
        <w:t xml:space="preserve">. </w:t>
      </w:r>
      <w:hyperlink r:id="rId66" w:history="1">
        <w:r w:rsidRPr="00AF1FCB">
          <w:rPr>
            <w:rStyle w:val="Hyperlink"/>
            <w:rFonts w:ascii="Times New Roman" w:hAnsi="Times New Roman" w:cs="Times New Roman"/>
            <w:sz w:val="24"/>
            <w:szCs w:val="24"/>
          </w:rPr>
          <w:t>https://www.iea.org/reports/energy-efficiency-policy-toolkit-2025/heat-pumps-for-buildings</w:t>
        </w:r>
      </w:hyperlink>
      <w:r w:rsidRPr="00AF1FCB">
        <w:rPr>
          <w:rFonts w:ascii="Times New Roman" w:hAnsi="Times New Roman" w:cs="Times New Roman"/>
          <w:sz w:val="24"/>
          <w:szCs w:val="24"/>
        </w:rPr>
        <w:t xml:space="preserve"> (</w:t>
      </w:r>
      <w:hyperlink r:id="rId67" w:tooltip="Heat Pumps for Buildings – Energy Efficiency Policy Toolkit ..." w:history="1">
        <w:r w:rsidRPr="00AF1FCB">
          <w:rPr>
            <w:rStyle w:val="Hyperlink"/>
            <w:rFonts w:ascii="Times New Roman" w:hAnsi="Times New Roman" w:cs="Times New Roman"/>
            <w:sz w:val="24"/>
            <w:szCs w:val="24"/>
          </w:rPr>
          <w:t>IEA</w:t>
        </w:r>
      </w:hyperlink>
      <w:r w:rsidRPr="00AF1FCB">
        <w:rPr>
          <w:rFonts w:ascii="Times New Roman" w:hAnsi="Times New Roman" w:cs="Times New Roman"/>
          <w:sz w:val="24"/>
          <w:szCs w:val="24"/>
        </w:rPr>
        <w:t>)</w:t>
      </w:r>
    </w:p>
    <w:p w14:paraId="68568552"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International Energy Agency (IEA). (n.d.). </w:t>
      </w:r>
      <w:r w:rsidRPr="00AF1FCB">
        <w:rPr>
          <w:rFonts w:ascii="Times New Roman" w:hAnsi="Times New Roman" w:cs="Times New Roman"/>
          <w:i/>
          <w:iCs/>
          <w:sz w:val="24"/>
          <w:szCs w:val="24"/>
        </w:rPr>
        <w:t>The Netherlands—Countries &amp; regions</w:t>
      </w:r>
      <w:r w:rsidRPr="00AF1FCB">
        <w:rPr>
          <w:rFonts w:ascii="Times New Roman" w:hAnsi="Times New Roman" w:cs="Times New Roman"/>
          <w:sz w:val="24"/>
          <w:szCs w:val="24"/>
        </w:rPr>
        <w:t xml:space="preserve">. </w:t>
      </w:r>
      <w:hyperlink r:id="rId68" w:history="1">
        <w:r w:rsidRPr="00AF1FCB">
          <w:rPr>
            <w:rStyle w:val="Hyperlink"/>
            <w:rFonts w:ascii="Times New Roman" w:hAnsi="Times New Roman" w:cs="Times New Roman"/>
            <w:sz w:val="24"/>
            <w:szCs w:val="24"/>
          </w:rPr>
          <w:t>https://www.iea.org/countries/the-netherlands</w:t>
        </w:r>
      </w:hyperlink>
      <w:r w:rsidRPr="00AF1FCB">
        <w:rPr>
          <w:rFonts w:ascii="Times New Roman" w:hAnsi="Times New Roman" w:cs="Times New Roman"/>
          <w:sz w:val="24"/>
          <w:szCs w:val="24"/>
        </w:rPr>
        <w:t xml:space="preserve"> (</w:t>
      </w:r>
      <w:hyperlink r:id="rId69" w:tooltip="The Netherlands - Countries &amp; Regions" w:history="1">
        <w:r w:rsidRPr="00AF1FCB">
          <w:rPr>
            <w:rStyle w:val="Hyperlink"/>
            <w:rFonts w:ascii="Times New Roman" w:hAnsi="Times New Roman" w:cs="Times New Roman"/>
            <w:sz w:val="24"/>
            <w:szCs w:val="24"/>
          </w:rPr>
          <w:t>IEA</w:t>
        </w:r>
      </w:hyperlink>
      <w:r w:rsidRPr="00AF1FCB">
        <w:rPr>
          <w:rFonts w:ascii="Times New Roman" w:hAnsi="Times New Roman" w:cs="Times New Roman"/>
          <w:sz w:val="24"/>
          <w:szCs w:val="24"/>
        </w:rPr>
        <w:t>)</w:t>
      </w:r>
    </w:p>
    <w:p w14:paraId="5A457A2C"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International Labour Organization (ILO). (2025, February 11). </w:t>
      </w:r>
      <w:r w:rsidRPr="006A7F3D">
        <w:rPr>
          <w:rFonts w:ascii="Times New Roman" w:hAnsi="Times New Roman" w:cs="Times New Roman"/>
          <w:i/>
          <w:iCs/>
          <w:sz w:val="24"/>
          <w:szCs w:val="24"/>
          <w:lang w:val="en-GB"/>
        </w:rPr>
        <w:t>Measuring what matters: NEET vs youth unemployment</w:t>
      </w:r>
      <w:r w:rsidRPr="006A7F3D">
        <w:rPr>
          <w:rFonts w:ascii="Times New Roman" w:hAnsi="Times New Roman" w:cs="Times New Roman"/>
          <w:sz w:val="24"/>
          <w:szCs w:val="24"/>
          <w:lang w:val="en-GB"/>
        </w:rPr>
        <w:t>. International Labour Organization. https://www.ilo.org/resource/article/measuring-what-matters-neet-vs-youth-unemployment</w:t>
      </w:r>
    </w:p>
    <w:p w14:paraId="366CCC97" w14:textId="77777777" w:rsidR="006A7F3D" w:rsidRPr="003E1F48" w:rsidRDefault="006A7F3D" w:rsidP="005C2B62">
      <w:pPr>
        <w:spacing w:line="360" w:lineRule="auto"/>
        <w:ind w:firstLine="708"/>
        <w:jc w:val="both"/>
        <w:rPr>
          <w:rFonts w:ascii="Times New Roman" w:hAnsi="Times New Roman" w:cs="Times New Roman"/>
          <w:sz w:val="24"/>
          <w:szCs w:val="24"/>
        </w:rPr>
      </w:pPr>
      <w:r w:rsidRPr="003E1F48">
        <w:rPr>
          <w:rFonts w:ascii="Times New Roman" w:hAnsi="Times New Roman" w:cs="Times New Roman"/>
          <w:sz w:val="24"/>
          <w:szCs w:val="24"/>
        </w:rPr>
        <w:t xml:space="preserve">Jensen, L., &amp; Meinardi, C. (2025, March). </w:t>
      </w:r>
      <w:r w:rsidRPr="003E1F48">
        <w:rPr>
          <w:rFonts w:ascii="Times New Roman" w:hAnsi="Times New Roman" w:cs="Times New Roman"/>
          <w:i/>
          <w:iCs/>
          <w:sz w:val="24"/>
          <w:szCs w:val="24"/>
        </w:rPr>
        <w:t>Roadmap to EU climate neutrality – Scrutiny of Member States: Croatia's climate action strategy</w:t>
      </w:r>
      <w:r w:rsidRPr="003E1F48">
        <w:rPr>
          <w:rFonts w:ascii="Times New Roman" w:hAnsi="Times New Roman" w:cs="Times New Roman"/>
          <w:sz w:val="24"/>
          <w:szCs w:val="24"/>
        </w:rPr>
        <w:t xml:space="preserve"> (PE 769.561). European Parliamentary Research Service (EPRS). </w:t>
      </w:r>
      <w:r w:rsidRPr="003E1F48">
        <w:rPr>
          <w:rFonts w:ascii="Times New Roman" w:hAnsi="Times New Roman" w:cs="Times New Roman"/>
          <w:sz w:val="24"/>
          <w:szCs w:val="24"/>
        </w:rPr>
        <w:fldChar w:fldCharType="begin"/>
      </w:r>
      <w:r w:rsidRPr="003E1F48">
        <w:rPr>
          <w:rFonts w:ascii="Times New Roman" w:hAnsi="Times New Roman" w:cs="Times New Roman"/>
          <w:sz w:val="24"/>
          <w:szCs w:val="24"/>
        </w:rPr>
        <w:instrText>HYPERLINK "https://www.europarl.europa.eu/RegData/etudes/BRIE/2025/769561/EPRS_BRI%282025%29769561_EN.pdf" \t "_new"</w:instrText>
      </w:r>
      <w:r w:rsidRPr="003E1F48">
        <w:rPr>
          <w:rFonts w:ascii="Times New Roman" w:hAnsi="Times New Roman" w:cs="Times New Roman"/>
          <w:sz w:val="24"/>
          <w:szCs w:val="24"/>
        </w:rPr>
      </w:r>
      <w:r w:rsidRPr="003E1F48">
        <w:rPr>
          <w:rFonts w:ascii="Times New Roman" w:hAnsi="Times New Roman" w:cs="Times New Roman"/>
          <w:sz w:val="24"/>
          <w:szCs w:val="24"/>
        </w:rPr>
        <w:fldChar w:fldCharType="separate"/>
      </w:r>
      <w:r w:rsidRPr="003E1F48">
        <w:rPr>
          <w:rStyle w:val="Hyperlink"/>
          <w:rFonts w:ascii="Times New Roman" w:hAnsi="Times New Roman" w:cs="Times New Roman"/>
          <w:sz w:val="24"/>
          <w:szCs w:val="24"/>
        </w:rPr>
        <w:t>https://www.europarl.europa.eu/RegData/etudes/BRIE/2025/769561/EPRS_BRI%282025%29769561_EN.pdf</w:t>
      </w:r>
      <w:r w:rsidRPr="003E1F48">
        <w:rPr>
          <w:rFonts w:ascii="Times New Roman" w:hAnsi="Times New Roman" w:cs="Times New Roman"/>
          <w:sz w:val="24"/>
          <w:szCs w:val="24"/>
        </w:rPr>
        <w:fldChar w:fldCharType="end"/>
      </w:r>
    </w:p>
    <w:p w14:paraId="06F19832"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Kiss, Á., Chiara Morandini, M., Turrini, A., &amp; </w:t>
      </w:r>
      <w:proofErr w:type="spellStart"/>
      <w:r w:rsidRPr="006A7F3D">
        <w:rPr>
          <w:rFonts w:ascii="Times New Roman" w:hAnsi="Times New Roman" w:cs="Times New Roman"/>
          <w:sz w:val="24"/>
          <w:szCs w:val="24"/>
          <w:lang w:val="en-GB"/>
        </w:rPr>
        <w:t>Vandeplas</w:t>
      </w:r>
      <w:proofErr w:type="spellEnd"/>
      <w:r w:rsidRPr="006A7F3D">
        <w:rPr>
          <w:rFonts w:ascii="Times New Roman" w:hAnsi="Times New Roman" w:cs="Times New Roman"/>
          <w:sz w:val="24"/>
          <w:szCs w:val="24"/>
          <w:lang w:val="en-GB"/>
        </w:rPr>
        <w:t xml:space="preserve">, A. (2022). </w:t>
      </w:r>
      <w:r w:rsidRPr="006A7F3D">
        <w:rPr>
          <w:rFonts w:ascii="Times New Roman" w:hAnsi="Times New Roman" w:cs="Times New Roman"/>
          <w:i/>
          <w:iCs/>
          <w:sz w:val="24"/>
          <w:szCs w:val="24"/>
          <w:lang w:val="en-GB"/>
        </w:rPr>
        <w:t>Economic and Financial Affairs EUROPEAN ECONOMY Slack &amp; Tightness: Making Sense of Post COVID-19 Labour Market Developments in the EU</w:t>
      </w:r>
      <w:r w:rsidRPr="006A7F3D">
        <w:rPr>
          <w:rFonts w:ascii="Times New Roman" w:hAnsi="Times New Roman" w:cs="Times New Roman"/>
          <w:sz w:val="24"/>
          <w:szCs w:val="24"/>
          <w:lang w:val="en-GB"/>
        </w:rPr>
        <w:t>. https://doi.org/10.2765/166401</w:t>
      </w:r>
    </w:p>
    <w:p w14:paraId="7D6879BF" w14:textId="77777777" w:rsidR="006A7F3D" w:rsidRPr="003E1F48" w:rsidRDefault="006A7F3D" w:rsidP="005C2B62">
      <w:pPr>
        <w:spacing w:line="360" w:lineRule="auto"/>
        <w:ind w:firstLine="708"/>
        <w:jc w:val="both"/>
        <w:rPr>
          <w:rFonts w:ascii="Times New Roman" w:hAnsi="Times New Roman" w:cs="Times New Roman"/>
          <w:sz w:val="24"/>
          <w:szCs w:val="24"/>
        </w:rPr>
      </w:pPr>
      <w:r w:rsidRPr="005C2B62">
        <w:rPr>
          <w:rFonts w:ascii="Times New Roman" w:hAnsi="Times New Roman" w:cs="Times New Roman"/>
          <w:sz w:val="24"/>
          <w:szCs w:val="24"/>
        </w:rPr>
        <w:t xml:space="preserve">Kolarić, E. (2025). </w:t>
      </w:r>
      <w:r w:rsidRPr="005C2B62">
        <w:rPr>
          <w:rFonts w:ascii="Times New Roman" w:hAnsi="Times New Roman" w:cs="Times New Roman"/>
          <w:i/>
          <w:iCs/>
          <w:sz w:val="24"/>
          <w:szCs w:val="24"/>
        </w:rPr>
        <w:t>Uloga aktivne politike zapošljavanja u aktiviranju NEET populacije</w:t>
      </w:r>
      <w:r w:rsidRPr="005C2B62">
        <w:rPr>
          <w:rFonts w:ascii="Times New Roman" w:hAnsi="Times New Roman" w:cs="Times New Roman"/>
          <w:sz w:val="24"/>
          <w:szCs w:val="24"/>
        </w:rPr>
        <w:t xml:space="preserve"> [Diplomski rad, Sveučilište u Zagrebu, Pravni fakultet]. urn:nbn:hr:199:653372. </w:t>
      </w:r>
      <w:r w:rsidRPr="005C2B62">
        <w:rPr>
          <w:rFonts w:ascii="Times New Roman" w:hAnsi="Times New Roman" w:cs="Times New Roman"/>
          <w:sz w:val="24"/>
          <w:szCs w:val="24"/>
        </w:rPr>
        <w:fldChar w:fldCharType="begin"/>
      </w:r>
      <w:r w:rsidRPr="005C2B62">
        <w:rPr>
          <w:rFonts w:ascii="Times New Roman" w:hAnsi="Times New Roman" w:cs="Times New Roman"/>
          <w:sz w:val="24"/>
          <w:szCs w:val="24"/>
        </w:rPr>
        <w:instrText>HYPERLINK "https://urn.nsk.hr/urn:nbn:hr:199:653372" \t "_new"</w:instrText>
      </w:r>
      <w:r w:rsidRPr="005C2B62">
        <w:rPr>
          <w:rFonts w:ascii="Times New Roman" w:hAnsi="Times New Roman" w:cs="Times New Roman"/>
          <w:sz w:val="24"/>
          <w:szCs w:val="24"/>
        </w:rPr>
      </w:r>
      <w:r w:rsidRPr="005C2B62">
        <w:rPr>
          <w:rFonts w:ascii="Times New Roman" w:hAnsi="Times New Roman" w:cs="Times New Roman"/>
          <w:sz w:val="24"/>
          <w:szCs w:val="24"/>
        </w:rPr>
        <w:fldChar w:fldCharType="separate"/>
      </w:r>
      <w:r w:rsidRPr="005C2B62">
        <w:rPr>
          <w:rStyle w:val="Hyperlink"/>
          <w:rFonts w:ascii="Times New Roman" w:hAnsi="Times New Roman" w:cs="Times New Roman"/>
          <w:sz w:val="24"/>
          <w:szCs w:val="24"/>
        </w:rPr>
        <w:t>https://urn.nsk.hr/urn:nbn:hr:199:653372</w:t>
      </w:r>
      <w:r w:rsidRPr="005C2B62">
        <w:rPr>
          <w:rFonts w:ascii="Times New Roman" w:hAnsi="Times New Roman" w:cs="Times New Roman"/>
          <w:sz w:val="24"/>
          <w:szCs w:val="24"/>
        </w:rPr>
        <w:fldChar w:fldCharType="end"/>
      </w:r>
    </w:p>
    <w:p w14:paraId="2C138E72"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sz w:val="24"/>
          <w:szCs w:val="24"/>
          <w:lang w:val="en-GB"/>
        </w:rPr>
        <w:t>Ministarstvo</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znanosti</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i</w:t>
      </w:r>
      <w:proofErr w:type="spellEnd"/>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obrazovanja</w:t>
      </w:r>
      <w:proofErr w:type="spellEnd"/>
      <w:r w:rsidRPr="006A7F3D">
        <w:rPr>
          <w:rFonts w:ascii="Times New Roman" w:hAnsi="Times New Roman" w:cs="Times New Roman"/>
          <w:sz w:val="24"/>
          <w:szCs w:val="24"/>
          <w:lang w:val="en-GB"/>
        </w:rPr>
        <w:t xml:space="preserve"> (MZO). (2024). </w:t>
      </w:r>
      <w:r w:rsidRPr="006A7F3D">
        <w:rPr>
          <w:rFonts w:ascii="Times New Roman" w:hAnsi="Times New Roman" w:cs="Times New Roman"/>
          <w:i/>
          <w:iCs/>
          <w:sz w:val="24"/>
          <w:szCs w:val="24"/>
          <w:lang w:val="en-GB"/>
        </w:rPr>
        <w:t xml:space="preserve">Model </w:t>
      </w:r>
      <w:proofErr w:type="spellStart"/>
      <w:r w:rsidRPr="006A7F3D">
        <w:rPr>
          <w:rFonts w:ascii="Times New Roman" w:hAnsi="Times New Roman" w:cs="Times New Roman"/>
          <w:i/>
          <w:iCs/>
          <w:sz w:val="24"/>
          <w:szCs w:val="24"/>
          <w:lang w:val="en-GB"/>
        </w:rPr>
        <w:t>hrvatskoga</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dualnog</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obrazovanja</w:t>
      </w:r>
      <w:proofErr w:type="spellEnd"/>
      <w:r w:rsidRPr="006A7F3D">
        <w:rPr>
          <w:rFonts w:ascii="Times New Roman" w:hAnsi="Times New Roman" w:cs="Times New Roman"/>
          <w:sz w:val="24"/>
          <w:szCs w:val="24"/>
          <w:lang w:val="en-GB"/>
        </w:rPr>
        <w:t>. Mzo.gov.hr. https://mzom.gov.hr/istaknute-teme/odgoj-i-obrazovanje/srednjoskolski-odgoj-i-obrazovanje/reforma-strukovnog-obrazovanja/model-hrvatskoga-dualnog-obrazovanja/988</w:t>
      </w:r>
    </w:p>
    <w:p w14:paraId="054C8136"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proofErr w:type="spellStart"/>
      <w:r w:rsidRPr="006A7F3D">
        <w:rPr>
          <w:rFonts w:ascii="Times New Roman" w:hAnsi="Times New Roman" w:cs="Times New Roman"/>
          <w:i/>
          <w:iCs/>
          <w:sz w:val="24"/>
          <w:szCs w:val="24"/>
          <w:lang w:val="en-GB"/>
        </w:rPr>
        <w:t>Nacionalni</w:t>
      </w:r>
      <w:proofErr w:type="spellEnd"/>
      <w:r w:rsidRPr="006A7F3D">
        <w:rPr>
          <w:rFonts w:ascii="Times New Roman" w:hAnsi="Times New Roman" w:cs="Times New Roman"/>
          <w:i/>
          <w:iCs/>
          <w:sz w:val="24"/>
          <w:szCs w:val="24"/>
          <w:lang w:val="en-GB"/>
        </w:rPr>
        <w:t xml:space="preserve"> program za </w:t>
      </w:r>
      <w:proofErr w:type="spellStart"/>
      <w:r w:rsidRPr="006A7F3D">
        <w:rPr>
          <w:rFonts w:ascii="Times New Roman" w:hAnsi="Times New Roman" w:cs="Times New Roman"/>
          <w:i/>
          <w:iCs/>
          <w:sz w:val="24"/>
          <w:szCs w:val="24"/>
          <w:lang w:val="en-GB"/>
        </w:rPr>
        <w:t>mlade</w:t>
      </w:r>
      <w:proofErr w:type="spellEnd"/>
      <w:r w:rsidRPr="006A7F3D">
        <w:rPr>
          <w:rFonts w:ascii="Times New Roman" w:hAnsi="Times New Roman" w:cs="Times New Roman"/>
          <w:i/>
          <w:iCs/>
          <w:sz w:val="24"/>
          <w:szCs w:val="24"/>
          <w:lang w:val="en-GB"/>
        </w:rPr>
        <w:t xml:space="preserve"> 2023–2025</w:t>
      </w:r>
      <w:r w:rsidRPr="006A7F3D">
        <w:rPr>
          <w:rFonts w:ascii="Times New Roman" w:hAnsi="Times New Roman" w:cs="Times New Roman"/>
          <w:sz w:val="24"/>
          <w:szCs w:val="24"/>
          <w:lang w:val="en-GB"/>
        </w:rPr>
        <w:t xml:space="preserve">. (2022). </w:t>
      </w:r>
      <w:proofErr w:type="gramStart"/>
      <w:r w:rsidRPr="006A7F3D">
        <w:rPr>
          <w:rFonts w:ascii="Times New Roman" w:hAnsi="Times New Roman" w:cs="Times New Roman"/>
          <w:sz w:val="24"/>
          <w:szCs w:val="24"/>
          <w:lang w:val="en-GB"/>
        </w:rPr>
        <w:t>https://mdu.gov.hr/UserDocsImages/Direktorij%202/Slike%20od%20111.23/Dokumenti%20od%20111.23/Nacionalni%20program%20za%20mlade%202023-2025%20A4%20HR%20web..</w:t>
      </w:r>
      <w:proofErr w:type="gramEnd"/>
      <w:r w:rsidRPr="006A7F3D">
        <w:rPr>
          <w:rFonts w:ascii="Times New Roman" w:hAnsi="Times New Roman" w:cs="Times New Roman"/>
          <w:sz w:val="24"/>
          <w:szCs w:val="24"/>
          <w:lang w:val="en-GB"/>
        </w:rPr>
        <w:t>pdf?utm_source=chatgpt.com</w:t>
      </w:r>
    </w:p>
    <w:p w14:paraId="6305A744"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National Statistics Institute (NSI). (2025). </w:t>
      </w:r>
      <w:r w:rsidRPr="006A7F3D">
        <w:rPr>
          <w:rFonts w:ascii="Times New Roman" w:hAnsi="Times New Roman" w:cs="Times New Roman"/>
          <w:i/>
          <w:iCs/>
          <w:sz w:val="24"/>
          <w:szCs w:val="24"/>
          <w:lang w:val="en-GB"/>
        </w:rPr>
        <w:t>Average Monthly Wages and Salaries – total; statistical regions; district</w:t>
      </w:r>
      <w:r w:rsidRPr="006A7F3D">
        <w:rPr>
          <w:rFonts w:ascii="Times New Roman" w:hAnsi="Times New Roman" w:cs="Times New Roman"/>
          <w:sz w:val="24"/>
          <w:szCs w:val="24"/>
          <w:lang w:val="en-GB"/>
        </w:rPr>
        <w:t>. NSI - National Statistical Institute. https://www.nsi.bg/en/statistical-data/179</w:t>
      </w:r>
    </w:p>
    <w:p w14:paraId="6AEED3D0"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Netherlands 2024 Digital Decade Country Report | Shaping Europe’s digital future</w:t>
      </w:r>
      <w:r w:rsidRPr="006A7F3D">
        <w:rPr>
          <w:rFonts w:ascii="Times New Roman" w:hAnsi="Times New Roman" w:cs="Times New Roman"/>
          <w:sz w:val="24"/>
          <w:szCs w:val="24"/>
          <w:lang w:val="en-GB"/>
        </w:rPr>
        <w:t>. (2024a). Europa.eu. https://digital-strategy.ec.europa.eu/en/factpages/netherlands-2024-digital-decade-country-report?utm</w:t>
      </w:r>
    </w:p>
    <w:p w14:paraId="6740B2EB"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Netherlands 2024 Digital Decade Country Report | Shaping Europe’s digital future</w:t>
      </w:r>
      <w:r w:rsidRPr="006A7F3D">
        <w:rPr>
          <w:rFonts w:ascii="Times New Roman" w:hAnsi="Times New Roman" w:cs="Times New Roman"/>
          <w:sz w:val="24"/>
          <w:szCs w:val="24"/>
          <w:lang w:val="en-GB"/>
        </w:rPr>
        <w:t>. (2024b). Europa.eu. https://digital-strategy.ec.europa.eu/en/factpages/netherlands-2024-digital-decade-country-report?utm</w:t>
      </w:r>
    </w:p>
    <w:p w14:paraId="381CD1FD"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Netherlands 2024 Digital Decade Country Report | Shaping Europe’s digital future</w:t>
      </w:r>
      <w:r w:rsidRPr="006A7F3D">
        <w:rPr>
          <w:rFonts w:ascii="Times New Roman" w:hAnsi="Times New Roman" w:cs="Times New Roman"/>
          <w:sz w:val="24"/>
          <w:szCs w:val="24"/>
          <w:lang w:val="en-GB"/>
        </w:rPr>
        <w:t>. (2024c). Europa.eu. https://digital-strategy.ec.europa.eu/en/factpages/netherlands-2024-digital-decade-country-report?utm</w:t>
      </w:r>
    </w:p>
    <w:p w14:paraId="44B0B0F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lastRenderedPageBreak/>
        <w:t>Netherlands 2024 Digital Decade Country Report | Shaping Europe’s digital future</w:t>
      </w:r>
      <w:r w:rsidRPr="006A7F3D">
        <w:rPr>
          <w:rFonts w:ascii="Times New Roman" w:hAnsi="Times New Roman" w:cs="Times New Roman"/>
          <w:sz w:val="24"/>
          <w:szCs w:val="24"/>
          <w:lang w:val="en-GB"/>
        </w:rPr>
        <w:t>. (2024d). Europa.eu. https://digital-strategy.ec.europa.eu/en/factpages/netherlands-2024-digital-decade-country-report?utm</w:t>
      </w:r>
    </w:p>
    <w:p w14:paraId="49822709"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Netherlands Enterprise Agency (RVO). (2022, March 18). </w:t>
      </w:r>
      <w:r w:rsidRPr="00AF1FCB">
        <w:rPr>
          <w:rFonts w:ascii="Times New Roman" w:hAnsi="Times New Roman" w:cs="Times New Roman"/>
          <w:i/>
          <w:iCs/>
          <w:sz w:val="24"/>
          <w:szCs w:val="24"/>
        </w:rPr>
        <w:t>Additional Offshore Wind Energy Roadmap 2030</w:t>
      </w:r>
      <w:r w:rsidRPr="00AF1FCB">
        <w:rPr>
          <w:rFonts w:ascii="Times New Roman" w:hAnsi="Times New Roman" w:cs="Times New Roman"/>
          <w:sz w:val="24"/>
          <w:szCs w:val="24"/>
        </w:rPr>
        <w:t xml:space="preserve"> [Policy letter]. </w:t>
      </w:r>
      <w:r w:rsidRPr="00AF1FCB">
        <w:rPr>
          <w:rFonts w:ascii="Times New Roman" w:hAnsi="Times New Roman" w:cs="Times New Roman"/>
          <w:sz w:val="24"/>
          <w:szCs w:val="24"/>
        </w:rPr>
        <w:fldChar w:fldCharType="begin"/>
      </w:r>
      <w:r w:rsidRPr="00AF1FCB">
        <w:rPr>
          <w:rFonts w:ascii="Times New Roman" w:hAnsi="Times New Roman" w:cs="Times New Roman"/>
          <w:sz w:val="24"/>
          <w:szCs w:val="24"/>
        </w:rPr>
        <w:instrText>HYPERLINK "https://www.rvo.nl/sites/default/files/2023-07/WOZ-210622022062-Letter-Additional-Offshore-Wind%20Energy-Roadmap-2030.pdf"</w:instrText>
      </w:r>
      <w:r w:rsidRPr="00AF1FCB">
        <w:rPr>
          <w:rFonts w:ascii="Times New Roman" w:hAnsi="Times New Roman" w:cs="Times New Roman"/>
          <w:sz w:val="24"/>
          <w:szCs w:val="24"/>
        </w:rPr>
      </w:r>
      <w:r w:rsidRPr="00AF1FCB">
        <w:rPr>
          <w:rFonts w:ascii="Times New Roman" w:hAnsi="Times New Roman" w:cs="Times New Roman"/>
          <w:sz w:val="24"/>
          <w:szCs w:val="24"/>
        </w:rPr>
        <w:fldChar w:fldCharType="separate"/>
      </w:r>
      <w:r w:rsidRPr="00AF1FCB">
        <w:rPr>
          <w:rStyle w:val="Hyperlink"/>
          <w:rFonts w:ascii="Times New Roman" w:hAnsi="Times New Roman" w:cs="Times New Roman"/>
          <w:sz w:val="24"/>
          <w:szCs w:val="24"/>
        </w:rPr>
        <w:t>https://www.rvo.nl/sites/default/files/2023-07/WOZ-210622022062-Letter-Additional-Offshore-Wind%20Energy-Roadmap-2030.pdf</w:t>
      </w:r>
      <w:r w:rsidRPr="00AF1FCB">
        <w:rPr>
          <w:rFonts w:ascii="Times New Roman" w:hAnsi="Times New Roman" w:cs="Times New Roman"/>
          <w:sz w:val="24"/>
          <w:szCs w:val="24"/>
        </w:rPr>
        <w:fldChar w:fldCharType="end"/>
      </w:r>
      <w:r w:rsidRPr="00AF1FCB">
        <w:rPr>
          <w:rFonts w:ascii="Times New Roman" w:hAnsi="Times New Roman" w:cs="Times New Roman"/>
          <w:sz w:val="24"/>
          <w:szCs w:val="24"/>
        </w:rPr>
        <w:t xml:space="preserve"> (</w:t>
      </w:r>
      <w:hyperlink r:id="rId70" w:tooltip="Additional Offshore Wind Energy Roadmap 2030" w:history="1">
        <w:r w:rsidRPr="00AF1FCB">
          <w:rPr>
            <w:rStyle w:val="Hyperlink"/>
            <w:rFonts w:ascii="Times New Roman" w:hAnsi="Times New Roman" w:cs="Times New Roman"/>
            <w:sz w:val="24"/>
            <w:szCs w:val="24"/>
          </w:rPr>
          <w:t>RVO.nl</w:t>
        </w:r>
      </w:hyperlink>
      <w:r w:rsidRPr="00AF1FCB">
        <w:rPr>
          <w:rFonts w:ascii="Times New Roman" w:hAnsi="Times New Roman" w:cs="Times New Roman"/>
          <w:sz w:val="24"/>
          <w:szCs w:val="24"/>
        </w:rPr>
        <w:t>)</w:t>
      </w:r>
    </w:p>
    <w:p w14:paraId="2120514C"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Netherlands Enterprise Agency (RVO). (2025, September 30). </w:t>
      </w:r>
      <w:r w:rsidRPr="00AF1FCB">
        <w:rPr>
          <w:rFonts w:ascii="Times New Roman" w:hAnsi="Times New Roman" w:cs="Times New Roman"/>
          <w:i/>
          <w:iCs/>
          <w:sz w:val="24"/>
          <w:szCs w:val="24"/>
        </w:rPr>
        <w:t>New offshore wind farms</w:t>
      </w:r>
      <w:r w:rsidRPr="00AF1FCB">
        <w:rPr>
          <w:rFonts w:ascii="Times New Roman" w:hAnsi="Times New Roman" w:cs="Times New Roman"/>
          <w:sz w:val="24"/>
          <w:szCs w:val="24"/>
        </w:rPr>
        <w:t xml:space="preserve">. </w:t>
      </w:r>
      <w:hyperlink r:id="rId71" w:history="1">
        <w:r w:rsidRPr="00AF1FCB">
          <w:rPr>
            <w:rStyle w:val="Hyperlink"/>
            <w:rFonts w:ascii="Times New Roman" w:hAnsi="Times New Roman" w:cs="Times New Roman"/>
            <w:sz w:val="24"/>
            <w:szCs w:val="24"/>
          </w:rPr>
          <w:t>https://english.rvo.nl/topics/offshore-wind-energy/new-offshore-wind-farms</w:t>
        </w:r>
      </w:hyperlink>
      <w:r w:rsidRPr="00AF1FCB">
        <w:rPr>
          <w:rFonts w:ascii="Times New Roman" w:hAnsi="Times New Roman" w:cs="Times New Roman"/>
          <w:sz w:val="24"/>
          <w:szCs w:val="24"/>
        </w:rPr>
        <w:t xml:space="preserve"> (</w:t>
      </w:r>
      <w:hyperlink r:id="rId72" w:tooltip="New offshore wind farms" w:history="1">
        <w:r w:rsidRPr="00AF1FCB">
          <w:rPr>
            <w:rStyle w:val="Hyperlink"/>
            <w:rFonts w:ascii="Times New Roman" w:hAnsi="Times New Roman" w:cs="Times New Roman"/>
            <w:sz w:val="24"/>
            <w:szCs w:val="24"/>
          </w:rPr>
          <w:t>RVO.nl</w:t>
        </w:r>
      </w:hyperlink>
      <w:r w:rsidRPr="00AF1FCB">
        <w:rPr>
          <w:rFonts w:ascii="Times New Roman" w:hAnsi="Times New Roman" w:cs="Times New Roman"/>
          <w:sz w:val="24"/>
          <w:szCs w:val="24"/>
        </w:rPr>
        <w:t>)</w:t>
      </w:r>
    </w:p>
    <w:p w14:paraId="6FDB9FF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Noh, H., &amp; Lee, B. J. (2017). Risk factors of NEET (Not in Employment, Education or Training) in South Korea: an empirical study using panel data. </w:t>
      </w:r>
      <w:r w:rsidRPr="006A7F3D">
        <w:rPr>
          <w:rFonts w:ascii="Times New Roman" w:hAnsi="Times New Roman" w:cs="Times New Roman"/>
          <w:i/>
          <w:iCs/>
          <w:sz w:val="24"/>
          <w:szCs w:val="24"/>
          <w:lang w:val="en-GB"/>
        </w:rPr>
        <w:t>Asia Pacific Journal of Social Work and Development</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27</w:t>
      </w:r>
      <w:r w:rsidRPr="006A7F3D">
        <w:rPr>
          <w:rFonts w:ascii="Times New Roman" w:hAnsi="Times New Roman" w:cs="Times New Roman"/>
          <w:sz w:val="24"/>
          <w:szCs w:val="24"/>
          <w:lang w:val="en-GB"/>
        </w:rPr>
        <w:t>(1), 28–38. https://doi.org/10.1080/02185385.2017.1289860</w:t>
      </w:r>
    </w:p>
    <w:p w14:paraId="5794618E"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Noordzeeloket. (n.d.). </w:t>
      </w:r>
      <w:r w:rsidRPr="00AF1FCB">
        <w:rPr>
          <w:rFonts w:ascii="Times New Roman" w:hAnsi="Times New Roman" w:cs="Times New Roman"/>
          <w:i/>
          <w:iCs/>
          <w:sz w:val="24"/>
          <w:szCs w:val="24"/>
        </w:rPr>
        <w:t>Energy transition in the North Sea</w:t>
      </w:r>
      <w:r w:rsidRPr="00AF1FCB">
        <w:rPr>
          <w:rFonts w:ascii="Times New Roman" w:hAnsi="Times New Roman" w:cs="Times New Roman"/>
          <w:sz w:val="24"/>
          <w:szCs w:val="24"/>
        </w:rPr>
        <w:t xml:space="preserve">. </w:t>
      </w:r>
      <w:hyperlink r:id="rId73" w:history="1">
        <w:r w:rsidRPr="00AF1FCB">
          <w:rPr>
            <w:rStyle w:val="Hyperlink"/>
            <w:rFonts w:ascii="Times New Roman" w:hAnsi="Times New Roman" w:cs="Times New Roman"/>
            <w:sz w:val="24"/>
            <w:szCs w:val="24"/>
          </w:rPr>
          <w:t>https://noordzeeloket.nl/en/functions-use/offshore-wind-energy/energy-transition-north-sea/</w:t>
        </w:r>
      </w:hyperlink>
      <w:r w:rsidRPr="00AF1FCB">
        <w:rPr>
          <w:rFonts w:ascii="Times New Roman" w:hAnsi="Times New Roman" w:cs="Times New Roman"/>
          <w:sz w:val="24"/>
          <w:szCs w:val="24"/>
        </w:rPr>
        <w:t xml:space="preserve"> (</w:t>
      </w:r>
      <w:hyperlink r:id="rId74" w:tooltip="Energy transition in the North Sea" w:history="1">
        <w:r w:rsidRPr="00AF1FCB">
          <w:rPr>
            <w:rStyle w:val="Hyperlink"/>
            <w:rFonts w:ascii="Times New Roman" w:hAnsi="Times New Roman" w:cs="Times New Roman"/>
            <w:sz w:val="24"/>
            <w:szCs w:val="24"/>
          </w:rPr>
          <w:t>Noordzeeloket</w:t>
        </w:r>
      </w:hyperlink>
      <w:r w:rsidRPr="00AF1FCB">
        <w:rPr>
          <w:rFonts w:ascii="Times New Roman" w:hAnsi="Times New Roman" w:cs="Times New Roman"/>
          <w:sz w:val="24"/>
          <w:szCs w:val="24"/>
        </w:rPr>
        <w:t>)</w:t>
      </w:r>
    </w:p>
    <w:p w14:paraId="726F5F9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OECD. (2024). </w:t>
      </w:r>
      <w:r w:rsidRPr="006A7F3D">
        <w:rPr>
          <w:rFonts w:ascii="Times New Roman" w:hAnsi="Times New Roman" w:cs="Times New Roman"/>
          <w:i/>
          <w:iCs/>
          <w:sz w:val="24"/>
          <w:szCs w:val="24"/>
          <w:lang w:val="en-GB"/>
        </w:rPr>
        <w:t>Youth not in employment, education or training (NEET)</w:t>
      </w:r>
      <w:r w:rsidRPr="006A7F3D">
        <w:rPr>
          <w:rFonts w:ascii="Times New Roman" w:hAnsi="Times New Roman" w:cs="Times New Roman"/>
          <w:sz w:val="24"/>
          <w:szCs w:val="24"/>
          <w:lang w:val="en-GB"/>
        </w:rPr>
        <w:t>. OECD. https://www.oecd.org/en/data/indicators/youth-not-in-employment-education-or-training-neet.html</w:t>
      </w:r>
    </w:p>
    <w:p w14:paraId="35B44B34"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OECD. (2025). </w:t>
      </w:r>
      <w:r w:rsidRPr="009276DF">
        <w:rPr>
          <w:rFonts w:ascii="Times New Roman" w:hAnsi="Times New Roman" w:cs="Times New Roman"/>
          <w:i/>
          <w:iCs/>
          <w:sz w:val="24"/>
          <w:szCs w:val="24"/>
          <w:lang w:val="en-GB"/>
        </w:rPr>
        <w:t>OECD Economic Surveys: Netherlands 2025</w:t>
      </w:r>
      <w:r w:rsidRPr="009276DF">
        <w:rPr>
          <w:rFonts w:ascii="Times New Roman" w:hAnsi="Times New Roman" w:cs="Times New Roman"/>
          <w:sz w:val="24"/>
          <w:szCs w:val="24"/>
          <w:lang w:val="en-GB"/>
        </w:rPr>
        <w:t xml:space="preserve">. </w:t>
      </w:r>
      <w:hyperlink r:id="rId75" w:history="1">
        <w:r w:rsidRPr="009276DF">
          <w:rPr>
            <w:rStyle w:val="Hyperlink"/>
            <w:rFonts w:ascii="Times New Roman" w:hAnsi="Times New Roman" w:cs="Times New Roman"/>
            <w:sz w:val="24"/>
            <w:szCs w:val="24"/>
            <w:lang w:val="en-GB"/>
          </w:rPr>
          <w:t>https://www.oecd.org/content/dam/oecd/en/publications/reports/2025/07/oecd-economic-surveys-netherlands-2025_aa9d215c/2dd1f4aa-en.pdf</w:t>
        </w:r>
      </w:hyperlink>
    </w:p>
    <w:p w14:paraId="60B5C7DB" w14:textId="77777777" w:rsidR="006A7F3D" w:rsidRPr="00213DF3"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OECD. (2025, June 17). </w:t>
      </w:r>
      <w:r w:rsidRPr="009276DF">
        <w:rPr>
          <w:rFonts w:ascii="Times New Roman" w:hAnsi="Times New Roman" w:cs="Times New Roman"/>
          <w:i/>
          <w:iCs/>
          <w:sz w:val="24"/>
          <w:szCs w:val="24"/>
          <w:lang w:val="en-GB"/>
        </w:rPr>
        <w:t>Education and Skills in Bulgaria</w:t>
      </w:r>
      <w:r w:rsidRPr="009276DF">
        <w:rPr>
          <w:rFonts w:ascii="Times New Roman" w:hAnsi="Times New Roman" w:cs="Times New Roman"/>
          <w:sz w:val="24"/>
          <w:szCs w:val="24"/>
          <w:lang w:val="en-GB"/>
        </w:rPr>
        <w:t xml:space="preserve"> (National Skills Strategy – full report). </w:t>
      </w:r>
      <w:hyperlink r:id="rId76" w:history="1">
        <w:r w:rsidRPr="009276DF">
          <w:rPr>
            <w:rStyle w:val="Hyperlink"/>
            <w:rFonts w:ascii="Times New Roman" w:hAnsi="Times New Roman" w:cs="Times New Roman"/>
            <w:sz w:val="24"/>
            <w:szCs w:val="24"/>
            <w:lang w:val="en-GB"/>
          </w:rPr>
          <w:t>https://www.oecd.org/en/publications/education-and-skills-in-bulgaria_ac0229da-en/full-report/skills-making-bulgaria-s-skills-system-more-effective-and-future-ready_efa695cd.html</w:t>
        </w:r>
      </w:hyperlink>
    </w:p>
    <w:p w14:paraId="38C0FEB7"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OECD. (2025a). </w:t>
      </w:r>
      <w:r w:rsidRPr="00AF1FCB">
        <w:rPr>
          <w:rFonts w:ascii="Times New Roman" w:hAnsi="Times New Roman" w:cs="Times New Roman"/>
          <w:i/>
          <w:iCs/>
          <w:sz w:val="24"/>
          <w:szCs w:val="24"/>
        </w:rPr>
        <w:t>NEET rate by country 2012–2024</w:t>
      </w:r>
      <w:r w:rsidRPr="00AF1FCB">
        <w:rPr>
          <w:rFonts w:ascii="Times New Roman" w:hAnsi="Times New Roman" w:cs="Times New Roman"/>
          <w:sz w:val="24"/>
          <w:szCs w:val="24"/>
        </w:rPr>
        <w:t xml:space="preserve"> [Dataset]. </w:t>
      </w:r>
      <w:hyperlink r:id="rId77" w:history="1">
        <w:r w:rsidRPr="00AF1FCB">
          <w:rPr>
            <w:rStyle w:val="Hyperlink"/>
            <w:rFonts w:ascii="Times New Roman" w:hAnsi="Times New Roman" w:cs="Times New Roman"/>
            <w:sz w:val="24"/>
            <w:szCs w:val="24"/>
          </w:rPr>
          <w:t>https://webfs.oecd.org/els-com/youth/OECD-NEET-Rate-1529s-web.xlsx</w:t>
        </w:r>
      </w:hyperlink>
    </w:p>
    <w:p w14:paraId="5EF88A5F"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OECD. (2025a). </w:t>
      </w:r>
      <w:r w:rsidRPr="006A7F3D">
        <w:rPr>
          <w:rFonts w:ascii="Times New Roman" w:hAnsi="Times New Roman" w:cs="Times New Roman"/>
          <w:i/>
          <w:iCs/>
          <w:sz w:val="24"/>
          <w:szCs w:val="24"/>
          <w:lang w:val="en-GB"/>
        </w:rPr>
        <w:t>NEET Rate by country 2012-2024</w:t>
      </w:r>
      <w:r w:rsidRPr="006A7F3D">
        <w:rPr>
          <w:rFonts w:ascii="Times New Roman" w:hAnsi="Times New Roman" w:cs="Times New Roman"/>
          <w:sz w:val="24"/>
          <w:szCs w:val="24"/>
          <w:lang w:val="en-GB"/>
        </w:rPr>
        <w:t>. Oecd.org. https://webfs.oecd.org/els-com/youth/OECD-NEET-Rate-1529s-web.xlsx</w:t>
      </w:r>
    </w:p>
    <w:p w14:paraId="7FE13AD2"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OECD. (2025b). </w:t>
      </w:r>
      <w:r w:rsidRPr="006A7F3D">
        <w:rPr>
          <w:rFonts w:ascii="Times New Roman" w:hAnsi="Times New Roman" w:cs="Times New Roman"/>
          <w:i/>
          <w:iCs/>
          <w:sz w:val="24"/>
          <w:szCs w:val="24"/>
          <w:lang w:val="en-GB"/>
        </w:rPr>
        <w:t>Public spending on active labour market policies as a share of GDP | Jobs Indicators</w:t>
      </w:r>
      <w:r w:rsidRPr="006A7F3D">
        <w:rPr>
          <w:rFonts w:ascii="Times New Roman" w:hAnsi="Times New Roman" w:cs="Times New Roman"/>
          <w:sz w:val="24"/>
          <w:szCs w:val="24"/>
          <w:lang w:val="en-GB"/>
        </w:rPr>
        <w:t>. OECD Going Digital Toolkit. https://goingdigital.oecd.org/en/indicator/42?utm</w:t>
      </w:r>
    </w:p>
    <w:p w14:paraId="7E9A8219"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OECD. (2025b). </w:t>
      </w:r>
      <w:r w:rsidRPr="00AF1FCB">
        <w:rPr>
          <w:rFonts w:ascii="Times New Roman" w:hAnsi="Times New Roman" w:cs="Times New Roman"/>
          <w:i/>
          <w:iCs/>
          <w:sz w:val="24"/>
          <w:szCs w:val="24"/>
        </w:rPr>
        <w:t>Public spending on active labour market policies as a share of GDP | Jobs Indicators</w:t>
      </w:r>
      <w:r w:rsidRPr="00AF1FCB">
        <w:rPr>
          <w:rFonts w:ascii="Times New Roman" w:hAnsi="Times New Roman" w:cs="Times New Roman"/>
          <w:sz w:val="24"/>
          <w:szCs w:val="24"/>
        </w:rPr>
        <w:t xml:space="preserve">. </w:t>
      </w:r>
      <w:hyperlink r:id="rId78" w:history="1">
        <w:r w:rsidRPr="00AF1FCB">
          <w:rPr>
            <w:rStyle w:val="Hyperlink"/>
            <w:rFonts w:ascii="Times New Roman" w:hAnsi="Times New Roman" w:cs="Times New Roman"/>
            <w:sz w:val="24"/>
            <w:szCs w:val="24"/>
          </w:rPr>
          <w:t>https://goingdigital.oecd.org/en/indicator/42</w:t>
        </w:r>
      </w:hyperlink>
    </w:p>
    <w:p w14:paraId="087DE402"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Rahmani, H., Groot, W., &amp; Rahmani, A. M. (2024). Unravelling the NEET phenomenon: A systematic literature review and meta-analysis of risk factors for youth not in education, employment, or training. </w:t>
      </w:r>
      <w:r w:rsidRPr="006A7F3D">
        <w:rPr>
          <w:rFonts w:ascii="Times New Roman" w:hAnsi="Times New Roman" w:cs="Times New Roman"/>
          <w:i/>
          <w:iCs/>
          <w:sz w:val="24"/>
          <w:szCs w:val="24"/>
          <w:lang w:val="en-GB"/>
        </w:rPr>
        <w:t>International Journal of Adolescence and Youth</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29</w:t>
      </w:r>
      <w:r w:rsidRPr="006A7F3D">
        <w:rPr>
          <w:rFonts w:ascii="Times New Roman" w:hAnsi="Times New Roman" w:cs="Times New Roman"/>
          <w:sz w:val="24"/>
          <w:szCs w:val="24"/>
          <w:lang w:val="en-GB"/>
        </w:rPr>
        <w:t>(1). https://doi.org/10.1080/02673843.2024.2331576</w:t>
      </w:r>
    </w:p>
    <w:p w14:paraId="60A0DBFE"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SBB (</w:t>
      </w:r>
      <w:proofErr w:type="spellStart"/>
      <w:r w:rsidRPr="009276DF">
        <w:rPr>
          <w:rFonts w:ascii="Times New Roman" w:hAnsi="Times New Roman" w:cs="Times New Roman"/>
          <w:sz w:val="24"/>
          <w:szCs w:val="24"/>
          <w:lang w:val="en-GB"/>
        </w:rPr>
        <w:t>Samenwerkingsorganisatie</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Beroepsonderwijs</w:t>
      </w:r>
      <w:proofErr w:type="spellEnd"/>
      <w:r w:rsidRPr="009276DF">
        <w:rPr>
          <w:rFonts w:ascii="Times New Roman" w:hAnsi="Times New Roman" w:cs="Times New Roman"/>
          <w:sz w:val="24"/>
          <w:szCs w:val="24"/>
          <w:lang w:val="en-GB"/>
        </w:rPr>
        <w:t xml:space="preserve"> Bedrijfsleven). (n.d.). </w:t>
      </w:r>
      <w:r w:rsidRPr="009276DF">
        <w:rPr>
          <w:rFonts w:ascii="Times New Roman" w:hAnsi="Times New Roman" w:cs="Times New Roman"/>
          <w:i/>
          <w:iCs/>
          <w:sz w:val="24"/>
          <w:szCs w:val="24"/>
          <w:lang w:val="en-GB"/>
        </w:rPr>
        <w:t>Vocational education &amp; labour market (EN homepage)</w:t>
      </w:r>
      <w:r w:rsidRPr="009276DF">
        <w:rPr>
          <w:rFonts w:ascii="Times New Roman" w:hAnsi="Times New Roman" w:cs="Times New Roman"/>
          <w:sz w:val="24"/>
          <w:szCs w:val="24"/>
          <w:lang w:val="en-GB"/>
        </w:rPr>
        <w:t xml:space="preserve">. </w:t>
      </w:r>
      <w:hyperlink r:id="rId79" w:history="1">
        <w:r w:rsidRPr="009276DF">
          <w:rPr>
            <w:rStyle w:val="Hyperlink"/>
            <w:rFonts w:ascii="Times New Roman" w:hAnsi="Times New Roman" w:cs="Times New Roman"/>
            <w:sz w:val="24"/>
            <w:szCs w:val="24"/>
            <w:lang w:val="en-GB"/>
          </w:rPr>
          <w:t>https://www.s-bb.nl/en/</w:t>
        </w:r>
      </w:hyperlink>
    </w:p>
    <w:p w14:paraId="1624931E"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SBB (</w:t>
      </w:r>
      <w:proofErr w:type="spellStart"/>
      <w:r w:rsidRPr="009276DF">
        <w:rPr>
          <w:rFonts w:ascii="Times New Roman" w:hAnsi="Times New Roman" w:cs="Times New Roman"/>
          <w:sz w:val="24"/>
          <w:szCs w:val="24"/>
          <w:lang w:val="en-GB"/>
        </w:rPr>
        <w:t>Samenwerkingsorganisatie</w:t>
      </w:r>
      <w:proofErr w:type="spellEnd"/>
      <w:r w:rsidRPr="009276DF">
        <w:rPr>
          <w:rFonts w:ascii="Times New Roman" w:hAnsi="Times New Roman" w:cs="Times New Roman"/>
          <w:sz w:val="24"/>
          <w:szCs w:val="24"/>
          <w:lang w:val="en-GB"/>
        </w:rPr>
        <w:t xml:space="preserve"> </w:t>
      </w:r>
      <w:proofErr w:type="spellStart"/>
      <w:r w:rsidRPr="009276DF">
        <w:rPr>
          <w:rFonts w:ascii="Times New Roman" w:hAnsi="Times New Roman" w:cs="Times New Roman"/>
          <w:sz w:val="24"/>
          <w:szCs w:val="24"/>
          <w:lang w:val="en-GB"/>
        </w:rPr>
        <w:t>Beroepsonderwijs</w:t>
      </w:r>
      <w:proofErr w:type="spellEnd"/>
      <w:r w:rsidRPr="009276DF">
        <w:rPr>
          <w:rFonts w:ascii="Times New Roman" w:hAnsi="Times New Roman" w:cs="Times New Roman"/>
          <w:sz w:val="24"/>
          <w:szCs w:val="24"/>
          <w:lang w:val="en-GB"/>
        </w:rPr>
        <w:t xml:space="preserve"> Bedrijfsleven). (n.d.). </w:t>
      </w:r>
      <w:r w:rsidRPr="009276DF">
        <w:rPr>
          <w:rFonts w:ascii="Times New Roman" w:hAnsi="Times New Roman" w:cs="Times New Roman"/>
          <w:i/>
          <w:iCs/>
          <w:sz w:val="24"/>
          <w:szCs w:val="24"/>
          <w:lang w:val="en-GB"/>
        </w:rPr>
        <w:t>About SBB</w:t>
      </w:r>
      <w:r w:rsidRPr="009276DF">
        <w:rPr>
          <w:rFonts w:ascii="Times New Roman" w:hAnsi="Times New Roman" w:cs="Times New Roman"/>
          <w:sz w:val="24"/>
          <w:szCs w:val="24"/>
          <w:lang w:val="en-GB"/>
        </w:rPr>
        <w:t xml:space="preserve"> (role in accrediting work-based learning companies). </w:t>
      </w:r>
      <w:hyperlink r:id="rId80" w:history="1">
        <w:r w:rsidRPr="009276DF">
          <w:rPr>
            <w:rStyle w:val="Hyperlink"/>
            <w:rFonts w:ascii="Times New Roman" w:hAnsi="Times New Roman" w:cs="Times New Roman"/>
            <w:sz w:val="24"/>
            <w:szCs w:val="24"/>
            <w:lang w:val="en-GB"/>
          </w:rPr>
          <w:t>https://www.s-bb.nl/en/organisation/</w:t>
        </w:r>
      </w:hyperlink>
    </w:p>
    <w:p w14:paraId="142C9255"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Statistics Netherlands. (2025a). </w:t>
      </w:r>
      <w:r w:rsidRPr="00AF1FCB">
        <w:rPr>
          <w:rFonts w:ascii="Times New Roman" w:hAnsi="Times New Roman" w:cs="Times New Roman"/>
          <w:i/>
          <w:iCs/>
          <w:sz w:val="24"/>
          <w:szCs w:val="24"/>
        </w:rPr>
        <w:t>Hourly wages</w:t>
      </w:r>
      <w:r w:rsidRPr="00AF1FCB">
        <w:rPr>
          <w:rFonts w:ascii="Times New Roman" w:hAnsi="Times New Roman" w:cs="Times New Roman"/>
          <w:sz w:val="24"/>
          <w:szCs w:val="24"/>
        </w:rPr>
        <w:t xml:space="preserve">. </w:t>
      </w:r>
      <w:hyperlink r:id="rId81" w:history="1">
        <w:r w:rsidRPr="00AF1FCB">
          <w:rPr>
            <w:rStyle w:val="Hyperlink"/>
            <w:rFonts w:ascii="Times New Roman" w:hAnsi="Times New Roman" w:cs="Times New Roman"/>
            <w:sz w:val="24"/>
            <w:szCs w:val="24"/>
          </w:rPr>
          <w:t>https://www.cbs.nl/en-gb/news/2025/18/gender-pay-gap-is-narrowing/hourly-wages</w:t>
        </w:r>
      </w:hyperlink>
    </w:p>
    <w:p w14:paraId="0CF695B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Statistics Netherlands. (2025a). </w:t>
      </w:r>
      <w:r w:rsidRPr="006A7F3D">
        <w:rPr>
          <w:rFonts w:ascii="Times New Roman" w:hAnsi="Times New Roman" w:cs="Times New Roman"/>
          <w:i/>
          <w:iCs/>
          <w:sz w:val="24"/>
          <w:szCs w:val="24"/>
          <w:lang w:val="en-GB"/>
        </w:rPr>
        <w:t>Hourly wages</w:t>
      </w:r>
      <w:r w:rsidRPr="006A7F3D">
        <w:rPr>
          <w:rFonts w:ascii="Times New Roman" w:hAnsi="Times New Roman" w:cs="Times New Roman"/>
          <w:sz w:val="24"/>
          <w:szCs w:val="24"/>
          <w:lang w:val="en-GB"/>
        </w:rPr>
        <w:t>. Statistics Netherlands. https://www.cbs.nl/en-gb/news/2025/18/gender-pay-gap-is-narrowing/hourly-wages</w:t>
      </w:r>
    </w:p>
    <w:p w14:paraId="6AD9F786"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Statistics Netherlands. (2025b, January 10). </w:t>
      </w:r>
      <w:r w:rsidRPr="006A7F3D">
        <w:rPr>
          <w:rFonts w:ascii="Times New Roman" w:hAnsi="Times New Roman" w:cs="Times New Roman"/>
          <w:i/>
          <w:iCs/>
          <w:sz w:val="24"/>
          <w:szCs w:val="24"/>
          <w:lang w:val="en-GB"/>
        </w:rPr>
        <w:t>Inflation rate 10.0 percent in 2022</w:t>
      </w:r>
      <w:r w:rsidRPr="006A7F3D">
        <w:rPr>
          <w:rFonts w:ascii="Times New Roman" w:hAnsi="Times New Roman" w:cs="Times New Roman"/>
          <w:sz w:val="24"/>
          <w:szCs w:val="24"/>
          <w:lang w:val="en-GB"/>
        </w:rPr>
        <w:t xml:space="preserve">. Statistics Netherlands; </w:t>
      </w:r>
      <w:proofErr w:type="spellStart"/>
      <w:r w:rsidRPr="006A7F3D">
        <w:rPr>
          <w:rFonts w:ascii="Times New Roman" w:hAnsi="Times New Roman" w:cs="Times New Roman"/>
          <w:sz w:val="24"/>
          <w:szCs w:val="24"/>
          <w:lang w:val="en-GB"/>
        </w:rPr>
        <w:t>Centraal</w:t>
      </w:r>
      <w:proofErr w:type="spellEnd"/>
      <w:r w:rsidRPr="006A7F3D">
        <w:rPr>
          <w:rFonts w:ascii="Times New Roman" w:hAnsi="Times New Roman" w:cs="Times New Roman"/>
          <w:sz w:val="24"/>
          <w:szCs w:val="24"/>
          <w:lang w:val="en-GB"/>
        </w:rPr>
        <w:t xml:space="preserve"> Bureau </w:t>
      </w:r>
      <w:proofErr w:type="spellStart"/>
      <w:r w:rsidRPr="006A7F3D">
        <w:rPr>
          <w:rFonts w:ascii="Times New Roman" w:hAnsi="Times New Roman" w:cs="Times New Roman"/>
          <w:sz w:val="24"/>
          <w:szCs w:val="24"/>
          <w:lang w:val="en-GB"/>
        </w:rPr>
        <w:t>voor</w:t>
      </w:r>
      <w:proofErr w:type="spellEnd"/>
      <w:r w:rsidRPr="006A7F3D">
        <w:rPr>
          <w:rFonts w:ascii="Times New Roman" w:hAnsi="Times New Roman" w:cs="Times New Roman"/>
          <w:sz w:val="24"/>
          <w:szCs w:val="24"/>
          <w:lang w:val="en-GB"/>
        </w:rPr>
        <w:t xml:space="preserve"> de </w:t>
      </w:r>
      <w:proofErr w:type="spellStart"/>
      <w:r w:rsidRPr="006A7F3D">
        <w:rPr>
          <w:rFonts w:ascii="Times New Roman" w:hAnsi="Times New Roman" w:cs="Times New Roman"/>
          <w:sz w:val="24"/>
          <w:szCs w:val="24"/>
          <w:lang w:val="en-GB"/>
        </w:rPr>
        <w:t>Statistiek</w:t>
      </w:r>
      <w:proofErr w:type="spellEnd"/>
      <w:r w:rsidRPr="006A7F3D">
        <w:rPr>
          <w:rFonts w:ascii="Times New Roman" w:hAnsi="Times New Roman" w:cs="Times New Roman"/>
          <w:sz w:val="24"/>
          <w:szCs w:val="24"/>
          <w:lang w:val="en-GB"/>
        </w:rPr>
        <w:t>. https://www.cbs.nl/en-gb/news/2023/02/inflation-rate-10-0-percent-in-2022?utm</w:t>
      </w:r>
    </w:p>
    <w:p w14:paraId="46F9C76A"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Statistics Netherlands. (2025b, January 10). </w:t>
      </w:r>
      <w:r w:rsidRPr="00AF1FCB">
        <w:rPr>
          <w:rFonts w:ascii="Times New Roman" w:hAnsi="Times New Roman" w:cs="Times New Roman"/>
          <w:i/>
          <w:iCs/>
          <w:sz w:val="24"/>
          <w:szCs w:val="24"/>
        </w:rPr>
        <w:t>Inflation rate 10.0 percent in 2022</w:t>
      </w:r>
      <w:r w:rsidRPr="00AF1FCB">
        <w:rPr>
          <w:rFonts w:ascii="Times New Roman" w:hAnsi="Times New Roman" w:cs="Times New Roman"/>
          <w:sz w:val="24"/>
          <w:szCs w:val="24"/>
        </w:rPr>
        <w:t xml:space="preserve">. </w:t>
      </w:r>
      <w:hyperlink r:id="rId82" w:history="1">
        <w:r w:rsidRPr="00AF1FCB">
          <w:rPr>
            <w:rStyle w:val="Hyperlink"/>
            <w:rFonts w:ascii="Times New Roman" w:hAnsi="Times New Roman" w:cs="Times New Roman"/>
            <w:sz w:val="24"/>
            <w:szCs w:val="24"/>
          </w:rPr>
          <w:t>https://www.cbs.nl/en-gb/news/2023/02/inflation-rate-10-0-percent-in-2022</w:t>
        </w:r>
      </w:hyperlink>
    </w:p>
    <w:p w14:paraId="7764118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THE REPUBLIC OF CROATIA MINISTRY OF ECONOMY AND SUSTAINABLE DEVELOPMENT LOW-CARBON DEVELOPMENT STRATEGY OF THE REPUBLIC OF CROATIA UNTIL 2030 WITH A VIEW TO 2050</w:t>
      </w:r>
      <w:r w:rsidRPr="006A7F3D">
        <w:rPr>
          <w:rFonts w:ascii="Times New Roman" w:hAnsi="Times New Roman" w:cs="Times New Roman"/>
          <w:sz w:val="24"/>
          <w:szCs w:val="24"/>
          <w:lang w:val="en-GB"/>
        </w:rPr>
        <w:t>. (2021). https://mingo.gov.hr/UserDocsImages/klimatske_aktivnosti/odrzivi_razvoj/NUS/lts_nus_eng.pdf?utm</w:t>
      </w:r>
    </w:p>
    <w:p w14:paraId="5501A16A"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Trading Economics. (2025a). </w:t>
      </w:r>
      <w:r w:rsidRPr="006A7F3D">
        <w:rPr>
          <w:rFonts w:ascii="Times New Roman" w:hAnsi="Times New Roman" w:cs="Times New Roman"/>
          <w:i/>
          <w:iCs/>
          <w:sz w:val="24"/>
          <w:szCs w:val="24"/>
          <w:lang w:val="en-GB"/>
        </w:rPr>
        <w:t>Croatia Harmonised Inflation Rate YoY</w:t>
      </w:r>
      <w:r w:rsidRPr="006A7F3D">
        <w:rPr>
          <w:rFonts w:ascii="Times New Roman" w:hAnsi="Times New Roman" w:cs="Times New Roman"/>
          <w:sz w:val="24"/>
          <w:szCs w:val="24"/>
          <w:lang w:val="en-GB"/>
        </w:rPr>
        <w:t>. Tradingeconomics.com. https://tradingeconomics.com/croatia/harmonised-inflation-rate-yoy</w:t>
      </w:r>
    </w:p>
    <w:p w14:paraId="3A9A480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Trading Economics. (2025b). </w:t>
      </w:r>
      <w:r w:rsidRPr="006A7F3D">
        <w:rPr>
          <w:rFonts w:ascii="Times New Roman" w:hAnsi="Times New Roman" w:cs="Times New Roman"/>
          <w:i/>
          <w:iCs/>
          <w:sz w:val="24"/>
          <w:szCs w:val="24"/>
          <w:lang w:val="en-GB"/>
        </w:rPr>
        <w:t>Netherlands Harmonised Inflation Rate YoY</w:t>
      </w:r>
      <w:r w:rsidRPr="006A7F3D">
        <w:rPr>
          <w:rFonts w:ascii="Times New Roman" w:hAnsi="Times New Roman" w:cs="Times New Roman"/>
          <w:sz w:val="24"/>
          <w:szCs w:val="24"/>
          <w:lang w:val="en-GB"/>
        </w:rPr>
        <w:t>. Tradingeconomics.com. https://tradingeconomics.com/netherlands/harmonised-inflation-rate-yoy</w:t>
      </w:r>
    </w:p>
    <w:p w14:paraId="4BCA43A8"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t xml:space="preserve">Tsoneva, A. (2025, October 25). </w:t>
      </w:r>
      <w:r w:rsidRPr="006A7F3D">
        <w:rPr>
          <w:rFonts w:ascii="Times New Roman" w:hAnsi="Times New Roman" w:cs="Times New Roman"/>
          <w:i/>
          <w:iCs/>
          <w:sz w:val="24"/>
          <w:szCs w:val="24"/>
          <w:lang w:val="en-GB"/>
        </w:rPr>
        <w:t>Croatia to raise minimum gross wage by 20% in 2024</w:t>
      </w:r>
      <w:r w:rsidRPr="006A7F3D">
        <w:rPr>
          <w:rFonts w:ascii="Times New Roman" w:hAnsi="Times New Roman" w:cs="Times New Roman"/>
          <w:sz w:val="24"/>
          <w:szCs w:val="24"/>
          <w:lang w:val="en-GB"/>
        </w:rPr>
        <w:t xml:space="preserve">. </w:t>
      </w:r>
      <w:proofErr w:type="spellStart"/>
      <w:r w:rsidRPr="006A7F3D">
        <w:rPr>
          <w:rFonts w:ascii="Times New Roman" w:hAnsi="Times New Roman" w:cs="Times New Roman"/>
          <w:sz w:val="24"/>
          <w:szCs w:val="24"/>
          <w:lang w:val="en-GB"/>
        </w:rPr>
        <w:t>SeeNews</w:t>
      </w:r>
      <w:proofErr w:type="spellEnd"/>
      <w:r w:rsidRPr="006A7F3D">
        <w:rPr>
          <w:rFonts w:ascii="Times New Roman" w:hAnsi="Times New Roman" w:cs="Times New Roman"/>
          <w:sz w:val="24"/>
          <w:szCs w:val="24"/>
          <w:lang w:val="en-GB"/>
        </w:rPr>
        <w:t>. https://seenews.com/news/croatia-to-raise-minimum-gross-wage-by-20-percent-in-2024-1238056?utm</w:t>
      </w:r>
    </w:p>
    <w:p w14:paraId="29925B53"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UNESCO Institute for Lifelong Learning. (2023, December 11). </w:t>
      </w:r>
      <w:r w:rsidRPr="009276DF">
        <w:rPr>
          <w:rFonts w:ascii="Times New Roman" w:hAnsi="Times New Roman" w:cs="Times New Roman"/>
          <w:i/>
          <w:iCs/>
          <w:sz w:val="24"/>
          <w:szCs w:val="24"/>
          <w:lang w:val="en-GB"/>
        </w:rPr>
        <w:t>Recognition, validation and accreditation in the Netherlands</w:t>
      </w:r>
      <w:r w:rsidRPr="009276DF">
        <w:rPr>
          <w:rFonts w:ascii="Times New Roman" w:hAnsi="Times New Roman" w:cs="Times New Roman"/>
          <w:sz w:val="24"/>
          <w:szCs w:val="24"/>
          <w:lang w:val="en-GB"/>
        </w:rPr>
        <w:t xml:space="preserve"> (VPL/EVC overview). </w:t>
      </w:r>
      <w:hyperlink r:id="rId83" w:history="1">
        <w:r w:rsidRPr="009276DF">
          <w:rPr>
            <w:rStyle w:val="Hyperlink"/>
            <w:rFonts w:ascii="Times New Roman" w:hAnsi="Times New Roman" w:cs="Times New Roman"/>
            <w:sz w:val="24"/>
            <w:szCs w:val="24"/>
            <w:lang w:val="en-GB"/>
          </w:rPr>
          <w:t>https://www.uil.unesco.org/en/articles/recognition-validation-and-accreditation-netherlands</w:t>
        </w:r>
      </w:hyperlink>
    </w:p>
    <w:p w14:paraId="6EC64A14"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UNESCO Institute for Lifelong Learning. (2023, December 6). </w:t>
      </w:r>
      <w:r w:rsidRPr="009276DF">
        <w:rPr>
          <w:rFonts w:ascii="Times New Roman" w:hAnsi="Times New Roman" w:cs="Times New Roman"/>
          <w:i/>
          <w:iCs/>
          <w:sz w:val="24"/>
          <w:szCs w:val="24"/>
          <w:lang w:val="en-GB"/>
        </w:rPr>
        <w:t>Case study: Validation of prior learning (VPL) as a career guidance tool</w:t>
      </w:r>
      <w:r w:rsidRPr="009276DF">
        <w:rPr>
          <w:rFonts w:ascii="Times New Roman" w:hAnsi="Times New Roman" w:cs="Times New Roman"/>
          <w:sz w:val="24"/>
          <w:szCs w:val="24"/>
          <w:lang w:val="en-GB"/>
        </w:rPr>
        <w:t xml:space="preserve">. </w:t>
      </w:r>
      <w:hyperlink r:id="rId84" w:history="1">
        <w:r w:rsidRPr="009276DF">
          <w:rPr>
            <w:rStyle w:val="Hyperlink"/>
            <w:rFonts w:ascii="Times New Roman" w:hAnsi="Times New Roman" w:cs="Times New Roman"/>
            <w:sz w:val="24"/>
            <w:szCs w:val="24"/>
            <w:lang w:val="en-GB"/>
          </w:rPr>
          <w:t>https://www.uil.unesco.org/en/articles/case-study-validation-prior-learning-vpl-career-guidance-tool</w:t>
        </w:r>
      </w:hyperlink>
    </w:p>
    <w:p w14:paraId="4814D3AE" w14:textId="77777777" w:rsidR="006A7F3D" w:rsidRPr="00AF1FCB"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UNESCO-UNEVOC. (2022). </w:t>
      </w:r>
      <w:r w:rsidRPr="00AF1FCB">
        <w:rPr>
          <w:rFonts w:ascii="Times New Roman" w:hAnsi="Times New Roman" w:cs="Times New Roman"/>
          <w:i/>
          <w:iCs/>
          <w:sz w:val="24"/>
          <w:szCs w:val="24"/>
        </w:rPr>
        <w:t>Funding of training—Netherlands: DOORZAAM sector training fund</w:t>
      </w:r>
      <w:r w:rsidRPr="00AF1FCB">
        <w:rPr>
          <w:rFonts w:ascii="Times New Roman" w:hAnsi="Times New Roman" w:cs="Times New Roman"/>
          <w:sz w:val="24"/>
          <w:szCs w:val="24"/>
        </w:rPr>
        <w:t xml:space="preserve"> (Country brief). </w:t>
      </w:r>
      <w:r w:rsidRPr="00AF1FCB">
        <w:rPr>
          <w:rFonts w:ascii="Times New Roman" w:hAnsi="Times New Roman" w:cs="Times New Roman"/>
          <w:sz w:val="24"/>
          <w:szCs w:val="24"/>
        </w:rPr>
        <w:fldChar w:fldCharType="begin"/>
      </w:r>
      <w:r w:rsidRPr="00AF1FCB">
        <w:rPr>
          <w:rFonts w:ascii="Times New Roman" w:hAnsi="Times New Roman" w:cs="Times New Roman"/>
          <w:sz w:val="24"/>
          <w:szCs w:val="24"/>
        </w:rPr>
        <w:instrText>HYPERLINK "https://unevoc.unesco.org/countryprofiles/docs/UNESCO_Funding-of-Training_Netherlands-DOORZAAM.pdf"</w:instrText>
      </w:r>
      <w:r w:rsidRPr="00AF1FCB">
        <w:rPr>
          <w:rFonts w:ascii="Times New Roman" w:hAnsi="Times New Roman" w:cs="Times New Roman"/>
          <w:sz w:val="24"/>
          <w:szCs w:val="24"/>
        </w:rPr>
      </w:r>
      <w:r w:rsidRPr="00AF1FCB">
        <w:rPr>
          <w:rFonts w:ascii="Times New Roman" w:hAnsi="Times New Roman" w:cs="Times New Roman"/>
          <w:sz w:val="24"/>
          <w:szCs w:val="24"/>
        </w:rPr>
        <w:fldChar w:fldCharType="separate"/>
      </w:r>
      <w:r w:rsidRPr="00AF1FCB">
        <w:rPr>
          <w:rStyle w:val="Hyperlink"/>
          <w:rFonts w:ascii="Times New Roman" w:hAnsi="Times New Roman" w:cs="Times New Roman"/>
          <w:sz w:val="24"/>
          <w:szCs w:val="24"/>
        </w:rPr>
        <w:t>https://unevoc.unesco.org/countryprofiles/docs/UNESCO_Funding-of-Training_Netherlands-DOORZAAM.pdf</w:t>
      </w:r>
      <w:r w:rsidRPr="00AF1FCB">
        <w:rPr>
          <w:rFonts w:ascii="Times New Roman" w:hAnsi="Times New Roman" w:cs="Times New Roman"/>
          <w:sz w:val="24"/>
          <w:szCs w:val="24"/>
        </w:rPr>
        <w:fldChar w:fldCharType="end"/>
      </w:r>
      <w:r w:rsidRPr="00AF1FCB">
        <w:rPr>
          <w:rFonts w:ascii="Times New Roman" w:hAnsi="Times New Roman" w:cs="Times New Roman"/>
          <w:sz w:val="24"/>
          <w:szCs w:val="24"/>
        </w:rPr>
        <w:t xml:space="preserve"> (</w:t>
      </w:r>
      <w:hyperlink r:id="rId85" w:tooltip="Netherlands Sector Training Fund" w:history="1">
        <w:r w:rsidRPr="00AF1FCB">
          <w:rPr>
            <w:rStyle w:val="Hyperlink"/>
            <w:rFonts w:ascii="Times New Roman" w:hAnsi="Times New Roman" w:cs="Times New Roman"/>
            <w:sz w:val="24"/>
            <w:szCs w:val="24"/>
          </w:rPr>
          <w:t>UNESCO-UNEVOC</w:t>
        </w:r>
      </w:hyperlink>
      <w:r w:rsidRPr="00AF1FCB">
        <w:rPr>
          <w:rFonts w:ascii="Times New Roman" w:hAnsi="Times New Roman" w:cs="Times New Roman"/>
          <w:sz w:val="24"/>
          <w:szCs w:val="24"/>
        </w:rPr>
        <w:t>)</w:t>
      </w:r>
    </w:p>
    <w:p w14:paraId="6209A222" w14:textId="77777777" w:rsidR="006A7F3D" w:rsidRDefault="006A7F3D" w:rsidP="00AF1FCB">
      <w:pPr>
        <w:spacing w:line="360" w:lineRule="auto"/>
        <w:ind w:firstLine="708"/>
        <w:jc w:val="both"/>
        <w:rPr>
          <w:rFonts w:ascii="Times New Roman" w:hAnsi="Times New Roman" w:cs="Times New Roman"/>
          <w:sz w:val="24"/>
          <w:szCs w:val="24"/>
        </w:rPr>
      </w:pPr>
      <w:r w:rsidRPr="00AF1FCB">
        <w:rPr>
          <w:rFonts w:ascii="Times New Roman" w:hAnsi="Times New Roman" w:cs="Times New Roman"/>
          <w:sz w:val="24"/>
          <w:szCs w:val="24"/>
        </w:rPr>
        <w:t xml:space="preserve">UNESCO-UNEVOC. (2022). </w:t>
      </w:r>
      <w:r w:rsidRPr="00AF1FCB">
        <w:rPr>
          <w:rFonts w:ascii="Times New Roman" w:hAnsi="Times New Roman" w:cs="Times New Roman"/>
          <w:i/>
          <w:iCs/>
          <w:sz w:val="24"/>
          <w:szCs w:val="24"/>
        </w:rPr>
        <w:t>Funding of training—Netherlands: DOORZAAM sector training fund</w:t>
      </w:r>
      <w:r w:rsidRPr="00AF1FCB">
        <w:rPr>
          <w:rFonts w:ascii="Times New Roman" w:hAnsi="Times New Roman" w:cs="Times New Roman"/>
          <w:sz w:val="24"/>
          <w:szCs w:val="24"/>
        </w:rPr>
        <w:t xml:space="preserve"> (Country brief). </w:t>
      </w:r>
      <w:r w:rsidRPr="00AF1FCB">
        <w:rPr>
          <w:rFonts w:ascii="Times New Roman" w:hAnsi="Times New Roman" w:cs="Times New Roman"/>
          <w:sz w:val="24"/>
          <w:szCs w:val="24"/>
        </w:rPr>
        <w:fldChar w:fldCharType="begin"/>
      </w:r>
      <w:r w:rsidRPr="00AF1FCB">
        <w:rPr>
          <w:rFonts w:ascii="Times New Roman" w:hAnsi="Times New Roman" w:cs="Times New Roman"/>
          <w:sz w:val="24"/>
          <w:szCs w:val="24"/>
        </w:rPr>
        <w:instrText>HYPERLINK "https://unevoc.unesco.org/countryprofiles/docs/UNESCO_Funding-of-Training_Netherlands-DOORZAAM.pdf"</w:instrText>
      </w:r>
      <w:r w:rsidRPr="00AF1FCB">
        <w:rPr>
          <w:rFonts w:ascii="Times New Roman" w:hAnsi="Times New Roman" w:cs="Times New Roman"/>
          <w:sz w:val="24"/>
          <w:szCs w:val="24"/>
        </w:rPr>
      </w:r>
      <w:r w:rsidRPr="00AF1FCB">
        <w:rPr>
          <w:rFonts w:ascii="Times New Roman" w:hAnsi="Times New Roman" w:cs="Times New Roman"/>
          <w:sz w:val="24"/>
          <w:szCs w:val="24"/>
        </w:rPr>
        <w:fldChar w:fldCharType="separate"/>
      </w:r>
      <w:r w:rsidRPr="00AF1FCB">
        <w:rPr>
          <w:rStyle w:val="Hyperlink"/>
          <w:rFonts w:ascii="Times New Roman" w:hAnsi="Times New Roman" w:cs="Times New Roman"/>
          <w:sz w:val="24"/>
          <w:szCs w:val="24"/>
        </w:rPr>
        <w:t>https://unevoc.unesco.org/countryprofiles/docs/UNESCO_Funding-of-Training_Netherlands-DOORZAAM.pdf</w:t>
      </w:r>
      <w:r w:rsidRPr="00AF1FCB">
        <w:rPr>
          <w:rFonts w:ascii="Times New Roman" w:hAnsi="Times New Roman" w:cs="Times New Roman"/>
          <w:sz w:val="24"/>
          <w:szCs w:val="24"/>
        </w:rPr>
        <w:fldChar w:fldCharType="end"/>
      </w:r>
    </w:p>
    <w:p w14:paraId="269DF015"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UWV (Employee Insurance Agency). (n.d.). </w:t>
      </w:r>
      <w:r w:rsidRPr="009276DF">
        <w:rPr>
          <w:rFonts w:ascii="Times New Roman" w:hAnsi="Times New Roman" w:cs="Times New Roman"/>
          <w:i/>
          <w:iCs/>
          <w:sz w:val="24"/>
          <w:szCs w:val="24"/>
          <w:lang w:val="en-GB"/>
        </w:rPr>
        <w:t>Divisions</w:t>
      </w:r>
      <w:r w:rsidRPr="009276DF">
        <w:rPr>
          <w:rFonts w:ascii="Times New Roman" w:hAnsi="Times New Roman" w:cs="Times New Roman"/>
          <w:sz w:val="24"/>
          <w:szCs w:val="24"/>
          <w:lang w:val="en-GB"/>
        </w:rPr>
        <w:t xml:space="preserve"> (regional job centres and employer service points). </w:t>
      </w:r>
      <w:hyperlink r:id="rId86" w:history="1">
        <w:r w:rsidRPr="009276DF">
          <w:rPr>
            <w:rStyle w:val="Hyperlink"/>
            <w:rFonts w:ascii="Times New Roman" w:hAnsi="Times New Roman" w:cs="Times New Roman"/>
            <w:sz w:val="24"/>
            <w:szCs w:val="24"/>
            <w:lang w:val="en-GB"/>
          </w:rPr>
          <w:t>https://www.uwv.nl/en/about-uwv/divisions</w:t>
        </w:r>
      </w:hyperlink>
    </w:p>
    <w:p w14:paraId="14102787"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UWV (Employee Insurance Agency). (n.d.). </w:t>
      </w:r>
      <w:r w:rsidRPr="009276DF">
        <w:rPr>
          <w:rFonts w:ascii="Times New Roman" w:hAnsi="Times New Roman" w:cs="Times New Roman"/>
          <w:i/>
          <w:iCs/>
          <w:sz w:val="24"/>
          <w:szCs w:val="24"/>
          <w:lang w:val="en-GB"/>
        </w:rPr>
        <w:t>Partnerships</w:t>
      </w:r>
      <w:r w:rsidRPr="009276DF">
        <w:rPr>
          <w:rFonts w:ascii="Times New Roman" w:hAnsi="Times New Roman" w:cs="Times New Roman"/>
          <w:sz w:val="24"/>
          <w:szCs w:val="24"/>
          <w:lang w:val="en-GB"/>
        </w:rPr>
        <w:t xml:space="preserve"> (Employer Service Points in the 35 labour market regions). </w:t>
      </w:r>
      <w:hyperlink r:id="rId87" w:history="1">
        <w:r w:rsidRPr="009276DF">
          <w:rPr>
            <w:rStyle w:val="Hyperlink"/>
            <w:rFonts w:ascii="Times New Roman" w:hAnsi="Times New Roman" w:cs="Times New Roman"/>
            <w:sz w:val="24"/>
            <w:szCs w:val="24"/>
            <w:lang w:val="en-GB"/>
          </w:rPr>
          <w:t>https://www.uwv.nl/en/about-uwv/partnerships</w:t>
        </w:r>
      </w:hyperlink>
    </w:p>
    <w:p w14:paraId="4AC92DF9"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sz w:val="24"/>
          <w:szCs w:val="24"/>
          <w:lang w:val="en-GB"/>
        </w:rPr>
        <w:lastRenderedPageBreak/>
        <w:t xml:space="preserve">Yates, S., &amp; Payne, M. (2006). Not so NEET? A Critique of the Use of “NEET” in Setting Targets for Interventions with Young People. </w:t>
      </w:r>
      <w:r w:rsidRPr="006A7F3D">
        <w:rPr>
          <w:rFonts w:ascii="Times New Roman" w:hAnsi="Times New Roman" w:cs="Times New Roman"/>
          <w:i/>
          <w:iCs/>
          <w:sz w:val="24"/>
          <w:szCs w:val="24"/>
          <w:lang w:val="en-GB"/>
        </w:rPr>
        <w:t>Journal of Youth Studies</w:t>
      </w:r>
      <w:r w:rsidRPr="006A7F3D">
        <w:rPr>
          <w:rFonts w:ascii="Times New Roman" w:hAnsi="Times New Roman" w:cs="Times New Roman"/>
          <w:sz w:val="24"/>
          <w:szCs w:val="24"/>
          <w:lang w:val="en-GB"/>
        </w:rPr>
        <w:t xml:space="preserve">, </w:t>
      </w:r>
      <w:r w:rsidRPr="006A7F3D">
        <w:rPr>
          <w:rFonts w:ascii="Times New Roman" w:hAnsi="Times New Roman" w:cs="Times New Roman"/>
          <w:i/>
          <w:iCs/>
          <w:sz w:val="24"/>
          <w:szCs w:val="24"/>
          <w:lang w:val="en-GB"/>
        </w:rPr>
        <w:t>9</w:t>
      </w:r>
      <w:r w:rsidRPr="006A7F3D">
        <w:rPr>
          <w:rFonts w:ascii="Times New Roman" w:hAnsi="Times New Roman" w:cs="Times New Roman"/>
          <w:sz w:val="24"/>
          <w:szCs w:val="24"/>
          <w:lang w:val="en-GB"/>
        </w:rPr>
        <w:t>(3), 329–344. https://doi.org/10.1080/13676260600805671</w:t>
      </w:r>
    </w:p>
    <w:p w14:paraId="22F591AF"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Youth Wiki / EACEA. (2023, November 28). </w:t>
      </w:r>
      <w:r w:rsidRPr="009276DF">
        <w:rPr>
          <w:rFonts w:ascii="Times New Roman" w:hAnsi="Times New Roman" w:cs="Times New Roman"/>
          <w:i/>
          <w:iCs/>
          <w:sz w:val="24"/>
          <w:szCs w:val="24"/>
          <w:lang w:val="en-GB"/>
        </w:rPr>
        <w:t>6.3 Preventing early leaving from education and training (ELET) — Netherlands</w:t>
      </w:r>
      <w:r w:rsidRPr="009276DF">
        <w:rPr>
          <w:rFonts w:ascii="Times New Roman" w:hAnsi="Times New Roman" w:cs="Times New Roman"/>
          <w:sz w:val="24"/>
          <w:szCs w:val="24"/>
          <w:lang w:val="en-GB"/>
        </w:rPr>
        <w:t xml:space="preserve">. </w:t>
      </w:r>
      <w:hyperlink r:id="rId88" w:history="1">
        <w:r w:rsidRPr="009276DF">
          <w:rPr>
            <w:rStyle w:val="Hyperlink"/>
            <w:rFonts w:ascii="Times New Roman" w:hAnsi="Times New Roman" w:cs="Times New Roman"/>
            <w:sz w:val="24"/>
            <w:szCs w:val="24"/>
            <w:lang w:val="en-GB"/>
          </w:rPr>
          <w:t>https://national-policies.eacea.ec.europa.eu/youthwiki/chapters/netherlands/63-preventing-early-leaving-from-education-and-training-elet</w:t>
        </w:r>
      </w:hyperlink>
    </w:p>
    <w:p w14:paraId="41E2B373" w14:textId="77777777" w:rsidR="006A7F3D" w:rsidRDefault="006A7F3D" w:rsidP="00213DF3">
      <w:pPr>
        <w:spacing w:line="360" w:lineRule="auto"/>
        <w:ind w:firstLine="708"/>
        <w:jc w:val="both"/>
        <w:rPr>
          <w:rFonts w:ascii="Times New Roman" w:hAnsi="Times New Roman" w:cs="Times New Roman"/>
          <w:sz w:val="24"/>
          <w:szCs w:val="24"/>
        </w:rPr>
      </w:pPr>
      <w:r w:rsidRPr="009276DF">
        <w:rPr>
          <w:rFonts w:ascii="Times New Roman" w:hAnsi="Times New Roman" w:cs="Times New Roman"/>
          <w:sz w:val="24"/>
          <w:szCs w:val="24"/>
          <w:lang w:val="en-GB"/>
        </w:rPr>
        <w:t xml:space="preserve">Youth Wiki / EACEA. (2025, July 10). </w:t>
      </w:r>
      <w:r w:rsidRPr="009276DF">
        <w:rPr>
          <w:rFonts w:ascii="Times New Roman" w:hAnsi="Times New Roman" w:cs="Times New Roman"/>
          <w:i/>
          <w:iCs/>
          <w:sz w:val="24"/>
          <w:szCs w:val="24"/>
          <w:lang w:val="en-GB"/>
        </w:rPr>
        <w:t>Netherlands — Overview</w:t>
      </w:r>
      <w:r w:rsidRPr="009276DF">
        <w:rPr>
          <w:rFonts w:ascii="Times New Roman" w:hAnsi="Times New Roman" w:cs="Times New Roman"/>
          <w:sz w:val="24"/>
          <w:szCs w:val="24"/>
          <w:lang w:val="en-GB"/>
        </w:rPr>
        <w:t xml:space="preserve"> (governance and youth policy context). </w:t>
      </w:r>
      <w:hyperlink r:id="rId89" w:history="1">
        <w:r w:rsidRPr="009276DF">
          <w:rPr>
            <w:rStyle w:val="Hyperlink"/>
            <w:rFonts w:ascii="Times New Roman" w:hAnsi="Times New Roman" w:cs="Times New Roman"/>
            <w:sz w:val="24"/>
            <w:szCs w:val="24"/>
            <w:lang w:val="en-GB"/>
          </w:rPr>
          <w:t>https://national-policies.eacea.ec.europa.eu/youthwiki/chapters/netherlands/overview</w:t>
        </w:r>
      </w:hyperlink>
    </w:p>
    <w:p w14:paraId="310B2A8E"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 xml:space="preserve">ZTI-2024-1-2 </w:t>
      </w:r>
      <w:proofErr w:type="spellStart"/>
      <w:r w:rsidRPr="006A7F3D">
        <w:rPr>
          <w:rFonts w:ascii="Times New Roman" w:hAnsi="Times New Roman" w:cs="Times New Roman"/>
          <w:i/>
          <w:iCs/>
          <w:sz w:val="24"/>
          <w:szCs w:val="24"/>
          <w:lang w:val="en-GB"/>
        </w:rPr>
        <w:t>Primjena</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informacijskih</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i</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komunikacijskih</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tehnologija</w:t>
      </w:r>
      <w:proofErr w:type="spellEnd"/>
      <w:r w:rsidRPr="006A7F3D">
        <w:rPr>
          <w:rFonts w:ascii="Times New Roman" w:hAnsi="Times New Roman" w:cs="Times New Roman"/>
          <w:i/>
          <w:iCs/>
          <w:sz w:val="24"/>
          <w:szCs w:val="24"/>
          <w:lang w:val="en-GB"/>
        </w:rPr>
        <w:t xml:space="preserve"> (IKT) u </w:t>
      </w:r>
      <w:proofErr w:type="spellStart"/>
      <w:r w:rsidRPr="006A7F3D">
        <w:rPr>
          <w:rFonts w:ascii="Times New Roman" w:hAnsi="Times New Roman" w:cs="Times New Roman"/>
          <w:i/>
          <w:iCs/>
          <w:sz w:val="24"/>
          <w:szCs w:val="24"/>
          <w:lang w:val="en-GB"/>
        </w:rPr>
        <w:t>kućanstvima</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i</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kod</w:t>
      </w:r>
      <w:proofErr w:type="spellEnd"/>
      <w:r w:rsidRPr="006A7F3D">
        <w:rPr>
          <w:rFonts w:ascii="Times New Roman" w:hAnsi="Times New Roman" w:cs="Times New Roman"/>
          <w:i/>
          <w:iCs/>
          <w:sz w:val="24"/>
          <w:szCs w:val="24"/>
          <w:lang w:val="en-GB"/>
        </w:rPr>
        <w:t xml:space="preserve"> </w:t>
      </w:r>
      <w:proofErr w:type="spellStart"/>
      <w:r w:rsidRPr="006A7F3D">
        <w:rPr>
          <w:rFonts w:ascii="Times New Roman" w:hAnsi="Times New Roman" w:cs="Times New Roman"/>
          <w:i/>
          <w:iCs/>
          <w:sz w:val="24"/>
          <w:szCs w:val="24"/>
          <w:lang w:val="en-GB"/>
        </w:rPr>
        <w:t>pojedinaca</w:t>
      </w:r>
      <w:proofErr w:type="spellEnd"/>
      <w:r w:rsidRPr="006A7F3D">
        <w:rPr>
          <w:rFonts w:ascii="Times New Roman" w:hAnsi="Times New Roman" w:cs="Times New Roman"/>
          <w:i/>
          <w:iCs/>
          <w:sz w:val="24"/>
          <w:szCs w:val="24"/>
          <w:lang w:val="en-GB"/>
        </w:rPr>
        <w:t xml:space="preserve"> u 2024.</w:t>
      </w:r>
      <w:r w:rsidRPr="006A7F3D">
        <w:rPr>
          <w:rFonts w:ascii="Times New Roman" w:hAnsi="Times New Roman" w:cs="Times New Roman"/>
          <w:sz w:val="24"/>
          <w:szCs w:val="24"/>
          <w:lang w:val="en-GB"/>
        </w:rPr>
        <w:t xml:space="preserve"> (2024). </w:t>
      </w:r>
      <w:proofErr w:type="spellStart"/>
      <w:r w:rsidRPr="006A7F3D">
        <w:rPr>
          <w:rFonts w:ascii="Times New Roman" w:hAnsi="Times New Roman" w:cs="Times New Roman"/>
          <w:sz w:val="24"/>
          <w:szCs w:val="24"/>
          <w:lang w:val="en-GB"/>
        </w:rPr>
        <w:t>Državni</w:t>
      </w:r>
      <w:proofErr w:type="spellEnd"/>
      <w:r w:rsidRPr="006A7F3D">
        <w:rPr>
          <w:rFonts w:ascii="Times New Roman" w:hAnsi="Times New Roman" w:cs="Times New Roman"/>
          <w:sz w:val="24"/>
          <w:szCs w:val="24"/>
          <w:lang w:val="en-GB"/>
        </w:rPr>
        <w:t xml:space="preserve"> Zavod Za </w:t>
      </w:r>
      <w:proofErr w:type="spellStart"/>
      <w:r w:rsidRPr="006A7F3D">
        <w:rPr>
          <w:rFonts w:ascii="Times New Roman" w:hAnsi="Times New Roman" w:cs="Times New Roman"/>
          <w:sz w:val="24"/>
          <w:szCs w:val="24"/>
          <w:lang w:val="en-GB"/>
        </w:rPr>
        <w:t>Statistiku</w:t>
      </w:r>
      <w:proofErr w:type="spellEnd"/>
      <w:r w:rsidRPr="006A7F3D">
        <w:rPr>
          <w:rFonts w:ascii="Times New Roman" w:hAnsi="Times New Roman" w:cs="Times New Roman"/>
          <w:sz w:val="24"/>
          <w:szCs w:val="24"/>
          <w:lang w:val="en-GB"/>
        </w:rPr>
        <w:t>. https://podaci.dzs.hr/2024/hr/76943?utm</w:t>
      </w:r>
    </w:p>
    <w:p w14:paraId="146C5305" w14:textId="77777777" w:rsidR="006A7F3D" w:rsidRPr="006A7F3D" w:rsidRDefault="006A7F3D" w:rsidP="006A7F3D">
      <w:pPr>
        <w:spacing w:line="360" w:lineRule="auto"/>
        <w:ind w:firstLine="708"/>
        <w:jc w:val="both"/>
        <w:rPr>
          <w:rFonts w:ascii="Times New Roman" w:hAnsi="Times New Roman" w:cs="Times New Roman"/>
          <w:sz w:val="24"/>
          <w:szCs w:val="24"/>
          <w:lang w:val="en-GB"/>
        </w:rPr>
      </w:pPr>
      <w:r w:rsidRPr="006A7F3D">
        <w:rPr>
          <w:rFonts w:ascii="Times New Roman" w:hAnsi="Times New Roman" w:cs="Times New Roman"/>
          <w:i/>
          <w:iCs/>
          <w:sz w:val="24"/>
          <w:szCs w:val="24"/>
          <w:lang w:val="en-GB"/>
        </w:rPr>
        <w:t>ZTI-2024-1-2 Usage of Information and Communication Technologies (ICT) in Households and by Individuals, 2024</w:t>
      </w:r>
      <w:r w:rsidRPr="006A7F3D">
        <w:rPr>
          <w:rFonts w:ascii="Times New Roman" w:hAnsi="Times New Roman" w:cs="Times New Roman"/>
          <w:sz w:val="24"/>
          <w:szCs w:val="24"/>
          <w:lang w:val="en-GB"/>
        </w:rPr>
        <w:t xml:space="preserve">. (2024). </w:t>
      </w:r>
      <w:proofErr w:type="spellStart"/>
      <w:r w:rsidRPr="006A7F3D">
        <w:rPr>
          <w:rFonts w:ascii="Times New Roman" w:hAnsi="Times New Roman" w:cs="Times New Roman"/>
          <w:sz w:val="24"/>
          <w:szCs w:val="24"/>
          <w:lang w:val="en-GB"/>
        </w:rPr>
        <w:t>Državni</w:t>
      </w:r>
      <w:proofErr w:type="spellEnd"/>
      <w:r w:rsidRPr="006A7F3D">
        <w:rPr>
          <w:rFonts w:ascii="Times New Roman" w:hAnsi="Times New Roman" w:cs="Times New Roman"/>
          <w:sz w:val="24"/>
          <w:szCs w:val="24"/>
          <w:lang w:val="en-GB"/>
        </w:rPr>
        <w:t xml:space="preserve"> Zavod Za </w:t>
      </w:r>
      <w:proofErr w:type="spellStart"/>
      <w:r w:rsidRPr="006A7F3D">
        <w:rPr>
          <w:rFonts w:ascii="Times New Roman" w:hAnsi="Times New Roman" w:cs="Times New Roman"/>
          <w:sz w:val="24"/>
          <w:szCs w:val="24"/>
          <w:lang w:val="en-GB"/>
        </w:rPr>
        <w:t>Statistiku</w:t>
      </w:r>
      <w:proofErr w:type="spellEnd"/>
      <w:r w:rsidRPr="006A7F3D">
        <w:rPr>
          <w:rFonts w:ascii="Times New Roman" w:hAnsi="Times New Roman" w:cs="Times New Roman"/>
          <w:sz w:val="24"/>
          <w:szCs w:val="24"/>
          <w:lang w:val="en-GB"/>
        </w:rPr>
        <w:t>. https://podaci.dzs.hr/2024/en/76944?utm</w:t>
      </w:r>
    </w:p>
    <w:p w14:paraId="345F3D86" w14:textId="77777777" w:rsidR="00213DF3" w:rsidRPr="00213DF3" w:rsidRDefault="00213DF3" w:rsidP="005C2B62">
      <w:pPr>
        <w:spacing w:line="360" w:lineRule="auto"/>
        <w:ind w:firstLine="708"/>
        <w:jc w:val="both"/>
        <w:rPr>
          <w:rFonts w:ascii="Times New Roman" w:hAnsi="Times New Roman" w:cs="Times New Roman"/>
          <w:sz w:val="24"/>
          <w:szCs w:val="24"/>
        </w:rPr>
      </w:pPr>
    </w:p>
    <w:p w14:paraId="07CE3475" w14:textId="77777777" w:rsidR="000A495F" w:rsidRPr="003E1F48" w:rsidRDefault="000A495F" w:rsidP="00A1042F">
      <w:pPr>
        <w:spacing w:line="360" w:lineRule="auto"/>
        <w:ind w:firstLine="708"/>
        <w:jc w:val="both"/>
        <w:rPr>
          <w:rFonts w:ascii="Times New Roman" w:hAnsi="Times New Roman" w:cs="Times New Roman"/>
          <w:sz w:val="24"/>
          <w:szCs w:val="24"/>
        </w:rPr>
      </w:pPr>
    </w:p>
    <w:p w14:paraId="4C6B6343" w14:textId="77777777" w:rsidR="00A1042F" w:rsidRPr="00A1042F" w:rsidRDefault="00A1042F" w:rsidP="00A1042F">
      <w:pPr>
        <w:spacing w:line="360" w:lineRule="auto"/>
        <w:ind w:firstLine="708"/>
        <w:jc w:val="both"/>
        <w:rPr>
          <w:rFonts w:ascii="Times New Roman" w:hAnsi="Times New Roman" w:cs="Times New Roman"/>
          <w:sz w:val="24"/>
          <w:szCs w:val="24"/>
        </w:rPr>
      </w:pPr>
    </w:p>
    <w:sectPr w:rsidR="00A1042F" w:rsidRPr="00A1042F" w:rsidSect="00DE5240">
      <w:footerReference w:type="default" r:id="rId90"/>
      <w:pgSz w:w="12240" w:h="15840"/>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4CD1" w14:textId="77777777" w:rsidR="00F85859" w:rsidRPr="003E1F48" w:rsidRDefault="00F85859" w:rsidP="00105936">
      <w:pPr>
        <w:spacing w:after="0" w:line="240" w:lineRule="auto"/>
      </w:pPr>
      <w:r w:rsidRPr="003E1F48">
        <w:separator/>
      </w:r>
    </w:p>
  </w:endnote>
  <w:endnote w:type="continuationSeparator" w:id="0">
    <w:p w14:paraId="01DB4923" w14:textId="77777777" w:rsidR="00F85859" w:rsidRPr="003E1F48" w:rsidRDefault="00F85859" w:rsidP="00105936">
      <w:pPr>
        <w:spacing w:after="0" w:line="240" w:lineRule="auto"/>
      </w:pPr>
      <w:r w:rsidRPr="003E1F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8519"/>
      <w:docPartObj>
        <w:docPartGallery w:val="Page Numbers (Bottom of Page)"/>
        <w:docPartUnique/>
      </w:docPartObj>
    </w:sdtPr>
    <w:sdtEndPr>
      <w:rPr>
        <w:noProof/>
      </w:rPr>
    </w:sdtEndPr>
    <w:sdtContent>
      <w:p w14:paraId="7F679A4E" w14:textId="45AF7A5C" w:rsidR="00DE5240" w:rsidRDefault="00DE52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6F39B" w14:textId="77777777" w:rsidR="00DE5240" w:rsidRDefault="00DE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007D" w14:textId="77777777" w:rsidR="00F85859" w:rsidRPr="003E1F48" w:rsidRDefault="00F85859" w:rsidP="00105936">
      <w:pPr>
        <w:spacing w:after="0" w:line="240" w:lineRule="auto"/>
      </w:pPr>
      <w:r w:rsidRPr="003E1F48">
        <w:separator/>
      </w:r>
    </w:p>
  </w:footnote>
  <w:footnote w:type="continuationSeparator" w:id="0">
    <w:p w14:paraId="0F64F5A3" w14:textId="77777777" w:rsidR="00F85859" w:rsidRPr="003E1F48" w:rsidRDefault="00F85859" w:rsidP="00105936">
      <w:pPr>
        <w:spacing w:after="0" w:line="240" w:lineRule="auto"/>
      </w:pPr>
      <w:r w:rsidRPr="003E1F4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BF0"/>
    <w:multiLevelType w:val="hybridMultilevel"/>
    <w:tmpl w:val="B1DE0BA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1AB2DC4"/>
    <w:multiLevelType w:val="hybridMultilevel"/>
    <w:tmpl w:val="07E65E9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04AE360A"/>
    <w:multiLevelType w:val="hybridMultilevel"/>
    <w:tmpl w:val="99501BC4"/>
    <w:lvl w:ilvl="0" w:tplc="92FEA1D2">
      <w:start w:val="1"/>
      <w:numFmt w:val="decimal"/>
      <w:lvlText w:val="%1."/>
      <w:lvlJc w:val="left"/>
      <w:pPr>
        <w:ind w:left="100" w:hanging="884"/>
      </w:pPr>
      <w:rPr>
        <w:rFonts w:ascii="Cambria" w:eastAsia="Cambria" w:hAnsi="Cambria" w:cs="Cambria" w:hint="default"/>
        <w:color w:val="171717"/>
        <w:spacing w:val="0"/>
        <w:w w:val="124"/>
        <w:sz w:val="23"/>
        <w:szCs w:val="23"/>
        <w:lang w:val="bg-BG" w:eastAsia="en-US" w:bidi="ar-SA"/>
      </w:rPr>
    </w:lvl>
    <w:lvl w:ilvl="1" w:tplc="63983EEA">
      <w:numFmt w:val="bullet"/>
      <w:lvlText w:val="•"/>
      <w:lvlJc w:val="left"/>
      <w:pPr>
        <w:ind w:left="1048" w:hanging="884"/>
      </w:pPr>
      <w:rPr>
        <w:rFonts w:hint="default"/>
        <w:lang w:val="bg-BG" w:eastAsia="en-US" w:bidi="ar-SA"/>
      </w:rPr>
    </w:lvl>
    <w:lvl w:ilvl="2" w:tplc="E9D63C80">
      <w:numFmt w:val="bullet"/>
      <w:lvlText w:val="•"/>
      <w:lvlJc w:val="left"/>
      <w:pPr>
        <w:ind w:left="1996" w:hanging="884"/>
      </w:pPr>
      <w:rPr>
        <w:rFonts w:hint="default"/>
        <w:lang w:val="bg-BG" w:eastAsia="en-US" w:bidi="ar-SA"/>
      </w:rPr>
    </w:lvl>
    <w:lvl w:ilvl="3" w:tplc="4A6433E2">
      <w:numFmt w:val="bullet"/>
      <w:lvlText w:val="•"/>
      <w:lvlJc w:val="left"/>
      <w:pPr>
        <w:ind w:left="2944" w:hanging="884"/>
      </w:pPr>
      <w:rPr>
        <w:rFonts w:hint="default"/>
        <w:lang w:val="bg-BG" w:eastAsia="en-US" w:bidi="ar-SA"/>
      </w:rPr>
    </w:lvl>
    <w:lvl w:ilvl="4" w:tplc="DFD6B162">
      <w:numFmt w:val="bullet"/>
      <w:lvlText w:val="•"/>
      <w:lvlJc w:val="left"/>
      <w:pPr>
        <w:ind w:left="3892" w:hanging="884"/>
      </w:pPr>
      <w:rPr>
        <w:rFonts w:hint="default"/>
        <w:lang w:val="bg-BG" w:eastAsia="en-US" w:bidi="ar-SA"/>
      </w:rPr>
    </w:lvl>
    <w:lvl w:ilvl="5" w:tplc="B4244344">
      <w:numFmt w:val="bullet"/>
      <w:lvlText w:val="•"/>
      <w:lvlJc w:val="left"/>
      <w:pPr>
        <w:ind w:left="4840" w:hanging="884"/>
      </w:pPr>
      <w:rPr>
        <w:rFonts w:hint="default"/>
        <w:lang w:val="bg-BG" w:eastAsia="en-US" w:bidi="ar-SA"/>
      </w:rPr>
    </w:lvl>
    <w:lvl w:ilvl="6" w:tplc="FA7642E8">
      <w:numFmt w:val="bullet"/>
      <w:lvlText w:val="•"/>
      <w:lvlJc w:val="left"/>
      <w:pPr>
        <w:ind w:left="5788" w:hanging="884"/>
      </w:pPr>
      <w:rPr>
        <w:rFonts w:hint="default"/>
        <w:lang w:val="bg-BG" w:eastAsia="en-US" w:bidi="ar-SA"/>
      </w:rPr>
    </w:lvl>
    <w:lvl w:ilvl="7" w:tplc="216EF7A8">
      <w:numFmt w:val="bullet"/>
      <w:lvlText w:val="•"/>
      <w:lvlJc w:val="left"/>
      <w:pPr>
        <w:ind w:left="6736" w:hanging="884"/>
      </w:pPr>
      <w:rPr>
        <w:rFonts w:hint="default"/>
        <w:lang w:val="bg-BG" w:eastAsia="en-US" w:bidi="ar-SA"/>
      </w:rPr>
    </w:lvl>
    <w:lvl w:ilvl="8" w:tplc="88D280F8">
      <w:numFmt w:val="bullet"/>
      <w:lvlText w:val="•"/>
      <w:lvlJc w:val="left"/>
      <w:pPr>
        <w:ind w:left="7684" w:hanging="884"/>
      </w:pPr>
      <w:rPr>
        <w:rFonts w:hint="default"/>
        <w:lang w:val="bg-BG" w:eastAsia="en-US" w:bidi="ar-SA"/>
      </w:rPr>
    </w:lvl>
  </w:abstractNum>
  <w:abstractNum w:abstractNumId="3" w15:restartNumberingAfterBreak="0">
    <w:nsid w:val="04BC4B44"/>
    <w:multiLevelType w:val="hybridMultilevel"/>
    <w:tmpl w:val="6F0A6BE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5233AB2"/>
    <w:multiLevelType w:val="hybridMultilevel"/>
    <w:tmpl w:val="0584F7E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09D15293"/>
    <w:multiLevelType w:val="multilevel"/>
    <w:tmpl w:val="269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B0047"/>
    <w:multiLevelType w:val="hybridMultilevel"/>
    <w:tmpl w:val="8AEC1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5A440E"/>
    <w:multiLevelType w:val="hybridMultilevel"/>
    <w:tmpl w:val="D30E48D0"/>
    <w:lvl w:ilvl="0" w:tplc="7CC070A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0F22A94"/>
    <w:multiLevelType w:val="hybridMultilevel"/>
    <w:tmpl w:val="387A03C8"/>
    <w:lvl w:ilvl="0" w:tplc="81762CAC">
      <w:start w:val="1"/>
      <w:numFmt w:val="decimal"/>
      <w:lvlText w:val="%1."/>
      <w:lvlJc w:val="left"/>
      <w:pPr>
        <w:ind w:left="100" w:hanging="884"/>
      </w:pPr>
      <w:rPr>
        <w:rFonts w:ascii="Cambria" w:eastAsia="Cambria" w:hAnsi="Cambria" w:cs="Cambria" w:hint="default"/>
        <w:i/>
        <w:iCs/>
        <w:color w:val="171717"/>
        <w:spacing w:val="0"/>
        <w:w w:val="126"/>
        <w:sz w:val="23"/>
        <w:szCs w:val="23"/>
        <w:lang w:val="bg-BG" w:eastAsia="en-US" w:bidi="ar-SA"/>
      </w:rPr>
    </w:lvl>
    <w:lvl w:ilvl="1" w:tplc="47B20FE4">
      <w:numFmt w:val="bullet"/>
      <w:lvlText w:val="•"/>
      <w:lvlJc w:val="left"/>
      <w:pPr>
        <w:ind w:left="1048" w:hanging="884"/>
      </w:pPr>
      <w:rPr>
        <w:rFonts w:hint="default"/>
        <w:lang w:val="bg-BG" w:eastAsia="en-US" w:bidi="ar-SA"/>
      </w:rPr>
    </w:lvl>
    <w:lvl w:ilvl="2" w:tplc="E55477FE">
      <w:numFmt w:val="bullet"/>
      <w:lvlText w:val="•"/>
      <w:lvlJc w:val="left"/>
      <w:pPr>
        <w:ind w:left="1996" w:hanging="884"/>
      </w:pPr>
      <w:rPr>
        <w:rFonts w:hint="default"/>
        <w:lang w:val="bg-BG" w:eastAsia="en-US" w:bidi="ar-SA"/>
      </w:rPr>
    </w:lvl>
    <w:lvl w:ilvl="3" w:tplc="D354DF56">
      <w:numFmt w:val="bullet"/>
      <w:lvlText w:val="•"/>
      <w:lvlJc w:val="left"/>
      <w:pPr>
        <w:ind w:left="2944" w:hanging="884"/>
      </w:pPr>
      <w:rPr>
        <w:rFonts w:hint="default"/>
        <w:lang w:val="bg-BG" w:eastAsia="en-US" w:bidi="ar-SA"/>
      </w:rPr>
    </w:lvl>
    <w:lvl w:ilvl="4" w:tplc="68F6277C">
      <w:numFmt w:val="bullet"/>
      <w:lvlText w:val="•"/>
      <w:lvlJc w:val="left"/>
      <w:pPr>
        <w:ind w:left="3892" w:hanging="884"/>
      </w:pPr>
      <w:rPr>
        <w:rFonts w:hint="default"/>
        <w:lang w:val="bg-BG" w:eastAsia="en-US" w:bidi="ar-SA"/>
      </w:rPr>
    </w:lvl>
    <w:lvl w:ilvl="5" w:tplc="0E788B4C">
      <w:numFmt w:val="bullet"/>
      <w:lvlText w:val="•"/>
      <w:lvlJc w:val="left"/>
      <w:pPr>
        <w:ind w:left="4840" w:hanging="884"/>
      </w:pPr>
      <w:rPr>
        <w:rFonts w:hint="default"/>
        <w:lang w:val="bg-BG" w:eastAsia="en-US" w:bidi="ar-SA"/>
      </w:rPr>
    </w:lvl>
    <w:lvl w:ilvl="6" w:tplc="87761CC4">
      <w:numFmt w:val="bullet"/>
      <w:lvlText w:val="•"/>
      <w:lvlJc w:val="left"/>
      <w:pPr>
        <w:ind w:left="5788" w:hanging="884"/>
      </w:pPr>
      <w:rPr>
        <w:rFonts w:hint="default"/>
        <w:lang w:val="bg-BG" w:eastAsia="en-US" w:bidi="ar-SA"/>
      </w:rPr>
    </w:lvl>
    <w:lvl w:ilvl="7" w:tplc="0F988314">
      <w:numFmt w:val="bullet"/>
      <w:lvlText w:val="•"/>
      <w:lvlJc w:val="left"/>
      <w:pPr>
        <w:ind w:left="6736" w:hanging="884"/>
      </w:pPr>
      <w:rPr>
        <w:rFonts w:hint="default"/>
        <w:lang w:val="bg-BG" w:eastAsia="en-US" w:bidi="ar-SA"/>
      </w:rPr>
    </w:lvl>
    <w:lvl w:ilvl="8" w:tplc="0EDC90E8">
      <w:numFmt w:val="bullet"/>
      <w:lvlText w:val="•"/>
      <w:lvlJc w:val="left"/>
      <w:pPr>
        <w:ind w:left="7684" w:hanging="884"/>
      </w:pPr>
      <w:rPr>
        <w:rFonts w:hint="default"/>
        <w:lang w:val="bg-BG" w:eastAsia="en-US" w:bidi="ar-SA"/>
      </w:rPr>
    </w:lvl>
  </w:abstractNum>
  <w:abstractNum w:abstractNumId="9" w15:restartNumberingAfterBreak="0">
    <w:nsid w:val="21922961"/>
    <w:multiLevelType w:val="hybridMultilevel"/>
    <w:tmpl w:val="4EE62090"/>
    <w:lvl w:ilvl="0" w:tplc="94D07A28">
      <w:start w:val="1"/>
      <w:numFmt w:val="decimal"/>
      <w:lvlText w:val="%1."/>
      <w:lvlJc w:val="left"/>
      <w:pPr>
        <w:ind w:left="100" w:hanging="884"/>
      </w:pPr>
      <w:rPr>
        <w:rFonts w:ascii="Cambria" w:eastAsia="Cambria" w:hAnsi="Cambria" w:cs="Cambria" w:hint="default"/>
        <w:color w:val="171717"/>
        <w:spacing w:val="0"/>
        <w:w w:val="124"/>
        <w:sz w:val="23"/>
        <w:szCs w:val="23"/>
        <w:lang w:val="bg-BG" w:eastAsia="en-US" w:bidi="ar-SA"/>
      </w:rPr>
    </w:lvl>
    <w:lvl w:ilvl="1" w:tplc="ABE05A5E">
      <w:numFmt w:val="bullet"/>
      <w:lvlText w:val="•"/>
      <w:lvlJc w:val="left"/>
      <w:pPr>
        <w:ind w:left="1048" w:hanging="884"/>
      </w:pPr>
      <w:rPr>
        <w:rFonts w:hint="default"/>
        <w:lang w:val="bg-BG" w:eastAsia="en-US" w:bidi="ar-SA"/>
      </w:rPr>
    </w:lvl>
    <w:lvl w:ilvl="2" w:tplc="32E2959A">
      <w:numFmt w:val="bullet"/>
      <w:lvlText w:val="•"/>
      <w:lvlJc w:val="left"/>
      <w:pPr>
        <w:ind w:left="1996" w:hanging="884"/>
      </w:pPr>
      <w:rPr>
        <w:rFonts w:hint="default"/>
        <w:lang w:val="bg-BG" w:eastAsia="en-US" w:bidi="ar-SA"/>
      </w:rPr>
    </w:lvl>
    <w:lvl w:ilvl="3" w:tplc="AD80A00C">
      <w:numFmt w:val="bullet"/>
      <w:lvlText w:val="•"/>
      <w:lvlJc w:val="left"/>
      <w:pPr>
        <w:ind w:left="2944" w:hanging="884"/>
      </w:pPr>
      <w:rPr>
        <w:rFonts w:hint="default"/>
        <w:lang w:val="bg-BG" w:eastAsia="en-US" w:bidi="ar-SA"/>
      </w:rPr>
    </w:lvl>
    <w:lvl w:ilvl="4" w:tplc="7578075A">
      <w:numFmt w:val="bullet"/>
      <w:lvlText w:val="•"/>
      <w:lvlJc w:val="left"/>
      <w:pPr>
        <w:ind w:left="3892" w:hanging="884"/>
      </w:pPr>
      <w:rPr>
        <w:rFonts w:hint="default"/>
        <w:lang w:val="bg-BG" w:eastAsia="en-US" w:bidi="ar-SA"/>
      </w:rPr>
    </w:lvl>
    <w:lvl w:ilvl="5" w:tplc="77F68B64">
      <w:numFmt w:val="bullet"/>
      <w:lvlText w:val="•"/>
      <w:lvlJc w:val="left"/>
      <w:pPr>
        <w:ind w:left="4840" w:hanging="884"/>
      </w:pPr>
      <w:rPr>
        <w:rFonts w:hint="default"/>
        <w:lang w:val="bg-BG" w:eastAsia="en-US" w:bidi="ar-SA"/>
      </w:rPr>
    </w:lvl>
    <w:lvl w:ilvl="6" w:tplc="E7AE90D2">
      <w:numFmt w:val="bullet"/>
      <w:lvlText w:val="•"/>
      <w:lvlJc w:val="left"/>
      <w:pPr>
        <w:ind w:left="5788" w:hanging="884"/>
      </w:pPr>
      <w:rPr>
        <w:rFonts w:hint="default"/>
        <w:lang w:val="bg-BG" w:eastAsia="en-US" w:bidi="ar-SA"/>
      </w:rPr>
    </w:lvl>
    <w:lvl w:ilvl="7" w:tplc="6F30DC48">
      <w:numFmt w:val="bullet"/>
      <w:lvlText w:val="•"/>
      <w:lvlJc w:val="left"/>
      <w:pPr>
        <w:ind w:left="6736" w:hanging="884"/>
      </w:pPr>
      <w:rPr>
        <w:rFonts w:hint="default"/>
        <w:lang w:val="bg-BG" w:eastAsia="en-US" w:bidi="ar-SA"/>
      </w:rPr>
    </w:lvl>
    <w:lvl w:ilvl="8" w:tplc="33DC05D4">
      <w:numFmt w:val="bullet"/>
      <w:lvlText w:val="•"/>
      <w:lvlJc w:val="left"/>
      <w:pPr>
        <w:ind w:left="7684" w:hanging="884"/>
      </w:pPr>
      <w:rPr>
        <w:rFonts w:hint="default"/>
        <w:lang w:val="bg-BG" w:eastAsia="en-US" w:bidi="ar-SA"/>
      </w:rPr>
    </w:lvl>
  </w:abstractNum>
  <w:abstractNum w:abstractNumId="10" w15:restartNumberingAfterBreak="0">
    <w:nsid w:val="227221EB"/>
    <w:multiLevelType w:val="hybridMultilevel"/>
    <w:tmpl w:val="F9B2D9A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2593339C"/>
    <w:multiLevelType w:val="multilevel"/>
    <w:tmpl w:val="24D42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E20E5"/>
    <w:multiLevelType w:val="hybridMultilevel"/>
    <w:tmpl w:val="38CEB9A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2D705D0A"/>
    <w:multiLevelType w:val="hybridMultilevel"/>
    <w:tmpl w:val="2F08B78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2E3A33C0"/>
    <w:multiLevelType w:val="hybridMultilevel"/>
    <w:tmpl w:val="2ED290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2EAE1231"/>
    <w:multiLevelType w:val="hybridMultilevel"/>
    <w:tmpl w:val="4A0CFBA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F700740"/>
    <w:multiLevelType w:val="hybridMultilevel"/>
    <w:tmpl w:val="CA221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5E7BFF"/>
    <w:multiLevelType w:val="hybridMultilevel"/>
    <w:tmpl w:val="4D3C4F64"/>
    <w:lvl w:ilvl="0" w:tplc="35D23ECC">
      <w:numFmt w:val="bullet"/>
      <w:lvlText w:val="–"/>
      <w:lvlJc w:val="left"/>
      <w:pPr>
        <w:ind w:left="100" w:hanging="252"/>
      </w:pPr>
      <w:rPr>
        <w:rFonts w:ascii="Cambria" w:eastAsia="Cambria" w:hAnsi="Cambria" w:cs="Cambria" w:hint="default"/>
        <w:color w:val="171717"/>
        <w:w w:val="100"/>
        <w:sz w:val="23"/>
        <w:szCs w:val="23"/>
        <w:lang w:val="bg-BG" w:eastAsia="en-US" w:bidi="ar-SA"/>
      </w:rPr>
    </w:lvl>
    <w:lvl w:ilvl="1" w:tplc="717ADC34">
      <w:numFmt w:val="bullet"/>
      <w:lvlText w:val="•"/>
      <w:lvlJc w:val="left"/>
      <w:pPr>
        <w:ind w:left="1048" w:hanging="252"/>
      </w:pPr>
      <w:rPr>
        <w:rFonts w:hint="default"/>
        <w:lang w:val="bg-BG" w:eastAsia="en-US" w:bidi="ar-SA"/>
      </w:rPr>
    </w:lvl>
    <w:lvl w:ilvl="2" w:tplc="62305C70">
      <w:numFmt w:val="bullet"/>
      <w:lvlText w:val="•"/>
      <w:lvlJc w:val="left"/>
      <w:pPr>
        <w:ind w:left="1996" w:hanging="252"/>
      </w:pPr>
      <w:rPr>
        <w:rFonts w:hint="default"/>
        <w:lang w:val="bg-BG" w:eastAsia="en-US" w:bidi="ar-SA"/>
      </w:rPr>
    </w:lvl>
    <w:lvl w:ilvl="3" w:tplc="940C24C2">
      <w:numFmt w:val="bullet"/>
      <w:lvlText w:val="•"/>
      <w:lvlJc w:val="left"/>
      <w:pPr>
        <w:ind w:left="2944" w:hanging="252"/>
      </w:pPr>
      <w:rPr>
        <w:rFonts w:hint="default"/>
        <w:lang w:val="bg-BG" w:eastAsia="en-US" w:bidi="ar-SA"/>
      </w:rPr>
    </w:lvl>
    <w:lvl w:ilvl="4" w:tplc="8D50B91C">
      <w:numFmt w:val="bullet"/>
      <w:lvlText w:val="•"/>
      <w:lvlJc w:val="left"/>
      <w:pPr>
        <w:ind w:left="3892" w:hanging="252"/>
      </w:pPr>
      <w:rPr>
        <w:rFonts w:hint="default"/>
        <w:lang w:val="bg-BG" w:eastAsia="en-US" w:bidi="ar-SA"/>
      </w:rPr>
    </w:lvl>
    <w:lvl w:ilvl="5" w:tplc="E9D664B8">
      <w:numFmt w:val="bullet"/>
      <w:lvlText w:val="•"/>
      <w:lvlJc w:val="left"/>
      <w:pPr>
        <w:ind w:left="4840" w:hanging="252"/>
      </w:pPr>
      <w:rPr>
        <w:rFonts w:hint="default"/>
        <w:lang w:val="bg-BG" w:eastAsia="en-US" w:bidi="ar-SA"/>
      </w:rPr>
    </w:lvl>
    <w:lvl w:ilvl="6" w:tplc="59523B22">
      <w:numFmt w:val="bullet"/>
      <w:lvlText w:val="•"/>
      <w:lvlJc w:val="left"/>
      <w:pPr>
        <w:ind w:left="5788" w:hanging="252"/>
      </w:pPr>
      <w:rPr>
        <w:rFonts w:hint="default"/>
        <w:lang w:val="bg-BG" w:eastAsia="en-US" w:bidi="ar-SA"/>
      </w:rPr>
    </w:lvl>
    <w:lvl w:ilvl="7" w:tplc="0F9E7FD4">
      <w:numFmt w:val="bullet"/>
      <w:lvlText w:val="•"/>
      <w:lvlJc w:val="left"/>
      <w:pPr>
        <w:ind w:left="6736" w:hanging="252"/>
      </w:pPr>
      <w:rPr>
        <w:rFonts w:hint="default"/>
        <w:lang w:val="bg-BG" w:eastAsia="en-US" w:bidi="ar-SA"/>
      </w:rPr>
    </w:lvl>
    <w:lvl w:ilvl="8" w:tplc="88C6AF8C">
      <w:numFmt w:val="bullet"/>
      <w:lvlText w:val="•"/>
      <w:lvlJc w:val="left"/>
      <w:pPr>
        <w:ind w:left="7684" w:hanging="252"/>
      </w:pPr>
      <w:rPr>
        <w:rFonts w:hint="default"/>
        <w:lang w:val="bg-BG" w:eastAsia="en-US" w:bidi="ar-SA"/>
      </w:rPr>
    </w:lvl>
  </w:abstractNum>
  <w:abstractNum w:abstractNumId="18" w15:restartNumberingAfterBreak="0">
    <w:nsid w:val="347057D2"/>
    <w:multiLevelType w:val="hybridMultilevel"/>
    <w:tmpl w:val="AC48D46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35A81FAB"/>
    <w:multiLevelType w:val="hybridMultilevel"/>
    <w:tmpl w:val="5B7ABEBC"/>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20" w15:restartNumberingAfterBreak="0">
    <w:nsid w:val="36615A77"/>
    <w:multiLevelType w:val="hybridMultilevel"/>
    <w:tmpl w:val="7FCC48D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1DB3C66"/>
    <w:multiLevelType w:val="hybridMultilevel"/>
    <w:tmpl w:val="923C9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FB015D"/>
    <w:multiLevelType w:val="hybridMultilevel"/>
    <w:tmpl w:val="F6AE1D8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45F51C1E"/>
    <w:multiLevelType w:val="hybridMultilevel"/>
    <w:tmpl w:val="CC72E0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15:restartNumberingAfterBreak="0">
    <w:nsid w:val="47705FFF"/>
    <w:multiLevelType w:val="hybridMultilevel"/>
    <w:tmpl w:val="01C2C33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25" w15:restartNumberingAfterBreak="0">
    <w:nsid w:val="49A16931"/>
    <w:multiLevelType w:val="hybridMultilevel"/>
    <w:tmpl w:val="8CB0B25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49D1189D"/>
    <w:multiLevelType w:val="hybridMultilevel"/>
    <w:tmpl w:val="E22A224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4CE10978"/>
    <w:multiLevelType w:val="multilevel"/>
    <w:tmpl w:val="E79E21F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8" w15:restartNumberingAfterBreak="0">
    <w:nsid w:val="4D3D6059"/>
    <w:multiLevelType w:val="hybridMultilevel"/>
    <w:tmpl w:val="DBB2BC46"/>
    <w:lvl w:ilvl="0" w:tplc="C256D65A">
      <w:start w:val="22"/>
      <w:numFmt w:val="bullet"/>
      <w:lvlText w:val="-"/>
      <w:lvlJc w:val="left"/>
      <w:pPr>
        <w:ind w:left="1068" w:hanging="360"/>
      </w:pPr>
      <w:rPr>
        <w:rFonts w:ascii="Times New Roman" w:eastAsiaTheme="minorEastAsia"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9" w15:restartNumberingAfterBreak="0">
    <w:nsid w:val="52106628"/>
    <w:multiLevelType w:val="hybridMultilevel"/>
    <w:tmpl w:val="A4CE14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5F13C66"/>
    <w:multiLevelType w:val="hybridMultilevel"/>
    <w:tmpl w:val="85AE0BB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15:restartNumberingAfterBreak="0">
    <w:nsid w:val="5A9F3E3C"/>
    <w:multiLevelType w:val="hybridMultilevel"/>
    <w:tmpl w:val="D842FEB0"/>
    <w:lvl w:ilvl="0" w:tplc="7284ABF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5BF172AD"/>
    <w:multiLevelType w:val="hybridMultilevel"/>
    <w:tmpl w:val="390845E8"/>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33" w15:restartNumberingAfterBreak="0">
    <w:nsid w:val="5D931E7E"/>
    <w:multiLevelType w:val="hybridMultilevel"/>
    <w:tmpl w:val="D99A91D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4" w15:restartNumberingAfterBreak="0">
    <w:nsid w:val="5E140240"/>
    <w:multiLevelType w:val="hybridMultilevel"/>
    <w:tmpl w:val="9C7A7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09C0DB0"/>
    <w:multiLevelType w:val="hybridMultilevel"/>
    <w:tmpl w:val="9C2CCF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6" w15:restartNumberingAfterBreak="0">
    <w:nsid w:val="611C3639"/>
    <w:multiLevelType w:val="hybridMultilevel"/>
    <w:tmpl w:val="D1A05D3E"/>
    <w:lvl w:ilvl="0" w:tplc="7074A30C">
      <w:numFmt w:val="bullet"/>
      <w:lvlText w:val="–"/>
      <w:lvlJc w:val="left"/>
      <w:pPr>
        <w:ind w:left="666" w:hanging="317"/>
      </w:pPr>
      <w:rPr>
        <w:rFonts w:ascii="Cambria" w:eastAsia="Cambria" w:hAnsi="Cambria" w:cs="Cambria" w:hint="default"/>
        <w:color w:val="171717"/>
        <w:w w:val="100"/>
        <w:sz w:val="23"/>
        <w:szCs w:val="23"/>
        <w:lang w:val="bg-BG" w:eastAsia="en-US" w:bidi="ar-SA"/>
      </w:rPr>
    </w:lvl>
    <w:lvl w:ilvl="1" w:tplc="993AD960">
      <w:numFmt w:val="bullet"/>
      <w:lvlText w:val="•"/>
      <w:lvlJc w:val="left"/>
      <w:pPr>
        <w:ind w:left="1552" w:hanging="317"/>
      </w:pPr>
      <w:rPr>
        <w:rFonts w:hint="default"/>
        <w:lang w:val="bg-BG" w:eastAsia="en-US" w:bidi="ar-SA"/>
      </w:rPr>
    </w:lvl>
    <w:lvl w:ilvl="2" w:tplc="B24C798C">
      <w:numFmt w:val="bullet"/>
      <w:lvlText w:val="•"/>
      <w:lvlJc w:val="left"/>
      <w:pPr>
        <w:ind w:left="2444" w:hanging="317"/>
      </w:pPr>
      <w:rPr>
        <w:rFonts w:hint="default"/>
        <w:lang w:val="bg-BG" w:eastAsia="en-US" w:bidi="ar-SA"/>
      </w:rPr>
    </w:lvl>
    <w:lvl w:ilvl="3" w:tplc="6EAAD73A">
      <w:numFmt w:val="bullet"/>
      <w:lvlText w:val="•"/>
      <w:lvlJc w:val="left"/>
      <w:pPr>
        <w:ind w:left="3336" w:hanging="317"/>
      </w:pPr>
      <w:rPr>
        <w:rFonts w:hint="default"/>
        <w:lang w:val="bg-BG" w:eastAsia="en-US" w:bidi="ar-SA"/>
      </w:rPr>
    </w:lvl>
    <w:lvl w:ilvl="4" w:tplc="7662F830">
      <w:numFmt w:val="bullet"/>
      <w:lvlText w:val="•"/>
      <w:lvlJc w:val="left"/>
      <w:pPr>
        <w:ind w:left="4228" w:hanging="317"/>
      </w:pPr>
      <w:rPr>
        <w:rFonts w:hint="default"/>
        <w:lang w:val="bg-BG" w:eastAsia="en-US" w:bidi="ar-SA"/>
      </w:rPr>
    </w:lvl>
    <w:lvl w:ilvl="5" w:tplc="D5FA7BC2">
      <w:numFmt w:val="bullet"/>
      <w:lvlText w:val="•"/>
      <w:lvlJc w:val="left"/>
      <w:pPr>
        <w:ind w:left="5120" w:hanging="317"/>
      </w:pPr>
      <w:rPr>
        <w:rFonts w:hint="default"/>
        <w:lang w:val="bg-BG" w:eastAsia="en-US" w:bidi="ar-SA"/>
      </w:rPr>
    </w:lvl>
    <w:lvl w:ilvl="6" w:tplc="5F8E4DDC">
      <w:numFmt w:val="bullet"/>
      <w:lvlText w:val="•"/>
      <w:lvlJc w:val="left"/>
      <w:pPr>
        <w:ind w:left="6012" w:hanging="317"/>
      </w:pPr>
      <w:rPr>
        <w:rFonts w:hint="default"/>
        <w:lang w:val="bg-BG" w:eastAsia="en-US" w:bidi="ar-SA"/>
      </w:rPr>
    </w:lvl>
    <w:lvl w:ilvl="7" w:tplc="55726ACA">
      <w:numFmt w:val="bullet"/>
      <w:lvlText w:val="•"/>
      <w:lvlJc w:val="left"/>
      <w:pPr>
        <w:ind w:left="6904" w:hanging="317"/>
      </w:pPr>
      <w:rPr>
        <w:rFonts w:hint="default"/>
        <w:lang w:val="bg-BG" w:eastAsia="en-US" w:bidi="ar-SA"/>
      </w:rPr>
    </w:lvl>
    <w:lvl w:ilvl="8" w:tplc="51B2AAA6">
      <w:numFmt w:val="bullet"/>
      <w:lvlText w:val="•"/>
      <w:lvlJc w:val="left"/>
      <w:pPr>
        <w:ind w:left="7796" w:hanging="317"/>
      </w:pPr>
      <w:rPr>
        <w:rFonts w:hint="default"/>
        <w:lang w:val="bg-BG" w:eastAsia="en-US" w:bidi="ar-SA"/>
      </w:rPr>
    </w:lvl>
  </w:abstractNum>
  <w:abstractNum w:abstractNumId="37" w15:restartNumberingAfterBreak="0">
    <w:nsid w:val="61D14B93"/>
    <w:multiLevelType w:val="hybridMultilevel"/>
    <w:tmpl w:val="102E0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7A1A53"/>
    <w:multiLevelType w:val="hybridMultilevel"/>
    <w:tmpl w:val="1398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20F37"/>
    <w:multiLevelType w:val="hybridMultilevel"/>
    <w:tmpl w:val="E21859D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0" w15:restartNumberingAfterBreak="0">
    <w:nsid w:val="6A773003"/>
    <w:multiLevelType w:val="hybridMultilevel"/>
    <w:tmpl w:val="F49CC458"/>
    <w:lvl w:ilvl="0" w:tplc="DB7E059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1" w15:restartNumberingAfterBreak="0">
    <w:nsid w:val="7235318E"/>
    <w:multiLevelType w:val="hybridMultilevel"/>
    <w:tmpl w:val="A07E97B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2" w15:restartNumberingAfterBreak="0">
    <w:nsid w:val="79AD4676"/>
    <w:multiLevelType w:val="hybridMultilevel"/>
    <w:tmpl w:val="A3E28E3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3" w15:restartNumberingAfterBreak="0">
    <w:nsid w:val="7C077C3D"/>
    <w:multiLevelType w:val="multilevel"/>
    <w:tmpl w:val="088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56D7B"/>
    <w:multiLevelType w:val="hybridMultilevel"/>
    <w:tmpl w:val="9FBA08E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154301313">
    <w:abstractNumId w:val="27"/>
  </w:num>
  <w:num w:numId="2" w16cid:durableId="610162865">
    <w:abstractNumId w:val="34"/>
  </w:num>
  <w:num w:numId="3" w16cid:durableId="409693258">
    <w:abstractNumId w:val="15"/>
  </w:num>
  <w:num w:numId="4" w16cid:durableId="680133531">
    <w:abstractNumId w:val="10"/>
  </w:num>
  <w:num w:numId="5" w16cid:durableId="1344280415">
    <w:abstractNumId w:val="40"/>
  </w:num>
  <w:num w:numId="6" w16cid:durableId="1699507023">
    <w:abstractNumId w:val="31"/>
  </w:num>
  <w:num w:numId="7" w16cid:durableId="1041518952">
    <w:abstractNumId w:val="7"/>
  </w:num>
  <w:num w:numId="8" w16cid:durableId="1148862570">
    <w:abstractNumId w:val="9"/>
  </w:num>
  <w:num w:numId="9" w16cid:durableId="541214643">
    <w:abstractNumId w:val="2"/>
  </w:num>
  <w:num w:numId="10" w16cid:durableId="1031758211">
    <w:abstractNumId w:val="8"/>
  </w:num>
  <w:num w:numId="11" w16cid:durableId="1338508015">
    <w:abstractNumId w:val="36"/>
  </w:num>
  <w:num w:numId="12" w16cid:durableId="2056389270">
    <w:abstractNumId w:val="17"/>
  </w:num>
  <w:num w:numId="13" w16cid:durableId="2073848842">
    <w:abstractNumId w:val="38"/>
  </w:num>
  <w:num w:numId="14" w16cid:durableId="1641493796">
    <w:abstractNumId w:val="21"/>
  </w:num>
  <w:num w:numId="15" w16cid:durableId="1243643458">
    <w:abstractNumId w:val="14"/>
  </w:num>
  <w:num w:numId="16" w16cid:durableId="1907762619">
    <w:abstractNumId w:val="29"/>
  </w:num>
  <w:num w:numId="17" w16cid:durableId="939525922">
    <w:abstractNumId w:val="44"/>
  </w:num>
  <w:num w:numId="18" w16cid:durableId="1409376024">
    <w:abstractNumId w:val="20"/>
  </w:num>
  <w:num w:numId="19" w16cid:durableId="1633246667">
    <w:abstractNumId w:val="32"/>
  </w:num>
  <w:num w:numId="20" w16cid:durableId="858085643">
    <w:abstractNumId w:val="24"/>
  </w:num>
  <w:num w:numId="21" w16cid:durableId="2112554836">
    <w:abstractNumId w:val="3"/>
  </w:num>
  <w:num w:numId="22" w16cid:durableId="2010983957">
    <w:abstractNumId w:val="33"/>
  </w:num>
  <w:num w:numId="23" w16cid:durableId="661736899">
    <w:abstractNumId w:val="19"/>
  </w:num>
  <w:num w:numId="24" w16cid:durableId="1379012584">
    <w:abstractNumId w:val="1"/>
  </w:num>
  <w:num w:numId="25" w16cid:durableId="462232259">
    <w:abstractNumId w:val="42"/>
  </w:num>
  <w:num w:numId="26" w16cid:durableId="2132750033">
    <w:abstractNumId w:val="35"/>
  </w:num>
  <w:num w:numId="27" w16cid:durableId="928926857">
    <w:abstractNumId w:val="25"/>
  </w:num>
  <w:num w:numId="28" w16cid:durableId="1882356569">
    <w:abstractNumId w:val="12"/>
  </w:num>
  <w:num w:numId="29" w16cid:durableId="1950159446">
    <w:abstractNumId w:val="30"/>
  </w:num>
  <w:num w:numId="30" w16cid:durableId="678854250">
    <w:abstractNumId w:val="4"/>
  </w:num>
  <w:num w:numId="31" w16cid:durableId="456022562">
    <w:abstractNumId w:val="23"/>
  </w:num>
  <w:num w:numId="32" w16cid:durableId="1207596161">
    <w:abstractNumId w:val="26"/>
  </w:num>
  <w:num w:numId="33" w16cid:durableId="107237076">
    <w:abstractNumId w:val="39"/>
  </w:num>
  <w:num w:numId="34" w16cid:durableId="397703185">
    <w:abstractNumId w:val="28"/>
  </w:num>
  <w:num w:numId="35" w16cid:durableId="103884265">
    <w:abstractNumId w:val="13"/>
  </w:num>
  <w:num w:numId="36" w16cid:durableId="1057512475">
    <w:abstractNumId w:val="22"/>
  </w:num>
  <w:num w:numId="37" w16cid:durableId="1816992548">
    <w:abstractNumId w:val="16"/>
  </w:num>
  <w:num w:numId="38" w16cid:durableId="1263881136">
    <w:abstractNumId w:val="6"/>
  </w:num>
  <w:num w:numId="39" w16cid:durableId="869415636">
    <w:abstractNumId w:val="37"/>
  </w:num>
  <w:num w:numId="40" w16cid:durableId="492986762">
    <w:abstractNumId w:val="0"/>
  </w:num>
  <w:num w:numId="41" w16cid:durableId="1104770335">
    <w:abstractNumId w:val="18"/>
  </w:num>
  <w:num w:numId="42" w16cid:durableId="961500584">
    <w:abstractNumId w:val="11"/>
  </w:num>
  <w:num w:numId="43" w16cid:durableId="1307856681">
    <w:abstractNumId w:val="43"/>
  </w:num>
  <w:num w:numId="44" w16cid:durableId="2003123413">
    <w:abstractNumId w:val="5"/>
  </w:num>
  <w:num w:numId="45" w16cid:durableId="17811045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90"/>
    <w:rsid w:val="00002CEA"/>
    <w:rsid w:val="0000309D"/>
    <w:rsid w:val="00007C1D"/>
    <w:rsid w:val="00016993"/>
    <w:rsid w:val="000212C3"/>
    <w:rsid w:val="00024C6F"/>
    <w:rsid w:val="000A495F"/>
    <w:rsid w:val="000D190E"/>
    <w:rsid w:val="000E0AA3"/>
    <w:rsid w:val="000F09DA"/>
    <w:rsid w:val="00105936"/>
    <w:rsid w:val="001178E5"/>
    <w:rsid w:val="00132CE8"/>
    <w:rsid w:val="0013744B"/>
    <w:rsid w:val="0013794C"/>
    <w:rsid w:val="00157659"/>
    <w:rsid w:val="0016069C"/>
    <w:rsid w:val="00197A08"/>
    <w:rsid w:val="001A64B4"/>
    <w:rsid w:val="001B0F34"/>
    <w:rsid w:val="001C7801"/>
    <w:rsid w:val="001E5D05"/>
    <w:rsid w:val="00213DF3"/>
    <w:rsid w:val="0021699C"/>
    <w:rsid w:val="00217FA1"/>
    <w:rsid w:val="002526E3"/>
    <w:rsid w:val="002640B5"/>
    <w:rsid w:val="002656AE"/>
    <w:rsid w:val="002672B7"/>
    <w:rsid w:val="0027285D"/>
    <w:rsid w:val="00282949"/>
    <w:rsid w:val="002936C7"/>
    <w:rsid w:val="002A4AC6"/>
    <w:rsid w:val="002B20DA"/>
    <w:rsid w:val="002C2E7A"/>
    <w:rsid w:val="002C50E7"/>
    <w:rsid w:val="002D1B7D"/>
    <w:rsid w:val="002D6454"/>
    <w:rsid w:val="002F24DA"/>
    <w:rsid w:val="002F4CC0"/>
    <w:rsid w:val="002F72F4"/>
    <w:rsid w:val="00311500"/>
    <w:rsid w:val="00316FAD"/>
    <w:rsid w:val="00325A67"/>
    <w:rsid w:val="00327A10"/>
    <w:rsid w:val="00363F5D"/>
    <w:rsid w:val="00376A3F"/>
    <w:rsid w:val="00392D42"/>
    <w:rsid w:val="003B1AC1"/>
    <w:rsid w:val="003B1ACC"/>
    <w:rsid w:val="003E1F48"/>
    <w:rsid w:val="0041548E"/>
    <w:rsid w:val="00415892"/>
    <w:rsid w:val="00432066"/>
    <w:rsid w:val="00441F14"/>
    <w:rsid w:val="00464F91"/>
    <w:rsid w:val="0046520B"/>
    <w:rsid w:val="0049726E"/>
    <w:rsid w:val="004A3989"/>
    <w:rsid w:val="004B0EC4"/>
    <w:rsid w:val="004D759C"/>
    <w:rsid w:val="004F309E"/>
    <w:rsid w:val="00507DF6"/>
    <w:rsid w:val="00521576"/>
    <w:rsid w:val="00536357"/>
    <w:rsid w:val="00546590"/>
    <w:rsid w:val="00556354"/>
    <w:rsid w:val="00586FD8"/>
    <w:rsid w:val="00597252"/>
    <w:rsid w:val="005A63F0"/>
    <w:rsid w:val="005A6F40"/>
    <w:rsid w:val="005C2699"/>
    <w:rsid w:val="005C2B62"/>
    <w:rsid w:val="005D1A38"/>
    <w:rsid w:val="005D6B0A"/>
    <w:rsid w:val="005E1645"/>
    <w:rsid w:val="005E6535"/>
    <w:rsid w:val="005F1D89"/>
    <w:rsid w:val="00603661"/>
    <w:rsid w:val="00614EE6"/>
    <w:rsid w:val="00641B19"/>
    <w:rsid w:val="00644A90"/>
    <w:rsid w:val="0067160E"/>
    <w:rsid w:val="00694738"/>
    <w:rsid w:val="006A10F1"/>
    <w:rsid w:val="006A4A24"/>
    <w:rsid w:val="006A7F3D"/>
    <w:rsid w:val="006B1E36"/>
    <w:rsid w:val="006D276E"/>
    <w:rsid w:val="00702086"/>
    <w:rsid w:val="00705C52"/>
    <w:rsid w:val="00722481"/>
    <w:rsid w:val="00771F88"/>
    <w:rsid w:val="00787DF7"/>
    <w:rsid w:val="007B620F"/>
    <w:rsid w:val="007D13C8"/>
    <w:rsid w:val="008160A1"/>
    <w:rsid w:val="008355E8"/>
    <w:rsid w:val="0085285E"/>
    <w:rsid w:val="00857E89"/>
    <w:rsid w:val="008615D8"/>
    <w:rsid w:val="00867C68"/>
    <w:rsid w:val="00880436"/>
    <w:rsid w:val="00890F2A"/>
    <w:rsid w:val="0089440A"/>
    <w:rsid w:val="008B69F4"/>
    <w:rsid w:val="008D35C5"/>
    <w:rsid w:val="008E6D76"/>
    <w:rsid w:val="008F3E9B"/>
    <w:rsid w:val="0090141A"/>
    <w:rsid w:val="00906C09"/>
    <w:rsid w:val="00917437"/>
    <w:rsid w:val="00922104"/>
    <w:rsid w:val="009265E2"/>
    <w:rsid w:val="009276DF"/>
    <w:rsid w:val="009312E7"/>
    <w:rsid w:val="00944E8C"/>
    <w:rsid w:val="00963523"/>
    <w:rsid w:val="009A4E68"/>
    <w:rsid w:val="009A7D65"/>
    <w:rsid w:val="009B5564"/>
    <w:rsid w:val="009C30C5"/>
    <w:rsid w:val="009D4FDD"/>
    <w:rsid w:val="009E1BA1"/>
    <w:rsid w:val="00A1042F"/>
    <w:rsid w:val="00A149E6"/>
    <w:rsid w:val="00A23892"/>
    <w:rsid w:val="00A2433D"/>
    <w:rsid w:val="00A3123F"/>
    <w:rsid w:val="00A66BCC"/>
    <w:rsid w:val="00A75DED"/>
    <w:rsid w:val="00A77CF4"/>
    <w:rsid w:val="00AD015A"/>
    <w:rsid w:val="00AE6DC7"/>
    <w:rsid w:val="00AE79B9"/>
    <w:rsid w:val="00AF1FCB"/>
    <w:rsid w:val="00B069E3"/>
    <w:rsid w:val="00B15029"/>
    <w:rsid w:val="00B35778"/>
    <w:rsid w:val="00B41548"/>
    <w:rsid w:val="00B44C1D"/>
    <w:rsid w:val="00B51EBE"/>
    <w:rsid w:val="00BA3FEE"/>
    <w:rsid w:val="00BA5128"/>
    <w:rsid w:val="00BB01B9"/>
    <w:rsid w:val="00BC28D1"/>
    <w:rsid w:val="00C02E88"/>
    <w:rsid w:val="00C12F91"/>
    <w:rsid w:val="00C57670"/>
    <w:rsid w:val="00CB6CF0"/>
    <w:rsid w:val="00CC6BBE"/>
    <w:rsid w:val="00CE4181"/>
    <w:rsid w:val="00CF358E"/>
    <w:rsid w:val="00D26F56"/>
    <w:rsid w:val="00D35D92"/>
    <w:rsid w:val="00D5268C"/>
    <w:rsid w:val="00D63C29"/>
    <w:rsid w:val="00D64DFD"/>
    <w:rsid w:val="00DD28F9"/>
    <w:rsid w:val="00DD2A19"/>
    <w:rsid w:val="00DD3E1B"/>
    <w:rsid w:val="00DE279C"/>
    <w:rsid w:val="00DE2FE4"/>
    <w:rsid w:val="00DE5240"/>
    <w:rsid w:val="00DF65BB"/>
    <w:rsid w:val="00E10AEA"/>
    <w:rsid w:val="00E223AC"/>
    <w:rsid w:val="00E229B3"/>
    <w:rsid w:val="00E52EEE"/>
    <w:rsid w:val="00E55883"/>
    <w:rsid w:val="00EA2E76"/>
    <w:rsid w:val="00EB2679"/>
    <w:rsid w:val="00ED0B92"/>
    <w:rsid w:val="00EE411D"/>
    <w:rsid w:val="00F4067C"/>
    <w:rsid w:val="00F63279"/>
    <w:rsid w:val="00F761BF"/>
    <w:rsid w:val="00F84553"/>
    <w:rsid w:val="00F85859"/>
    <w:rsid w:val="00F975B5"/>
    <w:rsid w:val="00FA2C8C"/>
    <w:rsid w:val="00FA3005"/>
    <w:rsid w:val="00FA4FE1"/>
    <w:rsid w:val="00FE0B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A90"/>
    <w:pPr>
      <w:ind w:left="720"/>
      <w:contextualSpacing/>
    </w:pPr>
  </w:style>
  <w:style w:type="table" w:styleId="TableGrid">
    <w:name w:val="Table Grid"/>
    <w:basedOn w:val="TableNormal"/>
    <w:uiPriority w:val="59"/>
    <w:rsid w:val="00644A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3E9B"/>
    <w:rPr>
      <w:color w:val="808080"/>
    </w:rPr>
  </w:style>
  <w:style w:type="paragraph" w:styleId="BalloonText">
    <w:name w:val="Balloon Text"/>
    <w:basedOn w:val="Normal"/>
    <w:link w:val="BalloonTextChar"/>
    <w:uiPriority w:val="99"/>
    <w:semiHidden/>
    <w:unhideWhenUsed/>
    <w:rsid w:val="008F3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9B"/>
    <w:rPr>
      <w:rFonts w:ascii="Tahoma" w:hAnsi="Tahoma" w:cs="Tahoma"/>
      <w:sz w:val="16"/>
      <w:szCs w:val="16"/>
    </w:rPr>
  </w:style>
  <w:style w:type="character" w:styleId="Hyperlink">
    <w:name w:val="Hyperlink"/>
    <w:basedOn w:val="DefaultParagraphFont"/>
    <w:uiPriority w:val="99"/>
    <w:unhideWhenUsed/>
    <w:rsid w:val="0021699C"/>
    <w:rPr>
      <w:color w:val="0000FF" w:themeColor="hyperlink"/>
      <w:u w:val="single"/>
    </w:rPr>
  </w:style>
  <w:style w:type="character" w:styleId="UnresolvedMention">
    <w:name w:val="Unresolved Mention"/>
    <w:basedOn w:val="DefaultParagraphFont"/>
    <w:uiPriority w:val="99"/>
    <w:semiHidden/>
    <w:unhideWhenUsed/>
    <w:rsid w:val="0021699C"/>
    <w:rPr>
      <w:color w:val="605E5C"/>
      <w:shd w:val="clear" w:color="auto" w:fill="E1DFDD"/>
    </w:rPr>
  </w:style>
  <w:style w:type="paragraph" w:styleId="Header">
    <w:name w:val="header"/>
    <w:basedOn w:val="Normal"/>
    <w:link w:val="HeaderChar"/>
    <w:uiPriority w:val="99"/>
    <w:unhideWhenUsed/>
    <w:rsid w:val="00105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936"/>
  </w:style>
  <w:style w:type="paragraph" w:styleId="Footer">
    <w:name w:val="footer"/>
    <w:basedOn w:val="Normal"/>
    <w:link w:val="FooterChar"/>
    <w:uiPriority w:val="99"/>
    <w:unhideWhenUsed/>
    <w:rsid w:val="00105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936"/>
  </w:style>
  <w:style w:type="table" w:styleId="TableGridLight">
    <w:name w:val="Grid Table Light"/>
    <w:basedOn w:val="TableNormal"/>
    <w:uiPriority w:val="40"/>
    <w:rsid w:val="00FA2C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D75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defop.europa.eu/en/tools/apprenticeship-schemes/country-fiches/bulgaria" TargetMode="External"/><Relationship Id="rId21" Type="http://schemas.openxmlformats.org/officeDocument/2006/relationships/hyperlink" Target="https://www.bdo.nl/en-gb/insights/the-energy-performance-of-buildings-directive-%28epbd%29-what-it-means-for-businesses-and-the-built-env" TargetMode="External"/><Relationship Id="rId42" Type="http://schemas.openxmlformats.org/officeDocument/2006/relationships/hyperlink" Target="https://www.eionet.europa.eu/etcs/etc-ce/netherlands_2024-ce-country-profile_final.pdf" TargetMode="External"/><Relationship Id="rId47" Type="http://schemas.openxmlformats.org/officeDocument/2006/relationships/hyperlink" Target="https://ec.europa.eu/eurostat/statistics-explained/index.php?title=Statistics_on_young_people_neither_in_employment_nor_in_education_or_training" TargetMode="External"/><Relationship Id="rId63" Type="http://schemas.openxmlformats.org/officeDocument/2006/relationships/hyperlink" Target="https://circulareconomy.europa.eu/platform/sites/default/files/17037circulaireeconomie_en.pdf?utm_source=chatgpt.com" TargetMode="External"/><Relationship Id="rId68" Type="http://schemas.openxmlformats.org/officeDocument/2006/relationships/hyperlink" Target="https://www.iea.org/countries/the-netherlands" TargetMode="External"/><Relationship Id="rId84" Type="http://schemas.openxmlformats.org/officeDocument/2006/relationships/hyperlink" Target="https://www.uil.unesco.org/en/articles/case-study-validation-prior-learning-vpl-career-guidance-tool" TargetMode="External"/><Relationship Id="rId89" Type="http://schemas.openxmlformats.org/officeDocument/2006/relationships/hyperlink" Target="https://national-policies.eacea.ec.europa.eu/youthwiki/chapters/netherlands/overview" TargetMode="External"/><Relationship Id="rId16" Type="http://schemas.openxmlformats.org/officeDocument/2006/relationships/hyperlink" Target="https://az.government.bg/pages/komponent-2-obuchenija-za-di-gi-umenija-i-kompetencii/" TargetMode="External"/><Relationship Id="rId11" Type="http://schemas.openxmlformats.org/officeDocument/2006/relationships/image" Target="media/image4.png"/><Relationship Id="rId32" Type="http://schemas.openxmlformats.org/officeDocument/2006/relationships/hyperlink" Target="https://national-policies.eacea.ec.europa.eu/youthwiki/chapters/croatia/13-national-youth-strategy-0" TargetMode="External"/><Relationship Id="rId37" Type="http://schemas.openxmlformats.org/officeDocument/2006/relationships/hyperlink" Target="https://ec.europa.eu/regional_policy/information-sources/publications/factsheets/2020/e-schools-project-bringing-croatian-schools-in-the-digital-era_en" TargetMode="External"/><Relationship Id="rId53" Type="http://schemas.openxmlformats.org/officeDocument/2006/relationships/hyperlink" Target="https://www.government.nl/topics/minimum-wage/new-minimum-wage-from-2024" TargetMode="External"/><Relationship Id="rId58" Type="http://schemas.openxmlformats.org/officeDocument/2006/relationships/hyperlink" Target="https://www.government.nl/topics/circular-economy" TargetMode="External"/><Relationship Id="rId74" Type="http://schemas.openxmlformats.org/officeDocument/2006/relationships/hyperlink" Target="https://noordzeeloket.nl/en/functions-use/offshore-wind-energy/energy-transition-north-sea/?utm_source=chatgpt.com" TargetMode="External"/><Relationship Id="rId79" Type="http://schemas.openxmlformats.org/officeDocument/2006/relationships/hyperlink" Target="https://www.s-bb.nl/en/"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yperlink" Target="https://www.bdo.nl/en-gb/insights/the-energy-performance-of-buildings-directive-%28epbd%29-what-it-means-for-businesses-and-the-built-env?utm_source=chatgpt.com" TargetMode="External"/><Relationship Id="rId27" Type="http://schemas.openxmlformats.org/officeDocument/2006/relationships/hyperlink" Target="https://hollandcircularhotspot.nl/wp-content/uploads/2020/06/Circularity-Gap-Report-Netherlands.pdf" TargetMode="External"/><Relationship Id="rId30" Type="http://schemas.openxmlformats.org/officeDocument/2006/relationships/hyperlink" Target="https://www.hzz.hr/app/uploads/2023/03/Godisnjak-2024-eng.pdf?utm_source=chatgpt.com" TargetMode="External"/><Relationship Id="rId35" Type="http://schemas.openxmlformats.org/officeDocument/2006/relationships/hyperlink" Target="https://efficientbuildings.eu/wp-content/uploads/2025/10/Efficient-Buildings-Europe-Implementation-Guide-2025_online_V3.pdf?utm_source=chatgpt.com" TargetMode="External"/><Relationship Id="rId43" Type="http://schemas.openxmlformats.org/officeDocument/2006/relationships/hyperlink" Target="https://www.eionet.europa.eu/etcs/etc-ce/netherlands_2024-ce-country-profile_final.pdf?utm_source=chatgpt.com" TargetMode="External"/><Relationship Id="rId48" Type="http://schemas.openxmlformats.org/officeDocument/2006/relationships/hyperlink" Target="https://ec.europa.eu/eurostat/web/products-eurostat-news/w/ddn-20240613-1" TargetMode="External"/><Relationship Id="rId56" Type="http://schemas.openxmlformats.org/officeDocument/2006/relationships/hyperlink" Target="https://www.government.nl/topics/circular-economy/circular-dutch-economy-by-2050" TargetMode="External"/><Relationship Id="rId64" Type="http://schemas.openxmlformats.org/officeDocument/2006/relationships/hyperlink" Target="https://mdu.gov.hr/UserDocsImages/Direktorij%202/Slike%20od%20111.23/Dokumenti%20od%20111.23/Nacionalni%20program%20za%20mlade%202023-2025%20A4%20EN%20web..pdf" TargetMode="External"/><Relationship Id="rId69" Type="http://schemas.openxmlformats.org/officeDocument/2006/relationships/hyperlink" Target="https://www.iea.org/countries/the-netherlands?utm_source=chatgpt.com" TargetMode="External"/><Relationship Id="rId77" Type="http://schemas.openxmlformats.org/officeDocument/2006/relationships/hyperlink" Target="https://webfs.oecd.org/els-com/youth/OECD-NEET-Rate-1529s-web.xlsx" TargetMode="External"/><Relationship Id="rId8" Type="http://schemas.openxmlformats.org/officeDocument/2006/relationships/image" Target="media/image1.png"/><Relationship Id="rId51" Type="http://schemas.openxmlformats.org/officeDocument/2006/relationships/hyperlink" Target="https://sofiaglobe.com/2025/05/23/eurostat-new-lows-for-eu-unemployment-in-2024/" TargetMode="External"/><Relationship Id="rId72" Type="http://schemas.openxmlformats.org/officeDocument/2006/relationships/hyperlink" Target="https://english.rvo.nl/topics/offshore-wind-energy/new-offshore-wind-farms?utm_source=chatgpt.com" TargetMode="External"/><Relationship Id="rId80" Type="http://schemas.openxmlformats.org/officeDocument/2006/relationships/hyperlink" Target="https://www.s-bb.nl/en/organisation/" TargetMode="External"/><Relationship Id="rId85" Type="http://schemas.openxmlformats.org/officeDocument/2006/relationships/hyperlink" Target="https://unevoc.unesco.org/countryprofiles/docs/UNESCO_Funding-of-Training_Netherlands-DOORZAAM.pdf?utm_source=chatgpt.co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commission.europa.eu/strategy-and-policy/recovery-plan-europe_bg" TargetMode="External"/><Relationship Id="rId25" Type="http://schemas.openxmlformats.org/officeDocument/2006/relationships/hyperlink" Target="https://www.cedefop.europa.eu/en/news/bulgaria-new-vet-act-amendment-further-modernises-vet" TargetMode="External"/><Relationship Id="rId33" Type="http://schemas.openxmlformats.org/officeDocument/2006/relationships/hyperlink" Target="https://national-policies.eacea.ec.europa.eu/youthwiki/chapters/croatia/36-integration-of-young-people-in-the-labour-market?utm_source=chatgpt.com" TargetMode="External"/><Relationship Id="rId38" Type="http://schemas.openxmlformats.org/officeDocument/2006/relationships/hyperlink" Target="https://commission.europa.eu/system/files/2021-10/hr_rrp_summary.pdf" TargetMode="External"/><Relationship Id="rId46" Type="http://schemas.openxmlformats.org/officeDocument/2006/relationships/hyperlink" Target="https://european-social-fund-plus.ec.europa.eu/en/support-your-country/esf-croatia" TargetMode="External"/><Relationship Id="rId59" Type="http://schemas.openxmlformats.org/officeDocument/2006/relationships/hyperlink" Target="https://www.government.nl/topics/circular-economy?utm_source=chatgpt.com" TargetMode="External"/><Relationship Id="rId67" Type="http://schemas.openxmlformats.org/officeDocument/2006/relationships/hyperlink" Target="https://www.iea.org/reports/energy-efficiency-policy-toolkit-2025/heat-pumps-for-buildings?utm_source=chatgpt.com" TargetMode="External"/><Relationship Id="rId20" Type="http://schemas.openxmlformats.org/officeDocument/2006/relationships/hyperlink" Target="https://www.navet.government.bg/bg/media/ZPOO-2018.pdf" TargetMode="External"/><Relationship Id="rId41" Type="http://schemas.openxmlformats.org/officeDocument/2006/relationships/hyperlink" Target="https://commission.europa.eu/business-economy-euro/economic-recovery/recovery-and-resilience-facility/country-pages/bulgarias-recovery-and-resilience-plan_en?utm_source=chatgpt.com" TargetMode="External"/><Relationship Id="rId54" Type="http://schemas.openxmlformats.org/officeDocument/2006/relationships/hyperlink" Target="https://www.government.nl/topics/minimum-wage/minimum-wage-amounts" TargetMode="External"/><Relationship Id="rId62" Type="http://schemas.openxmlformats.org/officeDocument/2006/relationships/hyperlink" Target="https://www.government.nl/topics/secondary-vocational-education-mbo-and-tertiary-higher-education/secondary-vocational-education-mbo" TargetMode="External"/><Relationship Id="rId70" Type="http://schemas.openxmlformats.org/officeDocument/2006/relationships/hyperlink" Target="https://www.rvo.nl/sites/default/files/2023-07/WOZ-210622022062-Letter-Additional-Offshore-Wind%20Energy-Roadmap-2030.pdf?utm_source=chatgpt.com" TargetMode="External"/><Relationship Id="rId75" Type="http://schemas.openxmlformats.org/officeDocument/2006/relationships/hyperlink" Target="https://www.oecd.org/content/dam/oecd/en/publications/reports/2025/07/oecd-economic-surveys-netherlands-2025_aa9d215c/2dd1f4aa-en.pdf" TargetMode="External"/><Relationship Id="rId83" Type="http://schemas.openxmlformats.org/officeDocument/2006/relationships/hyperlink" Target="https://www.uil.unesco.org/en/articles/recognition-validation-and-accreditation-netherlands" TargetMode="External"/><Relationship Id="rId88" Type="http://schemas.openxmlformats.org/officeDocument/2006/relationships/hyperlink" Target="https://national-policies.eacea.ec.europa.eu/youthwiki/chapters/netherlands/63-preventing-early-leaving-from-education-and-training-ele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cedefop.europa.eu/en/tools/timeline-vet-policies-europe/search/28045?utm_source=chatgpt.com" TargetMode="External"/><Relationship Id="rId28" Type="http://schemas.openxmlformats.org/officeDocument/2006/relationships/hyperlink" Target="https://hollandcircularhotspot.nl/wp-content/uploads/2020/06/Circularity-Gap-Report-Netherlands.pdf?utm_source=chatgpt.com" TargetMode="External"/><Relationship Id="rId36" Type="http://schemas.openxmlformats.org/officeDocument/2006/relationships/hyperlink" Target="https://www.playroll.com/blog/the-netherlands-average-salary" TargetMode="External"/><Relationship Id="rId49" Type="http://schemas.openxmlformats.org/officeDocument/2006/relationships/hyperlink" Target="https://ec.europa.eu/eurostat/statistics-explained/index.php?title=Job_vacancy_and_unemployment_rates_-_Beveridge_curve" TargetMode="External"/><Relationship Id="rId57" Type="http://schemas.openxmlformats.org/officeDocument/2006/relationships/hyperlink" Target="https://www.government.nl/topics/circular-economy/circular-dutch-economy-by-2050?utm_source=chatgpt.com" TargetMode="External"/><Relationship Id="rId10" Type="http://schemas.openxmlformats.org/officeDocument/2006/relationships/image" Target="media/image3.png"/><Relationship Id="rId31" Type="http://schemas.openxmlformats.org/officeDocument/2006/relationships/hyperlink" Target="https://digital-skills-jobs.europa.eu/en/latest/briefs/available-funding-bulgaria?utm_source=chatgpt.com" TargetMode="External"/><Relationship Id="rId44" Type="http://schemas.openxmlformats.org/officeDocument/2006/relationships/hyperlink" Target="https://www.europarl.europa.eu/RegData/etudes/BRIE/2024/767176/EPRS_BRI%282024%29767176_EN.pdf?utm_source=chatgpt.com" TargetMode="External"/><Relationship Id="rId52" Type="http://schemas.openxmlformats.org/officeDocument/2006/relationships/hyperlink" Target="https://www.government.nl/topics/minimum-wage/new-minimum-wage-from-2024" TargetMode="External"/><Relationship Id="rId60" Type="http://schemas.openxmlformats.org/officeDocument/2006/relationships/hyperlink" Target="https://www.government.nl/topics/climate-change/mitigating-climate-change" TargetMode="External"/><Relationship Id="rId65" Type="http://schemas.openxmlformats.org/officeDocument/2006/relationships/hyperlink" Target="https://www.elibrary.imf.org/downloadpdf/view/journals/087/2022/004/087.2022.issue-004-en.pdf" TargetMode="External"/><Relationship Id="rId73" Type="http://schemas.openxmlformats.org/officeDocument/2006/relationships/hyperlink" Target="https://noordzeeloket.nl/en/functions-use/offshore-wind-energy/energy-transition-north-sea/" TargetMode="External"/><Relationship Id="rId78" Type="http://schemas.openxmlformats.org/officeDocument/2006/relationships/hyperlink" Target="https://goingdigital.oecd.org/en/indicator/42" TargetMode="External"/><Relationship Id="rId81" Type="http://schemas.openxmlformats.org/officeDocument/2006/relationships/hyperlink" Target="https://www.cbs.nl/en-gb/news/2025/18/gender-pay-gap-is-narrowing/hourly-wages" TargetMode="External"/><Relationship Id="rId86" Type="http://schemas.openxmlformats.org/officeDocument/2006/relationships/hyperlink" Target="https://www.uwv.nl/en/about-uwv/division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yg.mlsp.government.bg/" TargetMode="External"/><Relationship Id="rId39" Type="http://schemas.openxmlformats.org/officeDocument/2006/relationships/hyperlink" Target="https://op.europa.eu/webpub/eac/education-and-training-monitor/en/country-reports/netherlands.html" TargetMode="External"/><Relationship Id="rId34" Type="http://schemas.openxmlformats.org/officeDocument/2006/relationships/hyperlink" Target="https://efficientbuildings.eu/wp-content/uploads/2025/10/Efficient-Buildings-Europe-Implementation-Guide-2025_online_V3.pdf" TargetMode="External"/><Relationship Id="rId50" Type="http://schemas.openxmlformats.org/officeDocument/2006/relationships/hyperlink" Target="https://ec.europa.eu/eurostat/databrowser/view/JVS_A_NACE2/default/table?lang=en" TargetMode="External"/><Relationship Id="rId55" Type="http://schemas.openxmlformats.org/officeDocument/2006/relationships/hyperlink" Target="https://www.government.nl/topics/minimum-wage/minimum-wage-amounts" TargetMode="External"/><Relationship Id="rId76" Type="http://schemas.openxmlformats.org/officeDocument/2006/relationships/hyperlink" Target="https://www.oecd.org/en/publications/education-and-skills-in-bulgaria_ac0229da-en/full-report/skills-making-bulgaria-s-skills-system-more-effective-and-future-ready_efa695cd.html" TargetMode="External"/><Relationship Id="rId7" Type="http://schemas.openxmlformats.org/officeDocument/2006/relationships/endnotes" Target="endnotes.xml"/><Relationship Id="rId71" Type="http://schemas.openxmlformats.org/officeDocument/2006/relationships/hyperlink" Target="https://english.rvo.nl/topics/offshore-wind-energy/new-offshore-wind-farms"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cedefop.europa.eu/en/country-reports/vocational-education-and-training-policy-briefs-2023-croatia" TargetMode="External"/><Relationship Id="rId24" Type="http://schemas.openxmlformats.org/officeDocument/2006/relationships/hyperlink" Target="https://www.cedefop.europa.eu/en/tools/vet-in-europe/systems/netherlands-u3" TargetMode="External"/><Relationship Id="rId40" Type="http://schemas.openxmlformats.org/officeDocument/2006/relationships/hyperlink" Target="https://commission.europa.eu/business-economy-euro/economic-recovery/recovery-and-resilience-facility/country-pages/croatias-recovery-and-resilience-plan_en?utm_source=chatgpt.com" TargetMode="External"/><Relationship Id="rId45" Type="http://schemas.openxmlformats.org/officeDocument/2006/relationships/hyperlink" Target="https://www.europarl.europa.eu/thinktank/en/document/EPRS_BRI%282022%29733662" TargetMode="External"/><Relationship Id="rId66" Type="http://schemas.openxmlformats.org/officeDocument/2006/relationships/hyperlink" Target="https://www.iea.org/reports/energy-efficiency-policy-toolkit-2025/heat-pumps-for-buildings" TargetMode="External"/><Relationship Id="rId87" Type="http://schemas.openxmlformats.org/officeDocument/2006/relationships/hyperlink" Target="https://www.uwv.nl/en/about-uwv/partnerships" TargetMode="External"/><Relationship Id="rId61" Type="http://schemas.openxmlformats.org/officeDocument/2006/relationships/hyperlink" Target="https://www.government.nl/topics/climate-change/mitigating-climate-change?utm_source=chatgpt.com" TargetMode="External"/><Relationship Id="rId82" Type="http://schemas.openxmlformats.org/officeDocument/2006/relationships/hyperlink" Target="https://www.cbs.nl/en-gb/news/2023/02/inflation-rate-10-0-percent-in-2022" TargetMode="External"/><Relationship Id="rId19" Type="http://schemas.openxmlformats.org/officeDocument/2006/relationships/hyperlink" Target="https://lex.bg/laws/ldoc/-12262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0696-AAE8-4632-955B-C3AC75FD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31578</Words>
  <Characters>179997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2025-10-17T13:21:00Z</dcterms:created>
  <dcterms:modified xsi:type="dcterms:W3CDTF">2025-11-04T05:59:00Z</dcterms:modified>
</cp:coreProperties>
</file>