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8A709" w14:textId="395C2941" w:rsidR="005E48F5" w:rsidRPr="006040D3" w:rsidRDefault="005E48F5" w:rsidP="00421B2A">
      <w:pPr>
        <w:spacing w:line="360" w:lineRule="auto"/>
        <w:jc w:val="center"/>
      </w:pPr>
      <w:r w:rsidRPr="006040D3">
        <w:drawing>
          <wp:inline distT="0" distB="0" distL="0" distR="0" wp14:anchorId="18897DCA" wp14:editId="2ED4EB85">
            <wp:extent cx="3238500" cy="1409700"/>
            <wp:effectExtent l="0" t="0" r="0" b="0"/>
            <wp:docPr id="570751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1409700"/>
                    </a:xfrm>
                    <a:prstGeom prst="rect">
                      <a:avLst/>
                    </a:prstGeom>
                    <a:noFill/>
                  </pic:spPr>
                </pic:pic>
              </a:graphicData>
            </a:graphic>
          </wp:inline>
        </w:drawing>
      </w:r>
    </w:p>
    <w:p w14:paraId="52AD0103" w14:textId="460B9741" w:rsidR="005E48F5" w:rsidRPr="006040D3" w:rsidRDefault="005E48F5" w:rsidP="00421B2A">
      <w:pPr>
        <w:spacing w:line="360" w:lineRule="auto"/>
        <w:jc w:val="center"/>
        <w:rPr>
          <w:b/>
          <w:bCs/>
          <w:sz w:val="32"/>
          <w:szCs w:val="32"/>
        </w:rPr>
      </w:pPr>
      <w:r w:rsidRPr="006040D3">
        <w:rPr>
          <w:b/>
          <w:bCs/>
          <w:sz w:val="32"/>
          <w:szCs w:val="32"/>
        </w:rPr>
        <w:t>УНИВЕРСИТЕТ ЗА НАЦИОНАЛНО И СВЕТОВНО СТОПАНСТВО</w:t>
      </w:r>
    </w:p>
    <w:p w14:paraId="019F9158" w14:textId="77777777" w:rsidR="005E48F5" w:rsidRPr="006040D3" w:rsidRDefault="005E48F5" w:rsidP="00421B2A">
      <w:pPr>
        <w:spacing w:line="360" w:lineRule="auto"/>
        <w:jc w:val="center"/>
        <w:rPr>
          <w:b/>
          <w:bCs/>
          <w:sz w:val="32"/>
          <w:szCs w:val="32"/>
        </w:rPr>
      </w:pPr>
    </w:p>
    <w:p w14:paraId="0FC0C941" w14:textId="2E50D8A6" w:rsidR="005E48F5" w:rsidRPr="006040D3" w:rsidRDefault="005E48F5" w:rsidP="00421B2A">
      <w:pPr>
        <w:spacing w:line="360" w:lineRule="auto"/>
        <w:jc w:val="center"/>
        <w:rPr>
          <w:b/>
          <w:bCs/>
          <w:sz w:val="32"/>
          <w:szCs w:val="32"/>
        </w:rPr>
      </w:pPr>
      <w:r w:rsidRPr="006040D3">
        <w:rPr>
          <w:b/>
          <w:bCs/>
          <w:sz w:val="32"/>
          <w:szCs w:val="32"/>
        </w:rPr>
        <w:t xml:space="preserve">КАТЕДРА </w:t>
      </w:r>
    </w:p>
    <w:p w14:paraId="5AF68398" w14:textId="77777777" w:rsidR="005E48F5" w:rsidRPr="006040D3" w:rsidRDefault="005E48F5" w:rsidP="00421B2A">
      <w:pPr>
        <w:spacing w:line="360" w:lineRule="auto"/>
        <w:jc w:val="center"/>
        <w:rPr>
          <w:b/>
          <w:bCs/>
          <w:sz w:val="32"/>
          <w:szCs w:val="32"/>
        </w:rPr>
      </w:pPr>
    </w:p>
    <w:p w14:paraId="7C4C2A64" w14:textId="77777777" w:rsidR="005E48F5" w:rsidRPr="006040D3" w:rsidRDefault="005E48F5" w:rsidP="00421B2A">
      <w:pPr>
        <w:spacing w:line="360" w:lineRule="auto"/>
        <w:jc w:val="center"/>
        <w:rPr>
          <w:b/>
          <w:bCs/>
          <w:sz w:val="32"/>
          <w:szCs w:val="32"/>
        </w:rPr>
      </w:pPr>
    </w:p>
    <w:p w14:paraId="697AB9FD" w14:textId="304EF49E" w:rsidR="005E48F5" w:rsidRPr="006040D3" w:rsidRDefault="005E48F5" w:rsidP="00421B2A">
      <w:pPr>
        <w:spacing w:line="360" w:lineRule="auto"/>
        <w:jc w:val="center"/>
        <w:rPr>
          <w:b/>
          <w:bCs/>
          <w:sz w:val="32"/>
          <w:szCs w:val="32"/>
        </w:rPr>
      </w:pPr>
      <w:r w:rsidRPr="006040D3">
        <w:rPr>
          <w:b/>
          <w:bCs/>
          <w:sz w:val="32"/>
          <w:szCs w:val="32"/>
        </w:rPr>
        <w:t xml:space="preserve">МАГИСТЪРСКА ТЕЗА </w:t>
      </w:r>
    </w:p>
    <w:p w14:paraId="462F715D" w14:textId="6E5EDF9C" w:rsidR="00421B2A" w:rsidRPr="006040D3" w:rsidRDefault="005E48F5" w:rsidP="00513D02">
      <w:pPr>
        <w:jc w:val="center"/>
        <w:rPr>
          <w:b/>
          <w:bCs/>
          <w:sz w:val="32"/>
          <w:szCs w:val="32"/>
        </w:rPr>
      </w:pPr>
      <w:r w:rsidRPr="006040D3">
        <w:rPr>
          <w:b/>
          <w:bCs/>
          <w:sz w:val="32"/>
          <w:szCs w:val="32"/>
        </w:rPr>
        <w:t>на тема „</w:t>
      </w:r>
      <w:r w:rsidR="00513D02" w:rsidRPr="006040D3">
        <w:rPr>
          <w:b/>
          <w:bCs/>
          <w:sz w:val="32"/>
          <w:szCs w:val="32"/>
        </w:rPr>
        <w:t>Влиянието на макроикономическите индикатори върху пазара на криптоактиви</w:t>
      </w:r>
      <w:r w:rsidRPr="006040D3">
        <w:rPr>
          <w:b/>
          <w:bCs/>
          <w:sz w:val="32"/>
          <w:szCs w:val="32"/>
        </w:rPr>
        <w:t>“</w:t>
      </w:r>
    </w:p>
    <w:p w14:paraId="59F15E2C" w14:textId="77777777" w:rsidR="005E48F5" w:rsidRPr="006040D3" w:rsidRDefault="005E48F5" w:rsidP="00421B2A">
      <w:pPr>
        <w:spacing w:line="360" w:lineRule="auto"/>
        <w:jc w:val="center"/>
        <w:rPr>
          <w:b/>
          <w:bCs/>
          <w:sz w:val="32"/>
          <w:szCs w:val="32"/>
        </w:rPr>
      </w:pPr>
    </w:p>
    <w:p w14:paraId="45828D91" w14:textId="77777777" w:rsidR="005E48F5" w:rsidRPr="006040D3" w:rsidRDefault="005E48F5" w:rsidP="00421B2A">
      <w:pPr>
        <w:spacing w:line="360" w:lineRule="auto"/>
        <w:jc w:val="center"/>
        <w:rPr>
          <w:b/>
          <w:bCs/>
          <w:sz w:val="32"/>
          <w:szCs w:val="32"/>
        </w:rPr>
      </w:pPr>
    </w:p>
    <w:p w14:paraId="20370267" w14:textId="77777777" w:rsidR="005E48F5" w:rsidRPr="006040D3" w:rsidRDefault="005E48F5" w:rsidP="00421B2A">
      <w:pPr>
        <w:spacing w:line="360" w:lineRule="auto"/>
        <w:jc w:val="center"/>
        <w:rPr>
          <w:b/>
          <w:bCs/>
          <w:sz w:val="32"/>
          <w:szCs w:val="32"/>
        </w:rPr>
      </w:pPr>
    </w:p>
    <w:p w14:paraId="08628D0A" w14:textId="48B55EEE" w:rsidR="005E48F5" w:rsidRPr="006040D3" w:rsidRDefault="005E48F5" w:rsidP="005E48F5">
      <w:pPr>
        <w:spacing w:line="360" w:lineRule="auto"/>
      </w:pPr>
      <w:r w:rsidRPr="006040D3">
        <w:t xml:space="preserve">Дипломант: </w:t>
      </w:r>
    </w:p>
    <w:p w14:paraId="43C82372" w14:textId="71ACCA0F" w:rsidR="005E48F5" w:rsidRPr="006040D3" w:rsidRDefault="005E48F5" w:rsidP="005E48F5">
      <w:pPr>
        <w:spacing w:line="360" w:lineRule="auto"/>
      </w:pPr>
      <w:r w:rsidRPr="006040D3">
        <w:t xml:space="preserve">Фак.н. </w:t>
      </w:r>
    </w:p>
    <w:p w14:paraId="4A94612A" w14:textId="0CD0A6FA" w:rsidR="005E48F5" w:rsidRPr="006040D3" w:rsidRDefault="005E48F5" w:rsidP="005E48F5">
      <w:pPr>
        <w:spacing w:line="360" w:lineRule="auto"/>
        <w:jc w:val="right"/>
      </w:pPr>
      <w:r w:rsidRPr="006040D3">
        <w:t xml:space="preserve">Научен ръководител: </w:t>
      </w:r>
    </w:p>
    <w:p w14:paraId="7CB2C6A0" w14:textId="77777777" w:rsidR="005E48F5" w:rsidRPr="006040D3" w:rsidRDefault="005E48F5" w:rsidP="005E48F5">
      <w:pPr>
        <w:spacing w:line="360" w:lineRule="auto"/>
        <w:jc w:val="right"/>
      </w:pPr>
    </w:p>
    <w:p w14:paraId="06B0D3C8" w14:textId="77777777" w:rsidR="005E48F5" w:rsidRPr="006040D3" w:rsidRDefault="005E48F5" w:rsidP="005E48F5">
      <w:pPr>
        <w:spacing w:line="360" w:lineRule="auto"/>
        <w:jc w:val="center"/>
      </w:pPr>
    </w:p>
    <w:p w14:paraId="091E8C5F" w14:textId="77777777" w:rsidR="005E48F5" w:rsidRPr="006040D3" w:rsidRDefault="005E48F5" w:rsidP="005E48F5">
      <w:pPr>
        <w:spacing w:line="360" w:lineRule="auto"/>
        <w:jc w:val="center"/>
      </w:pPr>
    </w:p>
    <w:p w14:paraId="4761C89E" w14:textId="6121E1F9" w:rsidR="005E48F5" w:rsidRPr="006040D3" w:rsidRDefault="005E48F5" w:rsidP="005E48F5">
      <w:pPr>
        <w:spacing w:line="360" w:lineRule="auto"/>
        <w:jc w:val="center"/>
      </w:pPr>
      <w:r w:rsidRPr="006040D3">
        <w:t>София, 202</w:t>
      </w:r>
      <w:r w:rsidR="00513D02" w:rsidRPr="006040D3">
        <w:t>6</w:t>
      </w:r>
    </w:p>
    <w:p w14:paraId="5BA2497B" w14:textId="77777777" w:rsidR="00421B2A" w:rsidRPr="006040D3" w:rsidRDefault="00421B2A">
      <w:pPr>
        <w:widowControl/>
        <w:suppressAutoHyphens w:val="0"/>
        <w:rPr>
          <w:b/>
          <w:bCs/>
        </w:rPr>
      </w:pPr>
      <w:r w:rsidRPr="006040D3">
        <w:rPr>
          <w:b/>
          <w:bCs/>
        </w:rPr>
        <w:br w:type="page"/>
      </w:r>
    </w:p>
    <w:p w14:paraId="08980502" w14:textId="77777777" w:rsidR="00421B2A" w:rsidRPr="006040D3" w:rsidRDefault="00421B2A" w:rsidP="00421B2A">
      <w:pPr>
        <w:spacing w:line="360" w:lineRule="auto"/>
        <w:jc w:val="center"/>
        <w:rPr>
          <w:b/>
          <w:bCs/>
        </w:rPr>
      </w:pPr>
      <w:r w:rsidRPr="006040D3">
        <w:rPr>
          <w:b/>
          <w:bCs/>
        </w:rPr>
        <w:lastRenderedPageBreak/>
        <w:t>Съдържание</w:t>
      </w:r>
    </w:p>
    <w:p w14:paraId="1EAC25EF" w14:textId="7912F93D" w:rsidR="00421B2A" w:rsidRPr="006040D3" w:rsidRDefault="00421B2A" w:rsidP="00421B2A">
      <w:pPr>
        <w:spacing w:line="360" w:lineRule="auto"/>
        <w:ind w:firstLine="709"/>
        <w:jc w:val="both"/>
        <w:rPr>
          <w:b/>
          <w:bCs/>
        </w:rPr>
      </w:pPr>
      <w:r w:rsidRPr="006040D3">
        <w:rPr>
          <w:b/>
          <w:bCs/>
        </w:rPr>
        <w:t>Увод</w:t>
      </w:r>
      <w:r w:rsidR="005E48F5" w:rsidRPr="006040D3">
        <w:rPr>
          <w:b/>
          <w:bCs/>
        </w:rPr>
        <w:t>...................................................................................................................................2</w:t>
      </w:r>
    </w:p>
    <w:p w14:paraId="0F341936" w14:textId="295FA9D9" w:rsidR="00421B2A" w:rsidRPr="006040D3" w:rsidRDefault="00421B2A" w:rsidP="00421B2A">
      <w:pPr>
        <w:spacing w:line="360" w:lineRule="auto"/>
        <w:ind w:firstLine="709"/>
        <w:jc w:val="both"/>
        <w:rPr>
          <w:b/>
          <w:bCs/>
        </w:rPr>
      </w:pPr>
      <w:r w:rsidRPr="006040D3">
        <w:rPr>
          <w:b/>
          <w:bCs/>
        </w:rPr>
        <w:t xml:space="preserve">Първа глава. Теоретични аспекти на </w:t>
      </w:r>
      <w:r w:rsidR="0001508E" w:rsidRPr="006040D3">
        <w:rPr>
          <w:b/>
          <w:bCs/>
        </w:rPr>
        <w:t>криптоактивите като икономически феномен................................................................................</w:t>
      </w:r>
      <w:r w:rsidR="005E48F5" w:rsidRPr="006040D3">
        <w:rPr>
          <w:b/>
          <w:bCs/>
        </w:rPr>
        <w:t>.......................................................</w:t>
      </w:r>
    </w:p>
    <w:p w14:paraId="763448AD" w14:textId="049FF9D2" w:rsidR="00421B2A" w:rsidRPr="006040D3" w:rsidRDefault="00421B2A" w:rsidP="00421B2A">
      <w:pPr>
        <w:spacing w:line="360" w:lineRule="auto"/>
        <w:ind w:firstLine="709"/>
        <w:jc w:val="both"/>
        <w:rPr>
          <w:b/>
          <w:bCs/>
        </w:rPr>
      </w:pPr>
      <w:r w:rsidRPr="006040D3">
        <w:rPr>
          <w:b/>
          <w:bCs/>
        </w:rPr>
        <w:t>1.1. Същност и основни характеристики на крипто</w:t>
      </w:r>
      <w:r w:rsidR="00F9181B" w:rsidRPr="006040D3">
        <w:rPr>
          <w:b/>
          <w:bCs/>
        </w:rPr>
        <w:t>активите...................</w:t>
      </w:r>
      <w:r w:rsidR="005E48F5" w:rsidRPr="006040D3">
        <w:rPr>
          <w:b/>
          <w:bCs/>
        </w:rPr>
        <w:t>......................................................................................................</w:t>
      </w:r>
    </w:p>
    <w:p w14:paraId="324ACD06" w14:textId="53DC065C" w:rsidR="00CB165E" w:rsidRPr="006040D3" w:rsidRDefault="00421B2A" w:rsidP="00421B2A">
      <w:pPr>
        <w:spacing w:line="360" w:lineRule="auto"/>
        <w:ind w:firstLine="709"/>
        <w:jc w:val="both"/>
        <w:rPr>
          <w:b/>
          <w:bCs/>
        </w:rPr>
      </w:pPr>
      <w:r w:rsidRPr="006040D3">
        <w:rPr>
          <w:b/>
          <w:bCs/>
        </w:rPr>
        <w:t xml:space="preserve">1.2. </w:t>
      </w:r>
      <w:r w:rsidR="00CB165E" w:rsidRPr="006040D3">
        <w:rPr>
          <w:b/>
          <w:bCs/>
        </w:rPr>
        <w:t>Видове криптоактиви</w:t>
      </w:r>
    </w:p>
    <w:p w14:paraId="2407922B" w14:textId="0E21A12D" w:rsidR="00421B2A" w:rsidRPr="006040D3" w:rsidRDefault="00CB165E" w:rsidP="00421B2A">
      <w:pPr>
        <w:spacing w:line="360" w:lineRule="auto"/>
        <w:ind w:firstLine="709"/>
        <w:jc w:val="both"/>
        <w:rPr>
          <w:b/>
          <w:bCs/>
        </w:rPr>
      </w:pPr>
      <w:r w:rsidRPr="006040D3">
        <w:rPr>
          <w:b/>
          <w:bCs/>
        </w:rPr>
        <w:t xml:space="preserve">1.3. </w:t>
      </w:r>
      <w:r w:rsidR="00F9181B" w:rsidRPr="006040D3">
        <w:rPr>
          <w:b/>
          <w:bCs/>
        </w:rPr>
        <w:t>Роля и функции на криптоактивите в съвременната финансова система</w:t>
      </w:r>
    </w:p>
    <w:p w14:paraId="4CC28ED9" w14:textId="575DBAB5" w:rsidR="009E084F" w:rsidRPr="006040D3" w:rsidRDefault="009E084F" w:rsidP="00421B2A">
      <w:pPr>
        <w:spacing w:line="360" w:lineRule="auto"/>
        <w:ind w:firstLine="709"/>
        <w:jc w:val="both"/>
        <w:rPr>
          <w:b/>
          <w:bCs/>
        </w:rPr>
      </w:pPr>
      <w:r w:rsidRPr="006040D3">
        <w:rPr>
          <w:b/>
          <w:bCs/>
        </w:rPr>
        <w:t>1.4. Регулиране на криптоактивите</w:t>
      </w:r>
    </w:p>
    <w:p w14:paraId="64CF1556" w14:textId="722121C6" w:rsidR="00421B2A" w:rsidRPr="006040D3" w:rsidRDefault="00F9181B" w:rsidP="00421B2A">
      <w:pPr>
        <w:spacing w:line="360" w:lineRule="auto"/>
        <w:ind w:firstLine="709"/>
        <w:jc w:val="both"/>
        <w:rPr>
          <w:b/>
          <w:bCs/>
        </w:rPr>
      </w:pPr>
      <w:r w:rsidRPr="006040D3">
        <w:rPr>
          <w:b/>
          <w:bCs/>
        </w:rPr>
        <w:t xml:space="preserve">Втора глава. </w:t>
      </w:r>
      <w:r w:rsidRPr="006040D3">
        <w:rPr>
          <w:b/>
          <w:bCs/>
        </w:rPr>
        <w:t>Макроикономически детерминанти на финансовите пазари и тяхното влияние върху криптоактивите</w:t>
      </w:r>
    </w:p>
    <w:p w14:paraId="707AD62D" w14:textId="77777777" w:rsidR="00F9181B" w:rsidRPr="00F9181B" w:rsidRDefault="00F9181B" w:rsidP="00F9181B">
      <w:pPr>
        <w:spacing w:line="360" w:lineRule="auto"/>
        <w:ind w:firstLine="709"/>
        <w:jc w:val="both"/>
        <w:rPr>
          <w:b/>
          <w:bCs/>
        </w:rPr>
      </w:pPr>
      <w:r w:rsidRPr="00F9181B">
        <w:rPr>
          <w:b/>
          <w:bCs/>
        </w:rPr>
        <w:t>2.1. Същност и механизми на въздействие на макроикономическите индикатори върху финансовите пазари</w:t>
      </w:r>
    </w:p>
    <w:p w14:paraId="33776121" w14:textId="77777777" w:rsidR="00F9181B" w:rsidRPr="00F9181B" w:rsidRDefault="00F9181B" w:rsidP="00F9181B">
      <w:pPr>
        <w:spacing w:line="360" w:lineRule="auto"/>
        <w:ind w:firstLine="709"/>
        <w:jc w:val="both"/>
        <w:rPr>
          <w:b/>
          <w:bCs/>
        </w:rPr>
      </w:pPr>
      <w:r w:rsidRPr="00F9181B">
        <w:rPr>
          <w:b/>
          <w:bCs/>
        </w:rPr>
        <w:t>2.2. Влияние на инфлацията, лихвените проценти и валутния курс върху криптоактивите</w:t>
      </w:r>
    </w:p>
    <w:p w14:paraId="2A9471E9" w14:textId="29C12A5D" w:rsidR="00421B2A" w:rsidRPr="006040D3" w:rsidRDefault="006E20FE" w:rsidP="00421B2A">
      <w:pPr>
        <w:spacing w:line="360" w:lineRule="auto"/>
        <w:ind w:firstLine="709"/>
        <w:jc w:val="both"/>
        <w:rPr>
          <w:b/>
          <w:bCs/>
        </w:rPr>
      </w:pPr>
      <w:r w:rsidRPr="006040D3">
        <w:rPr>
          <w:b/>
          <w:bCs/>
        </w:rPr>
        <w:t>Трета</w:t>
      </w:r>
      <w:r w:rsidR="00421B2A" w:rsidRPr="006040D3">
        <w:rPr>
          <w:b/>
          <w:bCs/>
        </w:rPr>
        <w:t xml:space="preserve"> глава. Представяне и анализ на резултатите от емпиричното изследване</w:t>
      </w:r>
      <w:r w:rsidR="005E48F5" w:rsidRPr="006040D3">
        <w:rPr>
          <w:b/>
          <w:bCs/>
        </w:rPr>
        <w:t>.................................................................................................................................</w:t>
      </w:r>
    </w:p>
    <w:p w14:paraId="5716D100" w14:textId="27E6305C" w:rsidR="005E48F5" w:rsidRPr="006040D3" w:rsidRDefault="006E20FE" w:rsidP="00421B2A">
      <w:pPr>
        <w:spacing w:line="360" w:lineRule="auto"/>
        <w:ind w:firstLine="709"/>
        <w:jc w:val="both"/>
        <w:rPr>
          <w:b/>
          <w:bCs/>
        </w:rPr>
      </w:pPr>
      <w:r w:rsidRPr="006040D3">
        <w:rPr>
          <w:b/>
          <w:bCs/>
        </w:rPr>
        <w:t>3</w:t>
      </w:r>
      <w:r w:rsidR="00421B2A" w:rsidRPr="006040D3">
        <w:rPr>
          <w:b/>
          <w:bCs/>
        </w:rPr>
        <w:t xml:space="preserve">.1. </w:t>
      </w:r>
      <w:r w:rsidR="005E48F5" w:rsidRPr="006040D3">
        <w:rPr>
          <w:b/>
          <w:bCs/>
        </w:rPr>
        <w:t>Организация и методология  на изследването................................................</w:t>
      </w:r>
    </w:p>
    <w:p w14:paraId="170EE56F" w14:textId="7AE2DCE0" w:rsidR="00421B2A" w:rsidRPr="006040D3" w:rsidRDefault="006E20FE" w:rsidP="00421B2A">
      <w:pPr>
        <w:spacing w:line="360" w:lineRule="auto"/>
        <w:ind w:firstLine="709"/>
        <w:jc w:val="both"/>
        <w:rPr>
          <w:b/>
          <w:bCs/>
        </w:rPr>
      </w:pPr>
      <w:r w:rsidRPr="006040D3">
        <w:rPr>
          <w:b/>
          <w:bCs/>
        </w:rPr>
        <w:t>3</w:t>
      </w:r>
      <w:r w:rsidR="005E48F5" w:rsidRPr="006040D3">
        <w:rPr>
          <w:b/>
          <w:bCs/>
        </w:rPr>
        <w:t xml:space="preserve">.2. </w:t>
      </w:r>
      <w:r w:rsidR="00421B2A" w:rsidRPr="006040D3">
        <w:rPr>
          <w:b/>
          <w:bCs/>
        </w:rPr>
        <w:t xml:space="preserve">Представяне </w:t>
      </w:r>
      <w:r w:rsidR="005E48F5" w:rsidRPr="006040D3">
        <w:rPr>
          <w:b/>
          <w:bCs/>
        </w:rPr>
        <w:t xml:space="preserve">и анализ </w:t>
      </w:r>
      <w:r w:rsidR="00421B2A" w:rsidRPr="006040D3">
        <w:rPr>
          <w:b/>
          <w:bCs/>
        </w:rPr>
        <w:t>на резултатите</w:t>
      </w:r>
      <w:r w:rsidR="005E48F5" w:rsidRPr="006040D3">
        <w:rPr>
          <w:b/>
          <w:bCs/>
        </w:rPr>
        <w:t>...............................................................</w:t>
      </w:r>
    </w:p>
    <w:p w14:paraId="31EC1E78" w14:textId="7E164B6D" w:rsidR="00421B2A" w:rsidRPr="006040D3" w:rsidRDefault="006E20FE" w:rsidP="00421B2A">
      <w:pPr>
        <w:spacing w:line="360" w:lineRule="auto"/>
        <w:ind w:firstLine="709"/>
        <w:jc w:val="both"/>
        <w:rPr>
          <w:b/>
          <w:bCs/>
        </w:rPr>
      </w:pPr>
      <w:r w:rsidRPr="006040D3">
        <w:rPr>
          <w:b/>
          <w:bCs/>
        </w:rPr>
        <w:t>3</w:t>
      </w:r>
      <w:r w:rsidR="005E48F5" w:rsidRPr="006040D3">
        <w:rPr>
          <w:b/>
          <w:bCs/>
        </w:rPr>
        <w:t xml:space="preserve">.3. </w:t>
      </w:r>
      <w:r w:rsidR="00421B2A" w:rsidRPr="006040D3">
        <w:rPr>
          <w:b/>
          <w:bCs/>
        </w:rPr>
        <w:t>Изводи и обобщения</w:t>
      </w:r>
      <w:r w:rsidR="005E48F5" w:rsidRPr="006040D3">
        <w:rPr>
          <w:b/>
          <w:bCs/>
        </w:rPr>
        <w:t>..............................................................................................</w:t>
      </w:r>
    </w:p>
    <w:p w14:paraId="23896FE2" w14:textId="3A540295" w:rsidR="00421B2A" w:rsidRPr="006040D3" w:rsidRDefault="00421B2A" w:rsidP="00421B2A">
      <w:pPr>
        <w:spacing w:line="360" w:lineRule="auto"/>
        <w:ind w:firstLine="709"/>
        <w:jc w:val="both"/>
        <w:rPr>
          <w:b/>
          <w:bCs/>
        </w:rPr>
      </w:pPr>
      <w:r w:rsidRPr="006040D3">
        <w:rPr>
          <w:b/>
          <w:bCs/>
        </w:rPr>
        <w:t>Заключение</w:t>
      </w:r>
      <w:r w:rsidR="005E48F5" w:rsidRPr="006040D3">
        <w:rPr>
          <w:b/>
          <w:bCs/>
        </w:rPr>
        <w:t>...................................................................................................................</w:t>
      </w:r>
    </w:p>
    <w:p w14:paraId="682B4153" w14:textId="7C39E7BE" w:rsidR="00421B2A" w:rsidRPr="006040D3" w:rsidRDefault="006E20FE" w:rsidP="00421B2A">
      <w:pPr>
        <w:spacing w:line="360" w:lineRule="auto"/>
        <w:ind w:firstLine="709"/>
        <w:jc w:val="both"/>
        <w:rPr>
          <w:b/>
          <w:bCs/>
        </w:rPr>
      </w:pPr>
      <w:r w:rsidRPr="006040D3">
        <w:rPr>
          <w:b/>
          <w:bCs/>
        </w:rPr>
        <w:t>Използвана литератуа.........</w:t>
      </w:r>
      <w:r w:rsidR="005E48F5" w:rsidRPr="006040D3">
        <w:rPr>
          <w:b/>
          <w:bCs/>
        </w:rPr>
        <w:t>.....................................</w:t>
      </w:r>
      <w:r w:rsidR="005540FE" w:rsidRPr="006040D3">
        <w:rPr>
          <w:b/>
          <w:bCs/>
        </w:rPr>
        <w:t>...................................................</w:t>
      </w:r>
    </w:p>
    <w:p w14:paraId="7B6E29E5" w14:textId="3EE10BB0" w:rsidR="00421B2A" w:rsidRPr="006040D3" w:rsidRDefault="00892653" w:rsidP="006E20FE">
      <w:pPr>
        <w:spacing w:line="360" w:lineRule="auto"/>
        <w:jc w:val="both"/>
      </w:pPr>
      <w:r w:rsidRPr="006040D3">
        <w:br w:type="page"/>
      </w:r>
    </w:p>
    <w:p w14:paraId="4AF8ABF9" w14:textId="77777777" w:rsidR="00F9181B" w:rsidRDefault="00F9181B" w:rsidP="006E20FE">
      <w:pPr>
        <w:spacing w:line="360" w:lineRule="auto"/>
        <w:ind w:firstLine="709"/>
        <w:jc w:val="both"/>
      </w:pPr>
      <w:r w:rsidRPr="006040D3">
        <w:rPr>
          <w:b/>
          <w:bCs/>
        </w:rPr>
        <w:lastRenderedPageBreak/>
        <w:t>Списък на таблиците и графките</w:t>
      </w:r>
    </w:p>
    <w:p w14:paraId="0DD9D818" w14:textId="77777777" w:rsidR="00FF339D" w:rsidRPr="00FF339D" w:rsidRDefault="00FF339D" w:rsidP="00FF339D">
      <w:pPr>
        <w:spacing w:line="360" w:lineRule="auto"/>
        <w:ind w:firstLine="709"/>
        <w:jc w:val="both"/>
      </w:pPr>
      <w:r w:rsidRPr="00FF339D">
        <w:t>Таблица 1. Видове криптоактиви</w:t>
      </w:r>
    </w:p>
    <w:p w14:paraId="7943CF48" w14:textId="77777777" w:rsidR="00FF339D" w:rsidRPr="00FF339D" w:rsidRDefault="00FF339D" w:rsidP="00FF339D">
      <w:pPr>
        <w:spacing w:line="360" w:lineRule="auto"/>
        <w:ind w:firstLine="709"/>
        <w:jc w:val="both"/>
      </w:pPr>
      <w:r w:rsidRPr="00FF339D">
        <w:t>Таблица 2. Основни макроикономически индикатори и тяхното влияние върху финансовите пазари</w:t>
      </w:r>
    </w:p>
    <w:p w14:paraId="3973F0B2" w14:textId="77777777" w:rsidR="00FF339D" w:rsidRPr="00FF339D" w:rsidRDefault="00FF339D" w:rsidP="00FF339D">
      <w:pPr>
        <w:spacing w:line="360" w:lineRule="auto"/>
        <w:ind w:firstLine="709"/>
        <w:jc w:val="both"/>
      </w:pPr>
      <w:r w:rsidRPr="00FF339D">
        <w:t>Таблица 3. Резултати от линейния регресионен анализ (инфлация/доходност на биткойн)</w:t>
      </w:r>
    </w:p>
    <w:p w14:paraId="2FE5BA1A" w14:textId="77777777" w:rsidR="00FF339D" w:rsidRPr="00FF339D" w:rsidRDefault="00FF339D" w:rsidP="00FF339D">
      <w:pPr>
        <w:spacing w:line="360" w:lineRule="auto"/>
        <w:ind w:firstLine="709"/>
        <w:jc w:val="both"/>
      </w:pPr>
      <w:r w:rsidRPr="00FF339D">
        <w:t>Таблица 4. Резултати от линейния регресионен анализ (лихвен процент/доходност на биткойн)</w:t>
      </w:r>
    </w:p>
    <w:p w14:paraId="1B213E54" w14:textId="77777777" w:rsidR="00FF339D" w:rsidRPr="00FF339D" w:rsidRDefault="00FF339D" w:rsidP="00FF339D">
      <w:pPr>
        <w:spacing w:line="360" w:lineRule="auto"/>
        <w:ind w:firstLine="709"/>
        <w:jc w:val="both"/>
      </w:pPr>
      <w:r w:rsidRPr="00FF339D">
        <w:t>Таблица 5. Резултати от линеен регресионен анализ (индекс на щатския долар/доходност на биткойн)</w:t>
      </w:r>
    </w:p>
    <w:p w14:paraId="6560EFE9" w14:textId="77777777" w:rsidR="00FF339D" w:rsidRPr="00FF339D" w:rsidRDefault="00FF339D" w:rsidP="00FF339D">
      <w:pPr>
        <w:spacing w:line="360" w:lineRule="auto"/>
        <w:ind w:firstLine="709"/>
        <w:jc w:val="both"/>
      </w:pPr>
      <w:r w:rsidRPr="00FF339D">
        <w:t>Таблица 6.  Резултати от многомерен линеен регресионен модел (зависима променлива: доходност на биткойн)</w:t>
      </w:r>
    </w:p>
    <w:p w14:paraId="52E09DDA" w14:textId="77777777" w:rsidR="00FF339D" w:rsidRPr="00FF339D" w:rsidRDefault="00FF339D" w:rsidP="00FF339D">
      <w:pPr>
        <w:spacing w:line="360" w:lineRule="auto"/>
        <w:ind w:firstLine="709"/>
        <w:jc w:val="both"/>
      </w:pPr>
    </w:p>
    <w:p w14:paraId="0E1496BB" w14:textId="77777777" w:rsidR="00FF339D" w:rsidRPr="00FF339D" w:rsidRDefault="00FF339D" w:rsidP="00FF339D">
      <w:pPr>
        <w:spacing w:line="360" w:lineRule="auto"/>
        <w:ind w:firstLine="709"/>
        <w:jc w:val="both"/>
      </w:pPr>
      <w:r w:rsidRPr="00FF339D">
        <w:t>Фигура 1. Инфлация и доходност на биткойн за периода 2020-2024 г.</w:t>
      </w:r>
    </w:p>
    <w:p w14:paraId="46E731F1" w14:textId="77777777" w:rsidR="00FF339D" w:rsidRPr="00FF339D" w:rsidRDefault="00FF339D" w:rsidP="00FF339D">
      <w:pPr>
        <w:spacing w:line="360" w:lineRule="auto"/>
        <w:ind w:firstLine="709"/>
        <w:jc w:val="both"/>
      </w:pPr>
      <w:r w:rsidRPr="00FF339D">
        <w:t>Фигура 2. Корелация между доходността на биткойн за периода 2020-2024 г.</w:t>
      </w:r>
    </w:p>
    <w:p w14:paraId="2E73B242" w14:textId="77777777" w:rsidR="00FF339D" w:rsidRPr="00FF339D" w:rsidRDefault="00FF339D" w:rsidP="00FF339D">
      <w:pPr>
        <w:spacing w:line="360" w:lineRule="auto"/>
        <w:ind w:firstLine="709"/>
        <w:jc w:val="both"/>
      </w:pPr>
      <w:r w:rsidRPr="00FF339D">
        <w:t>Фигура 3. Основен лихвен процент и доходност на биткойн за периода 2020–2024 г.</w:t>
      </w:r>
    </w:p>
    <w:p w14:paraId="278A614C" w14:textId="77777777" w:rsidR="00FF339D" w:rsidRPr="00FF339D" w:rsidRDefault="00FF339D" w:rsidP="00FF339D">
      <w:pPr>
        <w:spacing w:line="360" w:lineRule="auto"/>
        <w:ind w:firstLine="709"/>
        <w:jc w:val="both"/>
      </w:pPr>
      <w:r w:rsidRPr="00FF339D">
        <w:t>Фигура 4. Корелация между основния лихвен процент и доходността на биткойн за периода 2020-2024 г.</w:t>
      </w:r>
    </w:p>
    <w:p w14:paraId="02C379DA" w14:textId="77777777" w:rsidR="00FF339D" w:rsidRPr="00FF339D" w:rsidRDefault="00FF339D" w:rsidP="00FF339D">
      <w:pPr>
        <w:spacing w:line="360" w:lineRule="auto"/>
        <w:ind w:firstLine="709"/>
        <w:jc w:val="both"/>
      </w:pPr>
      <w:r w:rsidRPr="00FF339D">
        <w:t>Фигура 5. Индекс на щатския долар и доходност на биткойн за периода 2020–2024 г.</w:t>
      </w:r>
    </w:p>
    <w:p w14:paraId="2026607C" w14:textId="77777777" w:rsidR="00FF339D" w:rsidRPr="00FF339D" w:rsidRDefault="00FF339D" w:rsidP="00FF339D">
      <w:pPr>
        <w:spacing w:line="360" w:lineRule="auto"/>
        <w:ind w:firstLine="709"/>
        <w:jc w:val="both"/>
      </w:pPr>
      <w:r w:rsidRPr="00FF339D">
        <w:t>Фигура 6. Корелация между индекса на щатския долар и доходността на биткойн за периода 2020–2024 г.</w:t>
      </w:r>
    </w:p>
    <w:p w14:paraId="7B50490A" w14:textId="77777777" w:rsidR="00FF339D" w:rsidRPr="00FF339D" w:rsidRDefault="00FF339D" w:rsidP="00FF339D">
      <w:pPr>
        <w:spacing w:line="360" w:lineRule="auto"/>
        <w:ind w:firstLine="709"/>
        <w:jc w:val="both"/>
      </w:pPr>
      <w:r w:rsidRPr="00FF339D">
        <w:br/>
      </w:r>
    </w:p>
    <w:p w14:paraId="1F5C10F6" w14:textId="77777777" w:rsidR="00FF339D" w:rsidRPr="00FF339D" w:rsidRDefault="00FF339D" w:rsidP="006E20FE">
      <w:pPr>
        <w:spacing w:line="360" w:lineRule="auto"/>
        <w:ind w:firstLine="709"/>
        <w:jc w:val="both"/>
      </w:pPr>
    </w:p>
    <w:p w14:paraId="78274D7A" w14:textId="77777777" w:rsidR="00F9181B" w:rsidRPr="006040D3" w:rsidRDefault="00F9181B">
      <w:pPr>
        <w:widowControl/>
        <w:suppressAutoHyphens w:val="0"/>
        <w:rPr>
          <w:b/>
          <w:bCs/>
        </w:rPr>
      </w:pPr>
      <w:r w:rsidRPr="006040D3">
        <w:rPr>
          <w:b/>
          <w:bCs/>
        </w:rPr>
        <w:br w:type="page"/>
      </w:r>
    </w:p>
    <w:p w14:paraId="16D428B9" w14:textId="72FD75D7" w:rsidR="00F9181B" w:rsidRDefault="00F9181B" w:rsidP="00F9181B">
      <w:pPr>
        <w:spacing w:line="360" w:lineRule="auto"/>
        <w:ind w:firstLine="709"/>
        <w:jc w:val="both"/>
      </w:pPr>
      <w:r w:rsidRPr="00F9181B">
        <w:rPr>
          <w:b/>
          <w:bCs/>
        </w:rPr>
        <w:lastRenderedPageBreak/>
        <w:t>Увод</w:t>
      </w:r>
    </w:p>
    <w:p w14:paraId="12CE0FF0" w14:textId="77777777" w:rsidR="00CF7AA5" w:rsidRPr="00CF7AA5" w:rsidRDefault="00CF7AA5" w:rsidP="00CF7AA5">
      <w:pPr>
        <w:spacing w:line="360" w:lineRule="auto"/>
        <w:ind w:firstLine="709"/>
        <w:jc w:val="both"/>
        <w:rPr>
          <w:lang w:val="en-GB"/>
        </w:rPr>
      </w:pPr>
      <w:proofErr w:type="spellStart"/>
      <w:r w:rsidRPr="00CF7AA5">
        <w:rPr>
          <w:lang w:val="en-GB"/>
        </w:rPr>
        <w:t>През</w:t>
      </w:r>
      <w:proofErr w:type="spellEnd"/>
      <w:r w:rsidRPr="00CF7AA5">
        <w:rPr>
          <w:lang w:val="en-GB"/>
        </w:rPr>
        <w:t xml:space="preserve"> </w:t>
      </w:r>
      <w:proofErr w:type="spellStart"/>
      <w:r w:rsidRPr="00CF7AA5">
        <w:rPr>
          <w:lang w:val="en-GB"/>
        </w:rPr>
        <w:t>последното</w:t>
      </w:r>
      <w:proofErr w:type="spellEnd"/>
      <w:r w:rsidRPr="00CF7AA5">
        <w:rPr>
          <w:lang w:val="en-GB"/>
        </w:rPr>
        <w:t xml:space="preserve"> </w:t>
      </w:r>
      <w:proofErr w:type="spellStart"/>
      <w:r w:rsidRPr="00CF7AA5">
        <w:rPr>
          <w:lang w:val="en-GB"/>
        </w:rPr>
        <w:t>десетилетие</w:t>
      </w:r>
      <w:proofErr w:type="spellEnd"/>
      <w:r w:rsidRPr="00CF7AA5">
        <w:rPr>
          <w:lang w:val="en-GB"/>
        </w:rPr>
        <w:t xml:space="preserve"> </w:t>
      </w:r>
      <w:proofErr w:type="spellStart"/>
      <w:r w:rsidRPr="00CF7AA5">
        <w:rPr>
          <w:lang w:val="en-GB"/>
        </w:rPr>
        <w:t>криптоактивите</w:t>
      </w:r>
      <w:proofErr w:type="spellEnd"/>
      <w:r w:rsidRPr="00CF7AA5">
        <w:rPr>
          <w:lang w:val="en-GB"/>
        </w:rPr>
        <w:t xml:space="preserve"> </w:t>
      </w:r>
      <w:proofErr w:type="spellStart"/>
      <w:r w:rsidRPr="00CF7AA5">
        <w:rPr>
          <w:lang w:val="en-GB"/>
        </w:rPr>
        <w:t>се</w:t>
      </w:r>
      <w:proofErr w:type="spellEnd"/>
      <w:r w:rsidRPr="00CF7AA5">
        <w:rPr>
          <w:lang w:val="en-GB"/>
        </w:rPr>
        <w:t xml:space="preserve"> </w:t>
      </w:r>
      <w:proofErr w:type="spellStart"/>
      <w:r w:rsidRPr="00CF7AA5">
        <w:rPr>
          <w:lang w:val="en-GB"/>
        </w:rPr>
        <w:t>утвърждават</w:t>
      </w:r>
      <w:proofErr w:type="spellEnd"/>
      <w:r w:rsidRPr="00CF7AA5">
        <w:rPr>
          <w:lang w:val="en-GB"/>
        </w:rPr>
        <w:t xml:space="preserve"> </w:t>
      </w:r>
      <w:proofErr w:type="spellStart"/>
      <w:r w:rsidRPr="00CF7AA5">
        <w:rPr>
          <w:lang w:val="en-GB"/>
        </w:rPr>
        <w:t>като</w:t>
      </w:r>
      <w:proofErr w:type="spellEnd"/>
      <w:r w:rsidRPr="00CF7AA5">
        <w:rPr>
          <w:lang w:val="en-GB"/>
        </w:rPr>
        <w:t xml:space="preserve"> </w:t>
      </w:r>
      <w:proofErr w:type="spellStart"/>
      <w:r w:rsidRPr="00CF7AA5">
        <w:rPr>
          <w:lang w:val="en-GB"/>
        </w:rPr>
        <w:t>съществен</w:t>
      </w:r>
      <w:proofErr w:type="spellEnd"/>
      <w:r w:rsidRPr="00CF7AA5">
        <w:rPr>
          <w:lang w:val="en-GB"/>
        </w:rPr>
        <w:t xml:space="preserve"> </w:t>
      </w:r>
      <w:proofErr w:type="spellStart"/>
      <w:r w:rsidRPr="00CF7AA5">
        <w:rPr>
          <w:lang w:val="en-GB"/>
        </w:rPr>
        <w:t>елемент</w:t>
      </w:r>
      <w:proofErr w:type="spellEnd"/>
      <w:r w:rsidRPr="00CF7AA5">
        <w:rPr>
          <w:lang w:val="en-GB"/>
        </w:rPr>
        <w:t xml:space="preserve"> </w:t>
      </w:r>
      <w:proofErr w:type="spellStart"/>
      <w:r w:rsidRPr="00CF7AA5">
        <w:rPr>
          <w:lang w:val="en-GB"/>
        </w:rPr>
        <w:t>от</w:t>
      </w:r>
      <w:proofErr w:type="spellEnd"/>
      <w:r w:rsidRPr="00CF7AA5">
        <w:rPr>
          <w:lang w:val="en-GB"/>
        </w:rPr>
        <w:t xml:space="preserve"> </w:t>
      </w:r>
      <w:proofErr w:type="spellStart"/>
      <w:r w:rsidRPr="00CF7AA5">
        <w:rPr>
          <w:lang w:val="en-GB"/>
        </w:rPr>
        <w:t>съвременната</w:t>
      </w:r>
      <w:proofErr w:type="spellEnd"/>
      <w:r w:rsidRPr="00CF7AA5">
        <w:rPr>
          <w:lang w:val="en-GB"/>
        </w:rPr>
        <w:t xml:space="preserve"> </w:t>
      </w:r>
      <w:proofErr w:type="spellStart"/>
      <w:r w:rsidRPr="00CF7AA5">
        <w:rPr>
          <w:lang w:val="en-GB"/>
        </w:rPr>
        <w:t>финансова</w:t>
      </w:r>
      <w:proofErr w:type="spellEnd"/>
      <w:r w:rsidRPr="00CF7AA5">
        <w:rPr>
          <w:lang w:val="en-GB"/>
        </w:rPr>
        <w:t xml:space="preserve"> </w:t>
      </w:r>
      <w:proofErr w:type="spellStart"/>
      <w:r w:rsidRPr="00CF7AA5">
        <w:rPr>
          <w:lang w:val="en-GB"/>
        </w:rPr>
        <w:t>система</w:t>
      </w:r>
      <w:proofErr w:type="spellEnd"/>
      <w:r w:rsidRPr="00CF7AA5">
        <w:rPr>
          <w:lang w:val="en-GB"/>
        </w:rPr>
        <w:t xml:space="preserve">, </w:t>
      </w:r>
      <w:proofErr w:type="spellStart"/>
      <w:r w:rsidRPr="00CF7AA5">
        <w:rPr>
          <w:lang w:val="en-GB"/>
        </w:rPr>
        <w:t>като</w:t>
      </w:r>
      <w:proofErr w:type="spellEnd"/>
      <w:r w:rsidRPr="00CF7AA5">
        <w:rPr>
          <w:lang w:val="en-GB"/>
        </w:rPr>
        <w:t xml:space="preserve"> </w:t>
      </w:r>
      <w:proofErr w:type="spellStart"/>
      <w:r w:rsidRPr="00CF7AA5">
        <w:rPr>
          <w:lang w:val="en-GB"/>
        </w:rPr>
        <w:t>тяхното</w:t>
      </w:r>
      <w:proofErr w:type="spellEnd"/>
      <w:r w:rsidRPr="00CF7AA5">
        <w:rPr>
          <w:lang w:val="en-GB"/>
        </w:rPr>
        <w:t xml:space="preserve"> </w:t>
      </w:r>
      <w:proofErr w:type="spellStart"/>
      <w:r w:rsidRPr="00CF7AA5">
        <w:rPr>
          <w:lang w:val="en-GB"/>
        </w:rPr>
        <w:t>развитие</w:t>
      </w:r>
      <w:proofErr w:type="spellEnd"/>
      <w:r w:rsidRPr="00CF7AA5">
        <w:rPr>
          <w:lang w:val="en-GB"/>
        </w:rPr>
        <w:t xml:space="preserve"> е </w:t>
      </w:r>
      <w:proofErr w:type="spellStart"/>
      <w:r w:rsidRPr="00CF7AA5">
        <w:rPr>
          <w:lang w:val="en-GB"/>
        </w:rPr>
        <w:t>тясно</w:t>
      </w:r>
      <w:proofErr w:type="spellEnd"/>
      <w:r w:rsidRPr="00CF7AA5">
        <w:rPr>
          <w:lang w:val="en-GB"/>
        </w:rPr>
        <w:t xml:space="preserve"> </w:t>
      </w:r>
      <w:proofErr w:type="spellStart"/>
      <w:r w:rsidRPr="00CF7AA5">
        <w:rPr>
          <w:lang w:val="en-GB"/>
        </w:rPr>
        <w:t>свързано</w:t>
      </w:r>
      <w:proofErr w:type="spellEnd"/>
      <w:r w:rsidRPr="00CF7AA5">
        <w:rPr>
          <w:lang w:val="en-GB"/>
        </w:rPr>
        <w:t xml:space="preserve"> </w:t>
      </w:r>
      <w:proofErr w:type="spellStart"/>
      <w:r w:rsidRPr="00CF7AA5">
        <w:rPr>
          <w:lang w:val="en-GB"/>
        </w:rPr>
        <w:t>както</w:t>
      </w:r>
      <w:proofErr w:type="spellEnd"/>
      <w:r w:rsidRPr="00CF7AA5">
        <w:rPr>
          <w:lang w:val="en-GB"/>
        </w:rPr>
        <w:t xml:space="preserve"> с </w:t>
      </w:r>
      <w:proofErr w:type="spellStart"/>
      <w:r w:rsidRPr="00CF7AA5">
        <w:rPr>
          <w:lang w:val="en-GB"/>
        </w:rPr>
        <w:t>технологичните</w:t>
      </w:r>
      <w:proofErr w:type="spellEnd"/>
      <w:r w:rsidRPr="00CF7AA5">
        <w:rPr>
          <w:lang w:val="en-GB"/>
        </w:rPr>
        <w:t xml:space="preserve"> </w:t>
      </w:r>
      <w:proofErr w:type="spellStart"/>
      <w:r w:rsidRPr="00CF7AA5">
        <w:rPr>
          <w:lang w:val="en-GB"/>
        </w:rPr>
        <w:t>иновации</w:t>
      </w:r>
      <w:proofErr w:type="spellEnd"/>
      <w:r w:rsidRPr="00CF7AA5">
        <w:rPr>
          <w:lang w:val="en-GB"/>
        </w:rPr>
        <w:t xml:space="preserve">, </w:t>
      </w:r>
      <w:proofErr w:type="spellStart"/>
      <w:r w:rsidRPr="00CF7AA5">
        <w:rPr>
          <w:lang w:val="en-GB"/>
        </w:rPr>
        <w:t>така</w:t>
      </w:r>
      <w:proofErr w:type="spellEnd"/>
      <w:r w:rsidRPr="00CF7AA5">
        <w:rPr>
          <w:lang w:val="en-GB"/>
        </w:rPr>
        <w:t xml:space="preserve"> и с </w:t>
      </w:r>
      <w:proofErr w:type="spellStart"/>
      <w:r w:rsidRPr="00CF7AA5">
        <w:rPr>
          <w:lang w:val="en-GB"/>
        </w:rPr>
        <w:t>динамиката</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глобалната</w:t>
      </w:r>
      <w:proofErr w:type="spellEnd"/>
      <w:r w:rsidRPr="00CF7AA5">
        <w:rPr>
          <w:lang w:val="en-GB"/>
        </w:rPr>
        <w:t xml:space="preserve"> </w:t>
      </w:r>
      <w:proofErr w:type="spellStart"/>
      <w:r w:rsidRPr="00CF7AA5">
        <w:rPr>
          <w:lang w:val="en-GB"/>
        </w:rPr>
        <w:t>макроикономическа</w:t>
      </w:r>
      <w:proofErr w:type="spellEnd"/>
      <w:r w:rsidRPr="00CF7AA5">
        <w:rPr>
          <w:lang w:val="en-GB"/>
        </w:rPr>
        <w:t xml:space="preserve"> </w:t>
      </w:r>
      <w:proofErr w:type="spellStart"/>
      <w:r w:rsidRPr="00CF7AA5">
        <w:rPr>
          <w:lang w:val="en-GB"/>
        </w:rPr>
        <w:t>среда</w:t>
      </w:r>
      <w:proofErr w:type="spellEnd"/>
      <w:r w:rsidRPr="00CF7AA5">
        <w:rPr>
          <w:lang w:val="en-GB"/>
        </w:rPr>
        <w:t xml:space="preserve">. </w:t>
      </w:r>
      <w:proofErr w:type="spellStart"/>
      <w:r w:rsidRPr="00CF7AA5">
        <w:rPr>
          <w:lang w:val="en-GB"/>
        </w:rPr>
        <w:t>Постепенното</w:t>
      </w:r>
      <w:proofErr w:type="spellEnd"/>
      <w:r w:rsidRPr="00CF7AA5">
        <w:rPr>
          <w:lang w:val="en-GB"/>
        </w:rPr>
        <w:t xml:space="preserve"> </w:t>
      </w:r>
      <w:proofErr w:type="spellStart"/>
      <w:r w:rsidRPr="00CF7AA5">
        <w:rPr>
          <w:lang w:val="en-GB"/>
        </w:rPr>
        <w:t>преминаване</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криптопазара</w:t>
      </w:r>
      <w:proofErr w:type="spellEnd"/>
      <w:r w:rsidRPr="00CF7AA5">
        <w:rPr>
          <w:lang w:val="en-GB"/>
        </w:rPr>
        <w:t xml:space="preserve"> </w:t>
      </w:r>
      <w:proofErr w:type="spellStart"/>
      <w:r w:rsidRPr="00CF7AA5">
        <w:rPr>
          <w:lang w:val="en-GB"/>
        </w:rPr>
        <w:t>от</w:t>
      </w:r>
      <w:proofErr w:type="spellEnd"/>
      <w:r w:rsidRPr="00CF7AA5">
        <w:rPr>
          <w:lang w:val="en-GB"/>
        </w:rPr>
        <w:t xml:space="preserve"> </w:t>
      </w:r>
      <w:proofErr w:type="spellStart"/>
      <w:r w:rsidRPr="00CF7AA5">
        <w:rPr>
          <w:lang w:val="en-GB"/>
        </w:rPr>
        <w:t>нишов</w:t>
      </w:r>
      <w:proofErr w:type="spellEnd"/>
      <w:r w:rsidRPr="00CF7AA5">
        <w:rPr>
          <w:lang w:val="en-GB"/>
        </w:rPr>
        <w:t xml:space="preserve"> и </w:t>
      </w:r>
      <w:proofErr w:type="spellStart"/>
      <w:r w:rsidRPr="00CF7AA5">
        <w:rPr>
          <w:lang w:val="en-GB"/>
        </w:rPr>
        <w:t>спекулативен</w:t>
      </w:r>
      <w:proofErr w:type="spellEnd"/>
      <w:r w:rsidRPr="00CF7AA5">
        <w:rPr>
          <w:lang w:val="en-GB"/>
        </w:rPr>
        <w:t xml:space="preserve"> </w:t>
      </w:r>
      <w:proofErr w:type="spellStart"/>
      <w:r w:rsidRPr="00CF7AA5">
        <w:rPr>
          <w:lang w:val="en-GB"/>
        </w:rPr>
        <w:t>сегмент</w:t>
      </w:r>
      <w:proofErr w:type="spellEnd"/>
      <w:r w:rsidRPr="00CF7AA5">
        <w:rPr>
          <w:lang w:val="en-GB"/>
        </w:rPr>
        <w:t xml:space="preserve"> </w:t>
      </w:r>
      <w:proofErr w:type="spellStart"/>
      <w:r w:rsidRPr="00CF7AA5">
        <w:rPr>
          <w:lang w:val="en-GB"/>
        </w:rPr>
        <w:t>към</w:t>
      </w:r>
      <w:proofErr w:type="spellEnd"/>
      <w:r w:rsidRPr="00CF7AA5">
        <w:rPr>
          <w:lang w:val="en-GB"/>
        </w:rPr>
        <w:t xml:space="preserve"> </w:t>
      </w:r>
      <w:proofErr w:type="spellStart"/>
      <w:r w:rsidRPr="00CF7AA5">
        <w:rPr>
          <w:lang w:val="en-GB"/>
        </w:rPr>
        <w:t>интегрирана</w:t>
      </w:r>
      <w:proofErr w:type="spellEnd"/>
      <w:r w:rsidRPr="00CF7AA5">
        <w:rPr>
          <w:lang w:val="en-GB"/>
        </w:rPr>
        <w:t xml:space="preserve"> </w:t>
      </w:r>
      <w:proofErr w:type="spellStart"/>
      <w:r w:rsidRPr="00CF7AA5">
        <w:rPr>
          <w:lang w:val="en-GB"/>
        </w:rPr>
        <w:t>част</w:t>
      </w:r>
      <w:proofErr w:type="spellEnd"/>
      <w:r w:rsidRPr="00CF7AA5">
        <w:rPr>
          <w:lang w:val="en-GB"/>
        </w:rPr>
        <w:t xml:space="preserve"> </w:t>
      </w:r>
      <w:proofErr w:type="spellStart"/>
      <w:r w:rsidRPr="00CF7AA5">
        <w:rPr>
          <w:lang w:val="en-GB"/>
        </w:rPr>
        <w:t>от</w:t>
      </w:r>
      <w:proofErr w:type="spellEnd"/>
      <w:r w:rsidRPr="00CF7AA5">
        <w:rPr>
          <w:lang w:val="en-GB"/>
        </w:rPr>
        <w:t xml:space="preserve"> </w:t>
      </w:r>
      <w:proofErr w:type="spellStart"/>
      <w:r w:rsidRPr="00CF7AA5">
        <w:rPr>
          <w:lang w:val="en-GB"/>
        </w:rPr>
        <w:t>финансовата</w:t>
      </w:r>
      <w:proofErr w:type="spellEnd"/>
      <w:r w:rsidRPr="00CF7AA5">
        <w:rPr>
          <w:lang w:val="en-GB"/>
        </w:rPr>
        <w:t xml:space="preserve"> </w:t>
      </w:r>
      <w:proofErr w:type="spellStart"/>
      <w:r w:rsidRPr="00CF7AA5">
        <w:rPr>
          <w:lang w:val="en-GB"/>
        </w:rPr>
        <w:t>инфраструктура</w:t>
      </w:r>
      <w:proofErr w:type="spellEnd"/>
      <w:r w:rsidRPr="00CF7AA5">
        <w:rPr>
          <w:lang w:val="en-GB"/>
        </w:rPr>
        <w:t xml:space="preserve"> </w:t>
      </w:r>
      <w:proofErr w:type="spellStart"/>
      <w:r w:rsidRPr="00CF7AA5">
        <w:rPr>
          <w:lang w:val="en-GB"/>
        </w:rPr>
        <w:t>повишава</w:t>
      </w:r>
      <w:proofErr w:type="spellEnd"/>
      <w:r w:rsidRPr="00CF7AA5">
        <w:rPr>
          <w:lang w:val="en-GB"/>
        </w:rPr>
        <w:t xml:space="preserve"> </w:t>
      </w:r>
      <w:proofErr w:type="spellStart"/>
      <w:r w:rsidRPr="00CF7AA5">
        <w:rPr>
          <w:lang w:val="en-GB"/>
        </w:rPr>
        <w:t>значимостта</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факторите</w:t>
      </w:r>
      <w:proofErr w:type="spellEnd"/>
      <w:r w:rsidRPr="00CF7AA5">
        <w:rPr>
          <w:lang w:val="en-GB"/>
        </w:rPr>
        <w:t xml:space="preserve">, </w:t>
      </w:r>
      <w:proofErr w:type="spellStart"/>
      <w:r w:rsidRPr="00CF7AA5">
        <w:rPr>
          <w:lang w:val="en-GB"/>
        </w:rPr>
        <w:t>които</w:t>
      </w:r>
      <w:proofErr w:type="spellEnd"/>
      <w:r w:rsidRPr="00CF7AA5">
        <w:rPr>
          <w:lang w:val="en-GB"/>
        </w:rPr>
        <w:t xml:space="preserve"> </w:t>
      </w:r>
      <w:proofErr w:type="spellStart"/>
      <w:r w:rsidRPr="00CF7AA5">
        <w:rPr>
          <w:lang w:val="en-GB"/>
        </w:rPr>
        <w:t>определят</w:t>
      </w:r>
      <w:proofErr w:type="spellEnd"/>
      <w:r w:rsidRPr="00CF7AA5">
        <w:rPr>
          <w:lang w:val="en-GB"/>
        </w:rPr>
        <w:t xml:space="preserve"> </w:t>
      </w:r>
      <w:proofErr w:type="spellStart"/>
      <w:r w:rsidRPr="00CF7AA5">
        <w:rPr>
          <w:lang w:val="en-GB"/>
        </w:rPr>
        <w:t>неговото</w:t>
      </w:r>
      <w:proofErr w:type="spellEnd"/>
      <w:r w:rsidRPr="00CF7AA5">
        <w:rPr>
          <w:lang w:val="en-GB"/>
        </w:rPr>
        <w:t xml:space="preserve"> </w:t>
      </w:r>
      <w:proofErr w:type="spellStart"/>
      <w:r w:rsidRPr="00CF7AA5">
        <w:rPr>
          <w:lang w:val="en-GB"/>
        </w:rPr>
        <w:t>поведение</w:t>
      </w:r>
      <w:proofErr w:type="spellEnd"/>
      <w:r w:rsidRPr="00CF7AA5">
        <w:rPr>
          <w:lang w:val="en-GB"/>
        </w:rPr>
        <w:t xml:space="preserve">. В </w:t>
      </w:r>
      <w:proofErr w:type="spellStart"/>
      <w:r w:rsidRPr="00CF7AA5">
        <w:rPr>
          <w:lang w:val="en-GB"/>
        </w:rPr>
        <w:t>този</w:t>
      </w:r>
      <w:proofErr w:type="spellEnd"/>
      <w:r w:rsidRPr="00CF7AA5">
        <w:rPr>
          <w:lang w:val="en-GB"/>
        </w:rPr>
        <w:t xml:space="preserve"> </w:t>
      </w:r>
      <w:proofErr w:type="spellStart"/>
      <w:r w:rsidRPr="00CF7AA5">
        <w:rPr>
          <w:lang w:val="en-GB"/>
        </w:rPr>
        <w:t>контекст</w:t>
      </w:r>
      <w:proofErr w:type="spellEnd"/>
      <w:r w:rsidRPr="00CF7AA5">
        <w:rPr>
          <w:lang w:val="en-GB"/>
        </w:rPr>
        <w:t xml:space="preserve"> </w:t>
      </w:r>
      <w:proofErr w:type="spellStart"/>
      <w:r w:rsidRPr="00CF7AA5">
        <w:rPr>
          <w:lang w:val="en-GB"/>
        </w:rPr>
        <w:t>макроикономическите</w:t>
      </w:r>
      <w:proofErr w:type="spellEnd"/>
      <w:r w:rsidRPr="00CF7AA5">
        <w:rPr>
          <w:lang w:val="en-GB"/>
        </w:rPr>
        <w:t xml:space="preserve"> </w:t>
      </w:r>
      <w:proofErr w:type="spellStart"/>
      <w:r w:rsidRPr="00CF7AA5">
        <w:rPr>
          <w:lang w:val="en-GB"/>
        </w:rPr>
        <w:t>индикатори</w:t>
      </w:r>
      <w:proofErr w:type="spellEnd"/>
      <w:r w:rsidRPr="00CF7AA5">
        <w:rPr>
          <w:lang w:val="en-GB"/>
        </w:rPr>
        <w:t xml:space="preserve">, </w:t>
      </w:r>
      <w:proofErr w:type="spellStart"/>
      <w:r w:rsidRPr="00CF7AA5">
        <w:rPr>
          <w:lang w:val="en-GB"/>
        </w:rPr>
        <w:t>като</w:t>
      </w:r>
      <w:proofErr w:type="spellEnd"/>
      <w:r w:rsidRPr="00CF7AA5">
        <w:rPr>
          <w:lang w:val="en-GB"/>
        </w:rPr>
        <w:t xml:space="preserve"> </w:t>
      </w:r>
      <w:proofErr w:type="spellStart"/>
      <w:r w:rsidRPr="00CF7AA5">
        <w:rPr>
          <w:lang w:val="en-GB"/>
        </w:rPr>
        <w:t>инфлация</w:t>
      </w:r>
      <w:proofErr w:type="spellEnd"/>
      <w:r w:rsidRPr="00CF7AA5">
        <w:rPr>
          <w:lang w:val="en-GB"/>
        </w:rPr>
        <w:t xml:space="preserve">, </w:t>
      </w:r>
      <w:proofErr w:type="spellStart"/>
      <w:r w:rsidRPr="00CF7AA5">
        <w:rPr>
          <w:lang w:val="en-GB"/>
        </w:rPr>
        <w:t>лихвени</w:t>
      </w:r>
      <w:proofErr w:type="spellEnd"/>
      <w:r w:rsidRPr="00CF7AA5">
        <w:rPr>
          <w:lang w:val="en-GB"/>
        </w:rPr>
        <w:t xml:space="preserve"> </w:t>
      </w:r>
      <w:proofErr w:type="spellStart"/>
      <w:r w:rsidRPr="00CF7AA5">
        <w:rPr>
          <w:lang w:val="en-GB"/>
        </w:rPr>
        <w:t>проценти</w:t>
      </w:r>
      <w:proofErr w:type="spellEnd"/>
      <w:r w:rsidRPr="00CF7AA5">
        <w:rPr>
          <w:lang w:val="en-GB"/>
        </w:rPr>
        <w:t xml:space="preserve"> и </w:t>
      </w:r>
      <w:proofErr w:type="spellStart"/>
      <w:r w:rsidRPr="00CF7AA5">
        <w:rPr>
          <w:lang w:val="en-GB"/>
        </w:rPr>
        <w:t>валутни</w:t>
      </w:r>
      <w:proofErr w:type="spellEnd"/>
      <w:r w:rsidRPr="00CF7AA5">
        <w:rPr>
          <w:lang w:val="en-GB"/>
        </w:rPr>
        <w:t xml:space="preserve"> </w:t>
      </w:r>
      <w:proofErr w:type="spellStart"/>
      <w:r w:rsidRPr="00CF7AA5">
        <w:rPr>
          <w:lang w:val="en-GB"/>
        </w:rPr>
        <w:t>курсове</w:t>
      </w:r>
      <w:proofErr w:type="spellEnd"/>
      <w:r w:rsidRPr="00CF7AA5">
        <w:rPr>
          <w:lang w:val="en-GB"/>
        </w:rPr>
        <w:t xml:space="preserve">, </w:t>
      </w:r>
      <w:proofErr w:type="spellStart"/>
      <w:r w:rsidRPr="00CF7AA5">
        <w:rPr>
          <w:lang w:val="en-GB"/>
        </w:rPr>
        <w:t>се</w:t>
      </w:r>
      <w:proofErr w:type="spellEnd"/>
      <w:r w:rsidRPr="00CF7AA5">
        <w:rPr>
          <w:lang w:val="en-GB"/>
        </w:rPr>
        <w:t xml:space="preserve"> </w:t>
      </w:r>
      <w:proofErr w:type="spellStart"/>
      <w:r w:rsidRPr="00CF7AA5">
        <w:rPr>
          <w:lang w:val="en-GB"/>
        </w:rPr>
        <w:t>превръщат</w:t>
      </w:r>
      <w:proofErr w:type="spellEnd"/>
      <w:r w:rsidRPr="00CF7AA5">
        <w:rPr>
          <w:lang w:val="en-GB"/>
        </w:rPr>
        <w:t xml:space="preserve"> в </w:t>
      </w:r>
      <w:proofErr w:type="spellStart"/>
      <w:r w:rsidRPr="00CF7AA5">
        <w:rPr>
          <w:lang w:val="en-GB"/>
        </w:rPr>
        <w:t>ключови</w:t>
      </w:r>
      <w:proofErr w:type="spellEnd"/>
      <w:r w:rsidRPr="00CF7AA5">
        <w:rPr>
          <w:lang w:val="en-GB"/>
        </w:rPr>
        <w:t xml:space="preserve"> </w:t>
      </w:r>
      <w:proofErr w:type="spellStart"/>
      <w:r w:rsidRPr="00CF7AA5">
        <w:rPr>
          <w:lang w:val="en-GB"/>
        </w:rPr>
        <w:t>детерминанти</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инвестиционните</w:t>
      </w:r>
      <w:proofErr w:type="spellEnd"/>
      <w:r w:rsidRPr="00CF7AA5">
        <w:rPr>
          <w:lang w:val="en-GB"/>
        </w:rPr>
        <w:t xml:space="preserve"> </w:t>
      </w:r>
      <w:proofErr w:type="spellStart"/>
      <w:r w:rsidRPr="00CF7AA5">
        <w:rPr>
          <w:lang w:val="en-GB"/>
        </w:rPr>
        <w:t>решения</w:t>
      </w:r>
      <w:proofErr w:type="spellEnd"/>
      <w:r w:rsidRPr="00CF7AA5">
        <w:rPr>
          <w:lang w:val="en-GB"/>
        </w:rPr>
        <w:t xml:space="preserve">, </w:t>
      </w:r>
      <w:proofErr w:type="spellStart"/>
      <w:r w:rsidRPr="00CF7AA5">
        <w:rPr>
          <w:lang w:val="en-GB"/>
        </w:rPr>
        <w:t>ликвидността</w:t>
      </w:r>
      <w:proofErr w:type="spellEnd"/>
      <w:r w:rsidRPr="00CF7AA5">
        <w:rPr>
          <w:lang w:val="en-GB"/>
        </w:rPr>
        <w:t xml:space="preserve"> и </w:t>
      </w:r>
      <w:proofErr w:type="spellStart"/>
      <w:r w:rsidRPr="00CF7AA5">
        <w:rPr>
          <w:lang w:val="en-GB"/>
        </w:rPr>
        <w:t>ценовата</w:t>
      </w:r>
      <w:proofErr w:type="spellEnd"/>
      <w:r w:rsidRPr="00CF7AA5">
        <w:rPr>
          <w:lang w:val="en-GB"/>
        </w:rPr>
        <w:t xml:space="preserve"> </w:t>
      </w:r>
      <w:proofErr w:type="spellStart"/>
      <w:r w:rsidRPr="00CF7AA5">
        <w:rPr>
          <w:lang w:val="en-GB"/>
        </w:rPr>
        <w:t>динамика</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криптоактивите</w:t>
      </w:r>
      <w:proofErr w:type="spellEnd"/>
      <w:r w:rsidRPr="00CF7AA5">
        <w:rPr>
          <w:lang w:val="en-GB"/>
        </w:rPr>
        <w:t xml:space="preserve">. </w:t>
      </w:r>
      <w:proofErr w:type="spellStart"/>
      <w:r w:rsidRPr="00CF7AA5">
        <w:rPr>
          <w:lang w:val="en-GB"/>
        </w:rPr>
        <w:t>Актуалността</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настоящото</w:t>
      </w:r>
      <w:proofErr w:type="spellEnd"/>
      <w:r w:rsidRPr="00CF7AA5">
        <w:rPr>
          <w:lang w:val="en-GB"/>
        </w:rPr>
        <w:t xml:space="preserve"> </w:t>
      </w:r>
      <w:proofErr w:type="spellStart"/>
      <w:r w:rsidRPr="00CF7AA5">
        <w:rPr>
          <w:lang w:val="en-GB"/>
        </w:rPr>
        <w:t>изследване</w:t>
      </w:r>
      <w:proofErr w:type="spellEnd"/>
      <w:r w:rsidRPr="00CF7AA5">
        <w:rPr>
          <w:lang w:val="en-GB"/>
        </w:rPr>
        <w:t xml:space="preserve"> </w:t>
      </w:r>
      <w:proofErr w:type="spellStart"/>
      <w:r w:rsidRPr="00CF7AA5">
        <w:rPr>
          <w:lang w:val="en-GB"/>
        </w:rPr>
        <w:t>произтича</w:t>
      </w:r>
      <w:proofErr w:type="spellEnd"/>
      <w:r w:rsidRPr="00CF7AA5">
        <w:rPr>
          <w:lang w:val="en-GB"/>
        </w:rPr>
        <w:t xml:space="preserve"> </w:t>
      </w:r>
      <w:proofErr w:type="spellStart"/>
      <w:r w:rsidRPr="00CF7AA5">
        <w:rPr>
          <w:lang w:val="en-GB"/>
        </w:rPr>
        <w:t>от</w:t>
      </w:r>
      <w:proofErr w:type="spellEnd"/>
      <w:r w:rsidRPr="00CF7AA5">
        <w:rPr>
          <w:lang w:val="en-GB"/>
        </w:rPr>
        <w:t xml:space="preserve"> </w:t>
      </w:r>
      <w:proofErr w:type="spellStart"/>
      <w:r w:rsidRPr="00CF7AA5">
        <w:rPr>
          <w:lang w:val="en-GB"/>
        </w:rPr>
        <w:t>необходимостта</w:t>
      </w:r>
      <w:proofErr w:type="spellEnd"/>
      <w:r w:rsidRPr="00CF7AA5">
        <w:rPr>
          <w:lang w:val="en-GB"/>
        </w:rPr>
        <w:t xml:space="preserve"> </w:t>
      </w:r>
      <w:proofErr w:type="spellStart"/>
      <w:r w:rsidRPr="00CF7AA5">
        <w:rPr>
          <w:lang w:val="en-GB"/>
        </w:rPr>
        <w:t>да</w:t>
      </w:r>
      <w:proofErr w:type="spellEnd"/>
      <w:r w:rsidRPr="00CF7AA5">
        <w:rPr>
          <w:lang w:val="en-GB"/>
        </w:rPr>
        <w:t xml:space="preserve"> </w:t>
      </w:r>
      <w:proofErr w:type="spellStart"/>
      <w:r w:rsidRPr="00CF7AA5">
        <w:rPr>
          <w:lang w:val="en-GB"/>
        </w:rPr>
        <w:t>се</w:t>
      </w:r>
      <w:proofErr w:type="spellEnd"/>
      <w:r w:rsidRPr="00CF7AA5">
        <w:rPr>
          <w:lang w:val="en-GB"/>
        </w:rPr>
        <w:t xml:space="preserve"> </w:t>
      </w:r>
      <w:proofErr w:type="spellStart"/>
      <w:r w:rsidRPr="00CF7AA5">
        <w:rPr>
          <w:lang w:val="en-GB"/>
        </w:rPr>
        <w:t>анализира</w:t>
      </w:r>
      <w:proofErr w:type="spellEnd"/>
      <w:r w:rsidRPr="00CF7AA5">
        <w:rPr>
          <w:lang w:val="en-GB"/>
        </w:rPr>
        <w:t xml:space="preserve"> </w:t>
      </w:r>
      <w:proofErr w:type="spellStart"/>
      <w:r w:rsidRPr="00CF7AA5">
        <w:rPr>
          <w:lang w:val="en-GB"/>
        </w:rPr>
        <w:t>задълбочено</w:t>
      </w:r>
      <w:proofErr w:type="spellEnd"/>
      <w:r w:rsidRPr="00CF7AA5">
        <w:rPr>
          <w:lang w:val="en-GB"/>
        </w:rPr>
        <w:t xml:space="preserve"> </w:t>
      </w:r>
      <w:proofErr w:type="spellStart"/>
      <w:r w:rsidRPr="00CF7AA5">
        <w:rPr>
          <w:lang w:val="en-GB"/>
        </w:rPr>
        <w:t>именно</w:t>
      </w:r>
      <w:proofErr w:type="spellEnd"/>
      <w:r w:rsidRPr="00CF7AA5">
        <w:rPr>
          <w:lang w:val="en-GB"/>
        </w:rPr>
        <w:t xml:space="preserve"> </w:t>
      </w:r>
      <w:proofErr w:type="spellStart"/>
      <w:r w:rsidRPr="00CF7AA5">
        <w:rPr>
          <w:lang w:val="en-GB"/>
        </w:rPr>
        <w:t>тази</w:t>
      </w:r>
      <w:proofErr w:type="spellEnd"/>
      <w:r w:rsidRPr="00CF7AA5">
        <w:rPr>
          <w:lang w:val="en-GB"/>
        </w:rPr>
        <w:t xml:space="preserve"> </w:t>
      </w:r>
      <w:proofErr w:type="spellStart"/>
      <w:r w:rsidRPr="00CF7AA5">
        <w:rPr>
          <w:lang w:val="en-GB"/>
        </w:rPr>
        <w:t>взаимовръзка</w:t>
      </w:r>
      <w:proofErr w:type="spellEnd"/>
      <w:r w:rsidRPr="00CF7AA5">
        <w:rPr>
          <w:lang w:val="en-GB"/>
        </w:rPr>
        <w:t xml:space="preserve">, </w:t>
      </w:r>
      <w:proofErr w:type="spellStart"/>
      <w:r w:rsidRPr="00CF7AA5">
        <w:rPr>
          <w:lang w:val="en-GB"/>
        </w:rPr>
        <w:t>особено</w:t>
      </w:r>
      <w:proofErr w:type="spellEnd"/>
      <w:r w:rsidRPr="00CF7AA5">
        <w:rPr>
          <w:lang w:val="en-GB"/>
        </w:rPr>
        <w:t xml:space="preserve"> в </w:t>
      </w:r>
      <w:proofErr w:type="spellStart"/>
      <w:r w:rsidRPr="00CF7AA5">
        <w:rPr>
          <w:lang w:val="en-GB"/>
        </w:rPr>
        <w:t>условията</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засилена</w:t>
      </w:r>
      <w:proofErr w:type="spellEnd"/>
      <w:r w:rsidRPr="00CF7AA5">
        <w:rPr>
          <w:lang w:val="en-GB"/>
        </w:rPr>
        <w:t xml:space="preserve"> </w:t>
      </w:r>
      <w:proofErr w:type="spellStart"/>
      <w:r w:rsidRPr="00CF7AA5">
        <w:rPr>
          <w:lang w:val="en-GB"/>
        </w:rPr>
        <w:t>волатилност</w:t>
      </w:r>
      <w:proofErr w:type="spellEnd"/>
      <w:r w:rsidRPr="00CF7AA5">
        <w:rPr>
          <w:lang w:val="en-GB"/>
        </w:rPr>
        <w:t xml:space="preserve">, </w:t>
      </w:r>
      <w:proofErr w:type="spellStart"/>
      <w:r w:rsidRPr="00CF7AA5">
        <w:rPr>
          <w:lang w:val="en-GB"/>
        </w:rPr>
        <w:t>промени</w:t>
      </w:r>
      <w:proofErr w:type="spellEnd"/>
      <w:r w:rsidRPr="00CF7AA5">
        <w:rPr>
          <w:lang w:val="en-GB"/>
        </w:rPr>
        <w:t xml:space="preserve"> в </w:t>
      </w:r>
      <w:proofErr w:type="spellStart"/>
      <w:r w:rsidRPr="00CF7AA5">
        <w:rPr>
          <w:lang w:val="en-GB"/>
        </w:rPr>
        <w:t>паричната</w:t>
      </w:r>
      <w:proofErr w:type="spellEnd"/>
      <w:r w:rsidRPr="00CF7AA5">
        <w:rPr>
          <w:lang w:val="en-GB"/>
        </w:rPr>
        <w:t xml:space="preserve"> </w:t>
      </w:r>
      <w:proofErr w:type="spellStart"/>
      <w:r w:rsidRPr="00CF7AA5">
        <w:rPr>
          <w:lang w:val="en-GB"/>
        </w:rPr>
        <w:t>политика</w:t>
      </w:r>
      <w:proofErr w:type="spellEnd"/>
      <w:r w:rsidRPr="00CF7AA5">
        <w:rPr>
          <w:lang w:val="en-GB"/>
        </w:rPr>
        <w:t xml:space="preserve"> и </w:t>
      </w:r>
      <w:proofErr w:type="spellStart"/>
      <w:r w:rsidRPr="00CF7AA5">
        <w:rPr>
          <w:lang w:val="en-GB"/>
        </w:rPr>
        <w:t>нарастващо</w:t>
      </w:r>
      <w:proofErr w:type="spellEnd"/>
      <w:r w:rsidRPr="00CF7AA5">
        <w:rPr>
          <w:lang w:val="en-GB"/>
        </w:rPr>
        <w:t xml:space="preserve"> </w:t>
      </w:r>
      <w:proofErr w:type="spellStart"/>
      <w:r w:rsidRPr="00CF7AA5">
        <w:rPr>
          <w:lang w:val="en-GB"/>
        </w:rPr>
        <w:t>институционално</w:t>
      </w:r>
      <w:proofErr w:type="spellEnd"/>
      <w:r w:rsidRPr="00CF7AA5">
        <w:rPr>
          <w:lang w:val="en-GB"/>
        </w:rPr>
        <w:t xml:space="preserve"> </w:t>
      </w:r>
      <w:proofErr w:type="spellStart"/>
      <w:r w:rsidRPr="00CF7AA5">
        <w:rPr>
          <w:lang w:val="en-GB"/>
        </w:rPr>
        <w:t>участие</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криптопазара</w:t>
      </w:r>
      <w:proofErr w:type="spellEnd"/>
      <w:r w:rsidRPr="00CF7AA5">
        <w:rPr>
          <w:lang w:val="en-GB"/>
        </w:rPr>
        <w:t>.</w:t>
      </w:r>
    </w:p>
    <w:p w14:paraId="06461D4B" w14:textId="77777777" w:rsidR="00CF7AA5" w:rsidRPr="00CF7AA5" w:rsidRDefault="00CF7AA5" w:rsidP="00CF7AA5">
      <w:pPr>
        <w:spacing w:line="360" w:lineRule="auto"/>
        <w:ind w:firstLine="709"/>
        <w:jc w:val="both"/>
        <w:rPr>
          <w:lang w:val="en-GB"/>
        </w:rPr>
      </w:pPr>
      <w:proofErr w:type="spellStart"/>
      <w:r w:rsidRPr="00CF7AA5">
        <w:rPr>
          <w:lang w:val="en-GB"/>
        </w:rPr>
        <w:t>Обект</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изследването</w:t>
      </w:r>
      <w:proofErr w:type="spellEnd"/>
      <w:r w:rsidRPr="00CF7AA5">
        <w:rPr>
          <w:lang w:val="en-GB"/>
        </w:rPr>
        <w:t xml:space="preserve"> е </w:t>
      </w:r>
      <w:proofErr w:type="spellStart"/>
      <w:r w:rsidRPr="00CF7AA5">
        <w:rPr>
          <w:lang w:val="en-GB"/>
        </w:rPr>
        <w:t>пазарът</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криптоактиви</w:t>
      </w:r>
      <w:proofErr w:type="spellEnd"/>
      <w:r w:rsidRPr="00CF7AA5">
        <w:rPr>
          <w:lang w:val="en-GB"/>
        </w:rPr>
        <w:t xml:space="preserve"> </w:t>
      </w:r>
      <w:proofErr w:type="spellStart"/>
      <w:r w:rsidRPr="00CF7AA5">
        <w:rPr>
          <w:lang w:val="en-GB"/>
        </w:rPr>
        <w:t>като</w:t>
      </w:r>
      <w:proofErr w:type="spellEnd"/>
      <w:r w:rsidRPr="00CF7AA5">
        <w:rPr>
          <w:lang w:val="en-GB"/>
        </w:rPr>
        <w:t xml:space="preserve"> </w:t>
      </w:r>
      <w:proofErr w:type="spellStart"/>
      <w:r w:rsidRPr="00CF7AA5">
        <w:rPr>
          <w:lang w:val="en-GB"/>
        </w:rPr>
        <w:t>част</w:t>
      </w:r>
      <w:proofErr w:type="spellEnd"/>
      <w:r w:rsidRPr="00CF7AA5">
        <w:rPr>
          <w:lang w:val="en-GB"/>
        </w:rPr>
        <w:t xml:space="preserve"> </w:t>
      </w:r>
      <w:proofErr w:type="spellStart"/>
      <w:r w:rsidRPr="00CF7AA5">
        <w:rPr>
          <w:lang w:val="en-GB"/>
        </w:rPr>
        <w:t>от</w:t>
      </w:r>
      <w:proofErr w:type="spellEnd"/>
      <w:r w:rsidRPr="00CF7AA5">
        <w:rPr>
          <w:lang w:val="en-GB"/>
        </w:rPr>
        <w:t xml:space="preserve"> </w:t>
      </w:r>
      <w:proofErr w:type="spellStart"/>
      <w:r w:rsidRPr="00CF7AA5">
        <w:rPr>
          <w:lang w:val="en-GB"/>
        </w:rPr>
        <w:t>съвременната</w:t>
      </w:r>
      <w:proofErr w:type="spellEnd"/>
      <w:r w:rsidRPr="00CF7AA5">
        <w:rPr>
          <w:lang w:val="en-GB"/>
        </w:rPr>
        <w:t xml:space="preserve"> </w:t>
      </w:r>
      <w:proofErr w:type="spellStart"/>
      <w:r w:rsidRPr="00CF7AA5">
        <w:rPr>
          <w:lang w:val="en-GB"/>
        </w:rPr>
        <w:t>финансова</w:t>
      </w:r>
      <w:proofErr w:type="spellEnd"/>
      <w:r w:rsidRPr="00CF7AA5">
        <w:rPr>
          <w:lang w:val="en-GB"/>
        </w:rPr>
        <w:t xml:space="preserve"> </w:t>
      </w:r>
      <w:proofErr w:type="spellStart"/>
      <w:r w:rsidRPr="00CF7AA5">
        <w:rPr>
          <w:lang w:val="en-GB"/>
        </w:rPr>
        <w:t>система</w:t>
      </w:r>
      <w:proofErr w:type="spellEnd"/>
      <w:r w:rsidRPr="00CF7AA5">
        <w:rPr>
          <w:lang w:val="en-GB"/>
        </w:rPr>
        <w:t xml:space="preserve">, а </w:t>
      </w:r>
      <w:proofErr w:type="spellStart"/>
      <w:r w:rsidRPr="00CF7AA5">
        <w:rPr>
          <w:lang w:val="en-GB"/>
        </w:rPr>
        <w:t>предмет</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изследването</w:t>
      </w:r>
      <w:proofErr w:type="spellEnd"/>
      <w:r w:rsidRPr="00CF7AA5">
        <w:rPr>
          <w:lang w:val="en-GB"/>
        </w:rPr>
        <w:t xml:space="preserve"> е </w:t>
      </w:r>
      <w:proofErr w:type="spellStart"/>
      <w:r w:rsidRPr="00CF7AA5">
        <w:rPr>
          <w:lang w:val="en-GB"/>
        </w:rPr>
        <w:t>влиянието</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основни</w:t>
      </w:r>
      <w:proofErr w:type="spellEnd"/>
      <w:r w:rsidRPr="00CF7AA5">
        <w:rPr>
          <w:lang w:val="en-GB"/>
        </w:rPr>
        <w:t xml:space="preserve"> </w:t>
      </w:r>
      <w:proofErr w:type="spellStart"/>
      <w:r w:rsidRPr="00CF7AA5">
        <w:rPr>
          <w:lang w:val="en-GB"/>
        </w:rPr>
        <w:t>макроикономически</w:t>
      </w:r>
      <w:proofErr w:type="spellEnd"/>
      <w:r w:rsidRPr="00CF7AA5">
        <w:rPr>
          <w:lang w:val="en-GB"/>
        </w:rPr>
        <w:t xml:space="preserve"> </w:t>
      </w:r>
      <w:proofErr w:type="spellStart"/>
      <w:r w:rsidRPr="00CF7AA5">
        <w:rPr>
          <w:lang w:val="en-GB"/>
        </w:rPr>
        <w:t>индикатори</w:t>
      </w:r>
      <w:proofErr w:type="spellEnd"/>
      <w:r w:rsidRPr="00CF7AA5">
        <w:rPr>
          <w:lang w:val="en-GB"/>
        </w:rPr>
        <w:t xml:space="preserve"> </w:t>
      </w:r>
      <w:proofErr w:type="spellStart"/>
      <w:r w:rsidRPr="00CF7AA5">
        <w:rPr>
          <w:lang w:val="en-GB"/>
        </w:rPr>
        <w:t>върху</w:t>
      </w:r>
      <w:proofErr w:type="spellEnd"/>
      <w:r w:rsidRPr="00CF7AA5">
        <w:rPr>
          <w:lang w:val="en-GB"/>
        </w:rPr>
        <w:t xml:space="preserve"> </w:t>
      </w:r>
      <w:proofErr w:type="spellStart"/>
      <w:r w:rsidRPr="00CF7AA5">
        <w:rPr>
          <w:lang w:val="en-GB"/>
        </w:rPr>
        <w:t>доходността</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водещ</w:t>
      </w:r>
      <w:proofErr w:type="spellEnd"/>
      <w:r w:rsidRPr="00CF7AA5">
        <w:rPr>
          <w:lang w:val="en-GB"/>
        </w:rPr>
        <w:t xml:space="preserve"> </w:t>
      </w:r>
      <w:proofErr w:type="spellStart"/>
      <w:r w:rsidRPr="00CF7AA5">
        <w:rPr>
          <w:lang w:val="en-GB"/>
        </w:rPr>
        <w:t>криптоактив</w:t>
      </w:r>
      <w:proofErr w:type="spellEnd"/>
      <w:r w:rsidRPr="00CF7AA5">
        <w:rPr>
          <w:lang w:val="en-GB"/>
        </w:rPr>
        <w:t xml:space="preserve"> – </w:t>
      </w:r>
      <w:proofErr w:type="spellStart"/>
      <w:r w:rsidRPr="00CF7AA5">
        <w:rPr>
          <w:lang w:val="en-GB"/>
        </w:rPr>
        <w:t>биткойн</w:t>
      </w:r>
      <w:proofErr w:type="spellEnd"/>
      <w:r w:rsidRPr="00CF7AA5">
        <w:rPr>
          <w:lang w:val="en-GB"/>
        </w:rPr>
        <w:t xml:space="preserve">. </w:t>
      </w:r>
      <w:proofErr w:type="spellStart"/>
      <w:r w:rsidRPr="00CF7AA5">
        <w:rPr>
          <w:lang w:val="en-GB"/>
        </w:rPr>
        <w:t>Фокусът</w:t>
      </w:r>
      <w:proofErr w:type="spellEnd"/>
      <w:r w:rsidRPr="00CF7AA5">
        <w:rPr>
          <w:lang w:val="en-GB"/>
        </w:rPr>
        <w:t xml:space="preserve"> е </w:t>
      </w:r>
      <w:proofErr w:type="spellStart"/>
      <w:r w:rsidRPr="00CF7AA5">
        <w:rPr>
          <w:lang w:val="en-GB"/>
        </w:rPr>
        <w:t>поставен</w:t>
      </w:r>
      <w:proofErr w:type="spellEnd"/>
      <w:r w:rsidRPr="00CF7AA5">
        <w:rPr>
          <w:lang w:val="en-GB"/>
        </w:rPr>
        <w:t xml:space="preserve"> </w:t>
      </w:r>
      <w:proofErr w:type="spellStart"/>
      <w:r w:rsidRPr="00CF7AA5">
        <w:rPr>
          <w:lang w:val="en-GB"/>
        </w:rPr>
        <w:t>върху</w:t>
      </w:r>
      <w:proofErr w:type="spellEnd"/>
      <w:r w:rsidRPr="00CF7AA5">
        <w:rPr>
          <w:lang w:val="en-GB"/>
        </w:rPr>
        <w:t xml:space="preserve"> </w:t>
      </w:r>
      <w:proofErr w:type="spellStart"/>
      <w:r w:rsidRPr="00CF7AA5">
        <w:rPr>
          <w:lang w:val="en-GB"/>
        </w:rPr>
        <w:t>количественото</w:t>
      </w:r>
      <w:proofErr w:type="spellEnd"/>
      <w:r w:rsidRPr="00CF7AA5">
        <w:rPr>
          <w:lang w:val="en-GB"/>
        </w:rPr>
        <w:t xml:space="preserve"> </w:t>
      </w:r>
      <w:proofErr w:type="spellStart"/>
      <w:r w:rsidRPr="00CF7AA5">
        <w:rPr>
          <w:lang w:val="en-GB"/>
        </w:rPr>
        <w:t>измерване</w:t>
      </w:r>
      <w:proofErr w:type="spellEnd"/>
      <w:r w:rsidRPr="00CF7AA5">
        <w:rPr>
          <w:lang w:val="en-GB"/>
        </w:rPr>
        <w:t xml:space="preserve"> и </w:t>
      </w:r>
      <w:proofErr w:type="spellStart"/>
      <w:r w:rsidRPr="00CF7AA5">
        <w:rPr>
          <w:lang w:val="en-GB"/>
        </w:rPr>
        <w:t>икономическата</w:t>
      </w:r>
      <w:proofErr w:type="spellEnd"/>
      <w:r w:rsidRPr="00CF7AA5">
        <w:rPr>
          <w:lang w:val="en-GB"/>
        </w:rPr>
        <w:t xml:space="preserve"> </w:t>
      </w:r>
      <w:proofErr w:type="spellStart"/>
      <w:r w:rsidRPr="00CF7AA5">
        <w:rPr>
          <w:lang w:val="en-GB"/>
        </w:rPr>
        <w:t>интерпретация</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зависимостите</w:t>
      </w:r>
      <w:proofErr w:type="spellEnd"/>
      <w:r w:rsidRPr="00CF7AA5">
        <w:rPr>
          <w:lang w:val="en-GB"/>
        </w:rPr>
        <w:t xml:space="preserve"> </w:t>
      </w:r>
      <w:proofErr w:type="spellStart"/>
      <w:r w:rsidRPr="00CF7AA5">
        <w:rPr>
          <w:lang w:val="en-GB"/>
        </w:rPr>
        <w:t>между</w:t>
      </w:r>
      <w:proofErr w:type="spellEnd"/>
      <w:r w:rsidRPr="00CF7AA5">
        <w:rPr>
          <w:lang w:val="en-GB"/>
        </w:rPr>
        <w:t xml:space="preserve"> </w:t>
      </w:r>
      <w:proofErr w:type="spellStart"/>
      <w:r w:rsidRPr="00CF7AA5">
        <w:rPr>
          <w:lang w:val="en-GB"/>
        </w:rPr>
        <w:t>макроикономическата</w:t>
      </w:r>
      <w:proofErr w:type="spellEnd"/>
      <w:r w:rsidRPr="00CF7AA5">
        <w:rPr>
          <w:lang w:val="en-GB"/>
        </w:rPr>
        <w:t xml:space="preserve"> </w:t>
      </w:r>
      <w:proofErr w:type="spellStart"/>
      <w:r w:rsidRPr="00CF7AA5">
        <w:rPr>
          <w:lang w:val="en-GB"/>
        </w:rPr>
        <w:t>среда</w:t>
      </w:r>
      <w:proofErr w:type="spellEnd"/>
      <w:r w:rsidRPr="00CF7AA5">
        <w:rPr>
          <w:lang w:val="en-GB"/>
        </w:rPr>
        <w:t xml:space="preserve"> и </w:t>
      </w:r>
      <w:proofErr w:type="spellStart"/>
      <w:r w:rsidRPr="00CF7AA5">
        <w:rPr>
          <w:lang w:val="en-GB"/>
        </w:rPr>
        <w:t>динамиката</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криптопазара</w:t>
      </w:r>
      <w:proofErr w:type="spellEnd"/>
      <w:r w:rsidRPr="00CF7AA5">
        <w:rPr>
          <w:lang w:val="en-GB"/>
        </w:rPr>
        <w:t>.</w:t>
      </w:r>
    </w:p>
    <w:p w14:paraId="4ADE7513" w14:textId="77777777" w:rsidR="00CF7AA5" w:rsidRPr="00CF7AA5" w:rsidRDefault="00CF7AA5" w:rsidP="00CF7AA5">
      <w:pPr>
        <w:spacing w:line="360" w:lineRule="auto"/>
        <w:ind w:firstLine="709"/>
        <w:jc w:val="both"/>
        <w:rPr>
          <w:lang w:val="en-GB"/>
        </w:rPr>
      </w:pPr>
      <w:proofErr w:type="spellStart"/>
      <w:r w:rsidRPr="00CF7AA5">
        <w:rPr>
          <w:lang w:val="en-GB"/>
        </w:rPr>
        <w:t>Основната</w:t>
      </w:r>
      <w:proofErr w:type="spellEnd"/>
      <w:r w:rsidRPr="00CF7AA5">
        <w:rPr>
          <w:lang w:val="en-GB"/>
        </w:rPr>
        <w:t xml:space="preserve"> </w:t>
      </w:r>
      <w:proofErr w:type="spellStart"/>
      <w:r w:rsidRPr="00CF7AA5">
        <w:rPr>
          <w:lang w:val="en-GB"/>
        </w:rPr>
        <w:t>цел</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изследването</w:t>
      </w:r>
      <w:proofErr w:type="spellEnd"/>
      <w:r w:rsidRPr="00CF7AA5">
        <w:rPr>
          <w:lang w:val="en-GB"/>
        </w:rPr>
        <w:t xml:space="preserve"> е </w:t>
      </w:r>
      <w:proofErr w:type="spellStart"/>
      <w:r w:rsidRPr="00CF7AA5">
        <w:rPr>
          <w:lang w:val="en-GB"/>
        </w:rPr>
        <w:t>да</w:t>
      </w:r>
      <w:proofErr w:type="spellEnd"/>
      <w:r w:rsidRPr="00CF7AA5">
        <w:rPr>
          <w:lang w:val="en-GB"/>
        </w:rPr>
        <w:t xml:space="preserve"> </w:t>
      </w:r>
      <w:proofErr w:type="spellStart"/>
      <w:r w:rsidRPr="00CF7AA5">
        <w:rPr>
          <w:lang w:val="en-GB"/>
        </w:rPr>
        <w:t>се</w:t>
      </w:r>
      <w:proofErr w:type="spellEnd"/>
      <w:r w:rsidRPr="00CF7AA5">
        <w:rPr>
          <w:lang w:val="en-GB"/>
        </w:rPr>
        <w:t xml:space="preserve"> </w:t>
      </w:r>
      <w:proofErr w:type="spellStart"/>
      <w:r w:rsidRPr="00CF7AA5">
        <w:rPr>
          <w:lang w:val="en-GB"/>
        </w:rPr>
        <w:t>анализира</w:t>
      </w:r>
      <w:proofErr w:type="spellEnd"/>
      <w:r w:rsidRPr="00CF7AA5">
        <w:rPr>
          <w:lang w:val="en-GB"/>
        </w:rPr>
        <w:t xml:space="preserve"> и </w:t>
      </w:r>
      <w:proofErr w:type="spellStart"/>
      <w:r w:rsidRPr="00CF7AA5">
        <w:rPr>
          <w:lang w:val="en-GB"/>
        </w:rPr>
        <w:t>оцени</w:t>
      </w:r>
      <w:proofErr w:type="spellEnd"/>
      <w:r w:rsidRPr="00CF7AA5">
        <w:rPr>
          <w:lang w:val="en-GB"/>
        </w:rPr>
        <w:t xml:space="preserve"> </w:t>
      </w:r>
      <w:proofErr w:type="spellStart"/>
      <w:r w:rsidRPr="00CF7AA5">
        <w:rPr>
          <w:lang w:val="en-GB"/>
        </w:rPr>
        <w:t>влиянието</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ключови</w:t>
      </w:r>
      <w:proofErr w:type="spellEnd"/>
      <w:r w:rsidRPr="00CF7AA5">
        <w:rPr>
          <w:lang w:val="en-GB"/>
        </w:rPr>
        <w:t xml:space="preserve"> </w:t>
      </w:r>
      <w:proofErr w:type="spellStart"/>
      <w:r w:rsidRPr="00CF7AA5">
        <w:rPr>
          <w:lang w:val="en-GB"/>
        </w:rPr>
        <w:t>макроикономически</w:t>
      </w:r>
      <w:proofErr w:type="spellEnd"/>
      <w:r w:rsidRPr="00CF7AA5">
        <w:rPr>
          <w:lang w:val="en-GB"/>
        </w:rPr>
        <w:t xml:space="preserve"> </w:t>
      </w:r>
      <w:proofErr w:type="spellStart"/>
      <w:r w:rsidRPr="00CF7AA5">
        <w:rPr>
          <w:lang w:val="en-GB"/>
        </w:rPr>
        <w:t>фактори</w:t>
      </w:r>
      <w:proofErr w:type="spellEnd"/>
      <w:r w:rsidRPr="00CF7AA5">
        <w:rPr>
          <w:lang w:val="en-GB"/>
        </w:rPr>
        <w:t xml:space="preserve"> </w:t>
      </w:r>
      <w:proofErr w:type="spellStart"/>
      <w:r w:rsidRPr="00CF7AA5">
        <w:rPr>
          <w:lang w:val="en-GB"/>
        </w:rPr>
        <w:t>върху</w:t>
      </w:r>
      <w:proofErr w:type="spellEnd"/>
      <w:r w:rsidRPr="00CF7AA5">
        <w:rPr>
          <w:lang w:val="en-GB"/>
        </w:rPr>
        <w:t xml:space="preserve"> </w:t>
      </w:r>
      <w:proofErr w:type="spellStart"/>
      <w:r w:rsidRPr="00CF7AA5">
        <w:rPr>
          <w:lang w:val="en-GB"/>
        </w:rPr>
        <w:t>доходността</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биткойн</w:t>
      </w:r>
      <w:proofErr w:type="spellEnd"/>
      <w:r w:rsidRPr="00CF7AA5">
        <w:rPr>
          <w:lang w:val="en-GB"/>
        </w:rPr>
        <w:t xml:space="preserve"> </w:t>
      </w:r>
      <w:proofErr w:type="spellStart"/>
      <w:r w:rsidRPr="00CF7AA5">
        <w:rPr>
          <w:lang w:val="en-GB"/>
        </w:rPr>
        <w:t>за</w:t>
      </w:r>
      <w:proofErr w:type="spellEnd"/>
      <w:r w:rsidRPr="00CF7AA5">
        <w:rPr>
          <w:lang w:val="en-GB"/>
        </w:rPr>
        <w:t xml:space="preserve"> </w:t>
      </w:r>
      <w:proofErr w:type="spellStart"/>
      <w:r w:rsidRPr="00CF7AA5">
        <w:rPr>
          <w:lang w:val="en-GB"/>
        </w:rPr>
        <w:t>периода</w:t>
      </w:r>
      <w:proofErr w:type="spellEnd"/>
      <w:r w:rsidRPr="00CF7AA5">
        <w:rPr>
          <w:lang w:val="en-GB"/>
        </w:rPr>
        <w:t xml:space="preserve"> 2020–2024 г., </w:t>
      </w:r>
      <w:proofErr w:type="spellStart"/>
      <w:r w:rsidRPr="00CF7AA5">
        <w:rPr>
          <w:lang w:val="en-GB"/>
        </w:rPr>
        <w:t>като</w:t>
      </w:r>
      <w:proofErr w:type="spellEnd"/>
      <w:r w:rsidRPr="00CF7AA5">
        <w:rPr>
          <w:lang w:val="en-GB"/>
        </w:rPr>
        <w:t xml:space="preserve"> </w:t>
      </w:r>
      <w:proofErr w:type="spellStart"/>
      <w:r w:rsidRPr="00CF7AA5">
        <w:rPr>
          <w:lang w:val="en-GB"/>
        </w:rPr>
        <w:t>се</w:t>
      </w:r>
      <w:proofErr w:type="spellEnd"/>
      <w:r w:rsidRPr="00CF7AA5">
        <w:rPr>
          <w:lang w:val="en-GB"/>
        </w:rPr>
        <w:t xml:space="preserve"> </w:t>
      </w:r>
      <w:proofErr w:type="spellStart"/>
      <w:r w:rsidRPr="00CF7AA5">
        <w:rPr>
          <w:lang w:val="en-GB"/>
        </w:rPr>
        <w:t>установят</w:t>
      </w:r>
      <w:proofErr w:type="spellEnd"/>
      <w:r w:rsidRPr="00CF7AA5">
        <w:rPr>
          <w:lang w:val="en-GB"/>
        </w:rPr>
        <w:t xml:space="preserve"> </w:t>
      </w:r>
      <w:proofErr w:type="spellStart"/>
      <w:r w:rsidRPr="00CF7AA5">
        <w:rPr>
          <w:lang w:val="en-GB"/>
        </w:rPr>
        <w:t>степента</w:t>
      </w:r>
      <w:proofErr w:type="spellEnd"/>
      <w:r w:rsidRPr="00CF7AA5">
        <w:rPr>
          <w:lang w:val="en-GB"/>
        </w:rPr>
        <w:t xml:space="preserve">, </w:t>
      </w:r>
      <w:proofErr w:type="spellStart"/>
      <w:r w:rsidRPr="00CF7AA5">
        <w:rPr>
          <w:lang w:val="en-GB"/>
        </w:rPr>
        <w:t>посоката</w:t>
      </w:r>
      <w:proofErr w:type="spellEnd"/>
      <w:r w:rsidRPr="00CF7AA5">
        <w:rPr>
          <w:lang w:val="en-GB"/>
        </w:rPr>
        <w:t xml:space="preserve"> и </w:t>
      </w:r>
      <w:proofErr w:type="spellStart"/>
      <w:r w:rsidRPr="00CF7AA5">
        <w:rPr>
          <w:lang w:val="en-GB"/>
        </w:rPr>
        <w:t>значимостта</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тези</w:t>
      </w:r>
      <w:proofErr w:type="spellEnd"/>
      <w:r w:rsidRPr="00CF7AA5">
        <w:rPr>
          <w:lang w:val="en-GB"/>
        </w:rPr>
        <w:t xml:space="preserve"> </w:t>
      </w:r>
      <w:proofErr w:type="spellStart"/>
      <w:r w:rsidRPr="00CF7AA5">
        <w:rPr>
          <w:lang w:val="en-GB"/>
        </w:rPr>
        <w:t>зависимости</w:t>
      </w:r>
      <w:proofErr w:type="spellEnd"/>
      <w:r w:rsidRPr="00CF7AA5">
        <w:rPr>
          <w:lang w:val="en-GB"/>
        </w:rPr>
        <w:t xml:space="preserve">. </w:t>
      </w:r>
      <w:proofErr w:type="spellStart"/>
      <w:r w:rsidRPr="00CF7AA5">
        <w:rPr>
          <w:lang w:val="en-GB"/>
        </w:rPr>
        <w:t>За</w:t>
      </w:r>
      <w:proofErr w:type="spellEnd"/>
      <w:r w:rsidRPr="00CF7AA5">
        <w:rPr>
          <w:lang w:val="en-GB"/>
        </w:rPr>
        <w:t xml:space="preserve"> </w:t>
      </w:r>
      <w:proofErr w:type="spellStart"/>
      <w:r w:rsidRPr="00CF7AA5">
        <w:rPr>
          <w:lang w:val="en-GB"/>
        </w:rPr>
        <w:t>постигането</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тази</w:t>
      </w:r>
      <w:proofErr w:type="spellEnd"/>
      <w:r w:rsidRPr="00CF7AA5">
        <w:rPr>
          <w:lang w:val="en-GB"/>
        </w:rPr>
        <w:t xml:space="preserve"> </w:t>
      </w:r>
      <w:proofErr w:type="spellStart"/>
      <w:r w:rsidRPr="00CF7AA5">
        <w:rPr>
          <w:lang w:val="en-GB"/>
        </w:rPr>
        <w:t>цел</w:t>
      </w:r>
      <w:proofErr w:type="spellEnd"/>
      <w:r w:rsidRPr="00CF7AA5">
        <w:rPr>
          <w:lang w:val="en-GB"/>
        </w:rPr>
        <w:t xml:space="preserve"> </w:t>
      </w:r>
      <w:proofErr w:type="spellStart"/>
      <w:r w:rsidRPr="00CF7AA5">
        <w:rPr>
          <w:lang w:val="en-GB"/>
        </w:rPr>
        <w:t>са</w:t>
      </w:r>
      <w:proofErr w:type="spellEnd"/>
      <w:r w:rsidRPr="00CF7AA5">
        <w:rPr>
          <w:lang w:val="en-GB"/>
        </w:rPr>
        <w:t xml:space="preserve"> </w:t>
      </w:r>
      <w:proofErr w:type="spellStart"/>
      <w:r w:rsidRPr="00CF7AA5">
        <w:rPr>
          <w:lang w:val="en-GB"/>
        </w:rPr>
        <w:t>формулирани</w:t>
      </w:r>
      <w:proofErr w:type="spellEnd"/>
      <w:r w:rsidRPr="00CF7AA5">
        <w:rPr>
          <w:lang w:val="en-GB"/>
        </w:rPr>
        <w:t xml:space="preserve"> </w:t>
      </w:r>
      <w:proofErr w:type="spellStart"/>
      <w:r w:rsidRPr="00CF7AA5">
        <w:rPr>
          <w:lang w:val="en-GB"/>
        </w:rPr>
        <w:t>следните</w:t>
      </w:r>
      <w:proofErr w:type="spellEnd"/>
      <w:r w:rsidRPr="00CF7AA5">
        <w:rPr>
          <w:lang w:val="en-GB"/>
        </w:rPr>
        <w:t xml:space="preserve"> </w:t>
      </w:r>
      <w:proofErr w:type="spellStart"/>
      <w:r w:rsidRPr="00CF7AA5">
        <w:rPr>
          <w:lang w:val="en-GB"/>
        </w:rPr>
        <w:t>изследователски</w:t>
      </w:r>
      <w:proofErr w:type="spellEnd"/>
      <w:r w:rsidRPr="00CF7AA5">
        <w:rPr>
          <w:lang w:val="en-GB"/>
        </w:rPr>
        <w:t xml:space="preserve"> </w:t>
      </w:r>
      <w:proofErr w:type="spellStart"/>
      <w:r w:rsidRPr="00CF7AA5">
        <w:rPr>
          <w:lang w:val="en-GB"/>
        </w:rPr>
        <w:t>задачи</w:t>
      </w:r>
      <w:proofErr w:type="spellEnd"/>
      <w:r w:rsidRPr="00CF7AA5">
        <w:rPr>
          <w:lang w:val="en-GB"/>
        </w:rPr>
        <w:t>:</w:t>
      </w:r>
    </w:p>
    <w:p w14:paraId="533E47E5" w14:textId="77777777" w:rsidR="00CF7AA5" w:rsidRPr="00CF7AA5" w:rsidRDefault="00CF7AA5" w:rsidP="00CF7AA5">
      <w:pPr>
        <w:numPr>
          <w:ilvl w:val="0"/>
          <w:numId w:val="37"/>
        </w:numPr>
        <w:spacing w:line="360" w:lineRule="auto"/>
        <w:jc w:val="both"/>
        <w:rPr>
          <w:lang w:val="en-GB"/>
        </w:rPr>
      </w:pPr>
      <w:proofErr w:type="spellStart"/>
      <w:r w:rsidRPr="00CF7AA5">
        <w:rPr>
          <w:lang w:val="en-GB"/>
        </w:rPr>
        <w:t>Да</w:t>
      </w:r>
      <w:proofErr w:type="spellEnd"/>
      <w:r w:rsidRPr="00CF7AA5">
        <w:rPr>
          <w:lang w:val="en-GB"/>
        </w:rPr>
        <w:t xml:space="preserve"> </w:t>
      </w:r>
      <w:proofErr w:type="spellStart"/>
      <w:r w:rsidRPr="00CF7AA5">
        <w:rPr>
          <w:lang w:val="en-GB"/>
        </w:rPr>
        <w:t>се</w:t>
      </w:r>
      <w:proofErr w:type="spellEnd"/>
      <w:r w:rsidRPr="00CF7AA5">
        <w:rPr>
          <w:lang w:val="en-GB"/>
        </w:rPr>
        <w:t xml:space="preserve"> </w:t>
      </w:r>
      <w:proofErr w:type="spellStart"/>
      <w:r w:rsidRPr="00CF7AA5">
        <w:rPr>
          <w:lang w:val="en-GB"/>
        </w:rPr>
        <w:t>изяснят</w:t>
      </w:r>
      <w:proofErr w:type="spellEnd"/>
      <w:r w:rsidRPr="00CF7AA5">
        <w:rPr>
          <w:lang w:val="en-GB"/>
        </w:rPr>
        <w:t xml:space="preserve"> </w:t>
      </w:r>
      <w:proofErr w:type="spellStart"/>
      <w:r w:rsidRPr="00CF7AA5">
        <w:rPr>
          <w:lang w:val="en-GB"/>
        </w:rPr>
        <w:t>теоретичните</w:t>
      </w:r>
      <w:proofErr w:type="spellEnd"/>
      <w:r w:rsidRPr="00CF7AA5">
        <w:rPr>
          <w:lang w:val="en-GB"/>
        </w:rPr>
        <w:t xml:space="preserve"> </w:t>
      </w:r>
      <w:proofErr w:type="spellStart"/>
      <w:r w:rsidRPr="00CF7AA5">
        <w:rPr>
          <w:lang w:val="en-GB"/>
        </w:rPr>
        <w:t>основи</w:t>
      </w:r>
      <w:proofErr w:type="spellEnd"/>
      <w:r w:rsidRPr="00CF7AA5">
        <w:rPr>
          <w:lang w:val="en-GB"/>
        </w:rPr>
        <w:t xml:space="preserve"> и </w:t>
      </w:r>
      <w:proofErr w:type="spellStart"/>
      <w:r w:rsidRPr="00CF7AA5">
        <w:rPr>
          <w:lang w:val="en-GB"/>
        </w:rPr>
        <w:t>механизмите</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въздействие</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макроикономическите</w:t>
      </w:r>
      <w:proofErr w:type="spellEnd"/>
      <w:r w:rsidRPr="00CF7AA5">
        <w:rPr>
          <w:lang w:val="en-GB"/>
        </w:rPr>
        <w:t xml:space="preserve"> </w:t>
      </w:r>
      <w:proofErr w:type="spellStart"/>
      <w:r w:rsidRPr="00CF7AA5">
        <w:rPr>
          <w:lang w:val="en-GB"/>
        </w:rPr>
        <w:t>индикатори</w:t>
      </w:r>
      <w:proofErr w:type="spellEnd"/>
      <w:r w:rsidRPr="00CF7AA5">
        <w:rPr>
          <w:lang w:val="en-GB"/>
        </w:rPr>
        <w:t xml:space="preserve"> </w:t>
      </w:r>
      <w:proofErr w:type="spellStart"/>
      <w:r w:rsidRPr="00CF7AA5">
        <w:rPr>
          <w:lang w:val="en-GB"/>
        </w:rPr>
        <w:t>върху</w:t>
      </w:r>
      <w:proofErr w:type="spellEnd"/>
      <w:r w:rsidRPr="00CF7AA5">
        <w:rPr>
          <w:lang w:val="en-GB"/>
        </w:rPr>
        <w:t xml:space="preserve"> </w:t>
      </w:r>
      <w:proofErr w:type="spellStart"/>
      <w:r w:rsidRPr="00CF7AA5">
        <w:rPr>
          <w:lang w:val="en-GB"/>
        </w:rPr>
        <w:t>финансовите</w:t>
      </w:r>
      <w:proofErr w:type="spellEnd"/>
      <w:r w:rsidRPr="00CF7AA5">
        <w:rPr>
          <w:lang w:val="en-GB"/>
        </w:rPr>
        <w:t xml:space="preserve"> </w:t>
      </w:r>
      <w:proofErr w:type="spellStart"/>
      <w:r w:rsidRPr="00CF7AA5">
        <w:rPr>
          <w:lang w:val="en-GB"/>
        </w:rPr>
        <w:t>пазари</w:t>
      </w:r>
      <w:proofErr w:type="spellEnd"/>
      <w:r w:rsidRPr="00CF7AA5">
        <w:rPr>
          <w:lang w:val="en-GB"/>
        </w:rPr>
        <w:t xml:space="preserve"> и </w:t>
      </w:r>
      <w:proofErr w:type="spellStart"/>
      <w:r w:rsidRPr="00CF7AA5">
        <w:rPr>
          <w:lang w:val="en-GB"/>
        </w:rPr>
        <w:t>криптоактивите</w:t>
      </w:r>
      <w:proofErr w:type="spellEnd"/>
      <w:r w:rsidRPr="00CF7AA5">
        <w:rPr>
          <w:lang w:val="en-GB"/>
        </w:rPr>
        <w:t>.</w:t>
      </w:r>
    </w:p>
    <w:p w14:paraId="17590EE9" w14:textId="77777777" w:rsidR="00CF7AA5" w:rsidRPr="00CF7AA5" w:rsidRDefault="00CF7AA5" w:rsidP="00CF7AA5">
      <w:pPr>
        <w:numPr>
          <w:ilvl w:val="0"/>
          <w:numId w:val="37"/>
        </w:numPr>
        <w:spacing w:line="360" w:lineRule="auto"/>
        <w:jc w:val="both"/>
        <w:rPr>
          <w:lang w:val="en-GB"/>
        </w:rPr>
      </w:pPr>
      <w:proofErr w:type="spellStart"/>
      <w:r w:rsidRPr="00CF7AA5">
        <w:rPr>
          <w:lang w:val="en-GB"/>
        </w:rPr>
        <w:t>Да</w:t>
      </w:r>
      <w:proofErr w:type="spellEnd"/>
      <w:r w:rsidRPr="00CF7AA5">
        <w:rPr>
          <w:lang w:val="en-GB"/>
        </w:rPr>
        <w:t xml:space="preserve"> </w:t>
      </w:r>
      <w:proofErr w:type="spellStart"/>
      <w:r w:rsidRPr="00CF7AA5">
        <w:rPr>
          <w:lang w:val="en-GB"/>
        </w:rPr>
        <w:t>се</w:t>
      </w:r>
      <w:proofErr w:type="spellEnd"/>
      <w:r w:rsidRPr="00CF7AA5">
        <w:rPr>
          <w:lang w:val="en-GB"/>
        </w:rPr>
        <w:t xml:space="preserve"> </w:t>
      </w:r>
      <w:proofErr w:type="spellStart"/>
      <w:r w:rsidRPr="00CF7AA5">
        <w:rPr>
          <w:lang w:val="en-GB"/>
        </w:rPr>
        <w:t>извърши</w:t>
      </w:r>
      <w:proofErr w:type="spellEnd"/>
      <w:r w:rsidRPr="00CF7AA5">
        <w:rPr>
          <w:lang w:val="en-GB"/>
        </w:rPr>
        <w:t xml:space="preserve"> </w:t>
      </w:r>
      <w:proofErr w:type="spellStart"/>
      <w:r w:rsidRPr="00CF7AA5">
        <w:rPr>
          <w:lang w:val="en-GB"/>
        </w:rPr>
        <w:t>емпиричен</w:t>
      </w:r>
      <w:proofErr w:type="spellEnd"/>
      <w:r w:rsidRPr="00CF7AA5">
        <w:rPr>
          <w:lang w:val="en-GB"/>
        </w:rPr>
        <w:t xml:space="preserve"> </w:t>
      </w:r>
      <w:proofErr w:type="spellStart"/>
      <w:r w:rsidRPr="00CF7AA5">
        <w:rPr>
          <w:lang w:val="en-GB"/>
        </w:rPr>
        <w:t>анализ</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връзката</w:t>
      </w:r>
      <w:proofErr w:type="spellEnd"/>
      <w:r w:rsidRPr="00CF7AA5">
        <w:rPr>
          <w:lang w:val="en-GB"/>
        </w:rPr>
        <w:t xml:space="preserve"> </w:t>
      </w:r>
      <w:proofErr w:type="spellStart"/>
      <w:r w:rsidRPr="00CF7AA5">
        <w:rPr>
          <w:lang w:val="en-GB"/>
        </w:rPr>
        <w:t>между</w:t>
      </w:r>
      <w:proofErr w:type="spellEnd"/>
      <w:r w:rsidRPr="00CF7AA5">
        <w:rPr>
          <w:lang w:val="en-GB"/>
        </w:rPr>
        <w:t xml:space="preserve"> </w:t>
      </w:r>
      <w:proofErr w:type="spellStart"/>
      <w:r w:rsidRPr="00CF7AA5">
        <w:rPr>
          <w:lang w:val="en-GB"/>
        </w:rPr>
        <w:t>инфлацията</w:t>
      </w:r>
      <w:proofErr w:type="spellEnd"/>
      <w:r w:rsidRPr="00CF7AA5">
        <w:rPr>
          <w:lang w:val="en-GB"/>
        </w:rPr>
        <w:t xml:space="preserve">, </w:t>
      </w:r>
      <w:proofErr w:type="spellStart"/>
      <w:r w:rsidRPr="00CF7AA5">
        <w:rPr>
          <w:lang w:val="en-GB"/>
        </w:rPr>
        <w:t>лихвените</w:t>
      </w:r>
      <w:proofErr w:type="spellEnd"/>
      <w:r w:rsidRPr="00CF7AA5">
        <w:rPr>
          <w:lang w:val="en-GB"/>
        </w:rPr>
        <w:t xml:space="preserve"> </w:t>
      </w:r>
      <w:proofErr w:type="spellStart"/>
      <w:r w:rsidRPr="00CF7AA5">
        <w:rPr>
          <w:lang w:val="en-GB"/>
        </w:rPr>
        <w:t>проценти</w:t>
      </w:r>
      <w:proofErr w:type="spellEnd"/>
      <w:r w:rsidRPr="00CF7AA5">
        <w:rPr>
          <w:lang w:val="en-GB"/>
        </w:rPr>
        <w:t xml:space="preserve">, </w:t>
      </w:r>
      <w:proofErr w:type="spellStart"/>
      <w:r w:rsidRPr="00CF7AA5">
        <w:rPr>
          <w:lang w:val="en-GB"/>
        </w:rPr>
        <w:t>индекса</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щатския</w:t>
      </w:r>
      <w:proofErr w:type="spellEnd"/>
      <w:r w:rsidRPr="00CF7AA5">
        <w:rPr>
          <w:lang w:val="en-GB"/>
        </w:rPr>
        <w:t xml:space="preserve"> </w:t>
      </w:r>
      <w:proofErr w:type="spellStart"/>
      <w:r w:rsidRPr="00CF7AA5">
        <w:rPr>
          <w:lang w:val="en-GB"/>
        </w:rPr>
        <w:t>долар</w:t>
      </w:r>
      <w:proofErr w:type="spellEnd"/>
      <w:r w:rsidRPr="00CF7AA5">
        <w:rPr>
          <w:lang w:val="en-GB"/>
        </w:rPr>
        <w:t xml:space="preserve"> и </w:t>
      </w:r>
      <w:proofErr w:type="spellStart"/>
      <w:r w:rsidRPr="00CF7AA5">
        <w:rPr>
          <w:lang w:val="en-GB"/>
        </w:rPr>
        <w:t>доходността</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биткойн</w:t>
      </w:r>
      <w:proofErr w:type="spellEnd"/>
      <w:r w:rsidRPr="00CF7AA5">
        <w:rPr>
          <w:lang w:val="en-GB"/>
        </w:rPr>
        <w:t>.</w:t>
      </w:r>
    </w:p>
    <w:p w14:paraId="4E9DB7A4" w14:textId="77777777" w:rsidR="00CF7AA5" w:rsidRPr="00CF7AA5" w:rsidRDefault="00CF7AA5" w:rsidP="00CF7AA5">
      <w:pPr>
        <w:numPr>
          <w:ilvl w:val="0"/>
          <w:numId w:val="37"/>
        </w:numPr>
        <w:spacing w:line="360" w:lineRule="auto"/>
        <w:jc w:val="both"/>
        <w:rPr>
          <w:lang w:val="en-GB"/>
        </w:rPr>
      </w:pPr>
      <w:proofErr w:type="spellStart"/>
      <w:r w:rsidRPr="00CF7AA5">
        <w:rPr>
          <w:lang w:val="en-GB"/>
        </w:rPr>
        <w:t>Да</w:t>
      </w:r>
      <w:proofErr w:type="spellEnd"/>
      <w:r w:rsidRPr="00CF7AA5">
        <w:rPr>
          <w:lang w:val="en-GB"/>
        </w:rPr>
        <w:t xml:space="preserve"> </w:t>
      </w:r>
      <w:proofErr w:type="spellStart"/>
      <w:r w:rsidRPr="00CF7AA5">
        <w:rPr>
          <w:lang w:val="en-GB"/>
        </w:rPr>
        <w:t>се</w:t>
      </w:r>
      <w:proofErr w:type="spellEnd"/>
      <w:r w:rsidRPr="00CF7AA5">
        <w:rPr>
          <w:lang w:val="en-GB"/>
        </w:rPr>
        <w:t xml:space="preserve"> </w:t>
      </w:r>
      <w:proofErr w:type="spellStart"/>
      <w:r w:rsidRPr="00CF7AA5">
        <w:rPr>
          <w:lang w:val="en-GB"/>
        </w:rPr>
        <w:t>оцени</w:t>
      </w:r>
      <w:proofErr w:type="spellEnd"/>
      <w:r w:rsidRPr="00CF7AA5">
        <w:rPr>
          <w:lang w:val="en-GB"/>
        </w:rPr>
        <w:t xml:space="preserve"> </w:t>
      </w:r>
      <w:proofErr w:type="spellStart"/>
      <w:r w:rsidRPr="00CF7AA5">
        <w:rPr>
          <w:lang w:val="en-GB"/>
        </w:rPr>
        <w:t>степента</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влияние</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отделните</w:t>
      </w:r>
      <w:proofErr w:type="spellEnd"/>
      <w:r w:rsidRPr="00CF7AA5">
        <w:rPr>
          <w:lang w:val="en-GB"/>
        </w:rPr>
        <w:t xml:space="preserve"> </w:t>
      </w:r>
      <w:proofErr w:type="spellStart"/>
      <w:r w:rsidRPr="00CF7AA5">
        <w:rPr>
          <w:lang w:val="en-GB"/>
        </w:rPr>
        <w:t>фактори</w:t>
      </w:r>
      <w:proofErr w:type="spellEnd"/>
      <w:r w:rsidRPr="00CF7AA5">
        <w:rPr>
          <w:lang w:val="en-GB"/>
        </w:rPr>
        <w:t xml:space="preserve"> </w:t>
      </w:r>
      <w:proofErr w:type="spellStart"/>
      <w:r w:rsidRPr="00CF7AA5">
        <w:rPr>
          <w:lang w:val="en-GB"/>
        </w:rPr>
        <w:t>чрез</w:t>
      </w:r>
      <w:proofErr w:type="spellEnd"/>
      <w:r w:rsidRPr="00CF7AA5">
        <w:rPr>
          <w:lang w:val="en-GB"/>
        </w:rPr>
        <w:t xml:space="preserve"> </w:t>
      </w:r>
      <w:proofErr w:type="spellStart"/>
      <w:r w:rsidRPr="00CF7AA5">
        <w:rPr>
          <w:lang w:val="en-GB"/>
        </w:rPr>
        <w:t>корелационен</w:t>
      </w:r>
      <w:proofErr w:type="spellEnd"/>
      <w:r w:rsidRPr="00CF7AA5">
        <w:rPr>
          <w:lang w:val="en-GB"/>
        </w:rPr>
        <w:t xml:space="preserve"> и </w:t>
      </w:r>
      <w:proofErr w:type="spellStart"/>
      <w:r w:rsidRPr="00CF7AA5">
        <w:rPr>
          <w:lang w:val="en-GB"/>
        </w:rPr>
        <w:t>регресионен</w:t>
      </w:r>
      <w:proofErr w:type="spellEnd"/>
      <w:r w:rsidRPr="00CF7AA5">
        <w:rPr>
          <w:lang w:val="en-GB"/>
        </w:rPr>
        <w:t xml:space="preserve"> </w:t>
      </w:r>
      <w:proofErr w:type="spellStart"/>
      <w:r w:rsidRPr="00CF7AA5">
        <w:rPr>
          <w:lang w:val="en-GB"/>
        </w:rPr>
        <w:t>анализ</w:t>
      </w:r>
      <w:proofErr w:type="spellEnd"/>
      <w:r w:rsidRPr="00CF7AA5">
        <w:rPr>
          <w:lang w:val="en-GB"/>
        </w:rPr>
        <w:t xml:space="preserve"> и </w:t>
      </w:r>
      <w:proofErr w:type="spellStart"/>
      <w:r w:rsidRPr="00CF7AA5">
        <w:rPr>
          <w:lang w:val="en-GB"/>
        </w:rPr>
        <w:t>да</w:t>
      </w:r>
      <w:proofErr w:type="spellEnd"/>
      <w:r w:rsidRPr="00CF7AA5">
        <w:rPr>
          <w:lang w:val="en-GB"/>
        </w:rPr>
        <w:t xml:space="preserve"> </w:t>
      </w:r>
      <w:proofErr w:type="spellStart"/>
      <w:r w:rsidRPr="00CF7AA5">
        <w:rPr>
          <w:lang w:val="en-GB"/>
        </w:rPr>
        <w:t>се</w:t>
      </w:r>
      <w:proofErr w:type="spellEnd"/>
      <w:r w:rsidRPr="00CF7AA5">
        <w:rPr>
          <w:lang w:val="en-GB"/>
        </w:rPr>
        <w:t xml:space="preserve"> </w:t>
      </w:r>
      <w:proofErr w:type="spellStart"/>
      <w:r w:rsidRPr="00CF7AA5">
        <w:rPr>
          <w:lang w:val="en-GB"/>
        </w:rPr>
        <w:t>формулират</w:t>
      </w:r>
      <w:proofErr w:type="spellEnd"/>
      <w:r w:rsidRPr="00CF7AA5">
        <w:rPr>
          <w:lang w:val="en-GB"/>
        </w:rPr>
        <w:t xml:space="preserve"> </w:t>
      </w:r>
      <w:proofErr w:type="spellStart"/>
      <w:r w:rsidRPr="00CF7AA5">
        <w:rPr>
          <w:lang w:val="en-GB"/>
        </w:rPr>
        <w:t>изводи</w:t>
      </w:r>
      <w:proofErr w:type="spellEnd"/>
      <w:r w:rsidRPr="00CF7AA5">
        <w:rPr>
          <w:lang w:val="en-GB"/>
        </w:rPr>
        <w:t xml:space="preserve"> </w:t>
      </w:r>
      <w:proofErr w:type="spellStart"/>
      <w:r w:rsidRPr="00CF7AA5">
        <w:rPr>
          <w:lang w:val="en-GB"/>
        </w:rPr>
        <w:t>за</w:t>
      </w:r>
      <w:proofErr w:type="spellEnd"/>
      <w:r w:rsidRPr="00CF7AA5">
        <w:rPr>
          <w:lang w:val="en-GB"/>
        </w:rPr>
        <w:t xml:space="preserve"> </w:t>
      </w:r>
      <w:proofErr w:type="spellStart"/>
      <w:r w:rsidRPr="00CF7AA5">
        <w:rPr>
          <w:lang w:val="en-GB"/>
        </w:rPr>
        <w:t>поведението</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криптоактивите</w:t>
      </w:r>
      <w:proofErr w:type="spellEnd"/>
      <w:r w:rsidRPr="00CF7AA5">
        <w:rPr>
          <w:lang w:val="en-GB"/>
        </w:rPr>
        <w:t xml:space="preserve"> в </w:t>
      </w:r>
      <w:proofErr w:type="spellStart"/>
      <w:r w:rsidRPr="00CF7AA5">
        <w:rPr>
          <w:lang w:val="en-GB"/>
        </w:rPr>
        <w:t>различни</w:t>
      </w:r>
      <w:proofErr w:type="spellEnd"/>
      <w:r w:rsidRPr="00CF7AA5">
        <w:rPr>
          <w:lang w:val="en-GB"/>
        </w:rPr>
        <w:t xml:space="preserve"> </w:t>
      </w:r>
      <w:proofErr w:type="spellStart"/>
      <w:r w:rsidRPr="00CF7AA5">
        <w:rPr>
          <w:lang w:val="en-GB"/>
        </w:rPr>
        <w:t>макроикономически</w:t>
      </w:r>
      <w:proofErr w:type="spellEnd"/>
      <w:r w:rsidRPr="00CF7AA5">
        <w:rPr>
          <w:lang w:val="en-GB"/>
        </w:rPr>
        <w:t xml:space="preserve"> </w:t>
      </w:r>
      <w:proofErr w:type="spellStart"/>
      <w:r w:rsidRPr="00CF7AA5">
        <w:rPr>
          <w:lang w:val="en-GB"/>
        </w:rPr>
        <w:t>условия</w:t>
      </w:r>
      <w:proofErr w:type="spellEnd"/>
      <w:r w:rsidRPr="00CF7AA5">
        <w:rPr>
          <w:lang w:val="en-GB"/>
        </w:rPr>
        <w:t>.</w:t>
      </w:r>
    </w:p>
    <w:p w14:paraId="139AF4DC" w14:textId="77777777" w:rsidR="00CF7AA5" w:rsidRPr="00CF7AA5" w:rsidRDefault="00CF7AA5" w:rsidP="00CF7AA5">
      <w:pPr>
        <w:spacing w:line="360" w:lineRule="auto"/>
        <w:ind w:firstLine="709"/>
        <w:jc w:val="both"/>
        <w:rPr>
          <w:lang w:val="en-GB"/>
        </w:rPr>
      </w:pPr>
      <w:proofErr w:type="spellStart"/>
      <w:r w:rsidRPr="00CF7AA5">
        <w:rPr>
          <w:lang w:val="en-GB"/>
        </w:rPr>
        <w:t>Изследователската</w:t>
      </w:r>
      <w:proofErr w:type="spellEnd"/>
      <w:r w:rsidRPr="00CF7AA5">
        <w:rPr>
          <w:lang w:val="en-GB"/>
        </w:rPr>
        <w:t xml:space="preserve"> </w:t>
      </w:r>
      <w:proofErr w:type="spellStart"/>
      <w:r w:rsidRPr="00CF7AA5">
        <w:rPr>
          <w:lang w:val="en-GB"/>
        </w:rPr>
        <w:t>теза</w:t>
      </w:r>
      <w:proofErr w:type="spellEnd"/>
      <w:r w:rsidRPr="00CF7AA5">
        <w:rPr>
          <w:lang w:val="en-GB"/>
        </w:rPr>
        <w:t xml:space="preserve">, </w:t>
      </w:r>
      <w:proofErr w:type="spellStart"/>
      <w:r w:rsidRPr="00CF7AA5">
        <w:rPr>
          <w:lang w:val="en-GB"/>
        </w:rPr>
        <w:t>която</w:t>
      </w:r>
      <w:proofErr w:type="spellEnd"/>
      <w:r w:rsidRPr="00CF7AA5">
        <w:rPr>
          <w:lang w:val="en-GB"/>
        </w:rPr>
        <w:t xml:space="preserve"> </w:t>
      </w:r>
      <w:proofErr w:type="spellStart"/>
      <w:r w:rsidRPr="00CF7AA5">
        <w:rPr>
          <w:lang w:val="en-GB"/>
        </w:rPr>
        <w:t>се</w:t>
      </w:r>
      <w:proofErr w:type="spellEnd"/>
      <w:r w:rsidRPr="00CF7AA5">
        <w:rPr>
          <w:lang w:val="en-GB"/>
        </w:rPr>
        <w:t xml:space="preserve"> </w:t>
      </w:r>
      <w:proofErr w:type="spellStart"/>
      <w:r w:rsidRPr="00CF7AA5">
        <w:rPr>
          <w:lang w:val="en-GB"/>
        </w:rPr>
        <w:t>защитава</w:t>
      </w:r>
      <w:proofErr w:type="spellEnd"/>
      <w:r w:rsidRPr="00CF7AA5">
        <w:rPr>
          <w:lang w:val="en-GB"/>
        </w:rPr>
        <w:t xml:space="preserve"> в </w:t>
      </w:r>
      <w:proofErr w:type="spellStart"/>
      <w:r w:rsidRPr="00CF7AA5">
        <w:rPr>
          <w:lang w:val="en-GB"/>
        </w:rPr>
        <w:t>настоящата</w:t>
      </w:r>
      <w:proofErr w:type="spellEnd"/>
      <w:r w:rsidRPr="00CF7AA5">
        <w:rPr>
          <w:lang w:val="en-GB"/>
        </w:rPr>
        <w:t xml:space="preserve"> </w:t>
      </w:r>
      <w:proofErr w:type="spellStart"/>
      <w:r w:rsidRPr="00CF7AA5">
        <w:rPr>
          <w:lang w:val="en-GB"/>
        </w:rPr>
        <w:t>работа</w:t>
      </w:r>
      <w:proofErr w:type="spellEnd"/>
      <w:r w:rsidRPr="00CF7AA5">
        <w:rPr>
          <w:lang w:val="en-GB"/>
        </w:rPr>
        <w:t xml:space="preserve">, е, </w:t>
      </w:r>
      <w:proofErr w:type="spellStart"/>
      <w:r w:rsidRPr="00CF7AA5">
        <w:rPr>
          <w:lang w:val="en-GB"/>
        </w:rPr>
        <w:t>че</w:t>
      </w:r>
      <w:proofErr w:type="spellEnd"/>
      <w:r w:rsidRPr="00CF7AA5">
        <w:rPr>
          <w:lang w:val="en-GB"/>
        </w:rPr>
        <w:t xml:space="preserve"> </w:t>
      </w:r>
      <w:proofErr w:type="spellStart"/>
      <w:r w:rsidRPr="00CF7AA5">
        <w:rPr>
          <w:lang w:val="en-GB"/>
        </w:rPr>
        <w:t>доходността</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биткойн</w:t>
      </w:r>
      <w:proofErr w:type="spellEnd"/>
      <w:r w:rsidRPr="00CF7AA5">
        <w:rPr>
          <w:lang w:val="en-GB"/>
        </w:rPr>
        <w:t xml:space="preserve"> е в </w:t>
      </w:r>
      <w:proofErr w:type="spellStart"/>
      <w:r w:rsidRPr="00CF7AA5">
        <w:rPr>
          <w:lang w:val="en-GB"/>
        </w:rPr>
        <w:t>значителна</w:t>
      </w:r>
      <w:proofErr w:type="spellEnd"/>
      <w:r w:rsidRPr="00CF7AA5">
        <w:rPr>
          <w:lang w:val="en-GB"/>
        </w:rPr>
        <w:t xml:space="preserve"> </w:t>
      </w:r>
      <w:proofErr w:type="spellStart"/>
      <w:r w:rsidRPr="00CF7AA5">
        <w:rPr>
          <w:lang w:val="en-GB"/>
        </w:rPr>
        <w:t>степен</w:t>
      </w:r>
      <w:proofErr w:type="spellEnd"/>
      <w:r w:rsidRPr="00CF7AA5">
        <w:rPr>
          <w:lang w:val="en-GB"/>
        </w:rPr>
        <w:t xml:space="preserve"> </w:t>
      </w:r>
      <w:proofErr w:type="spellStart"/>
      <w:r w:rsidRPr="00CF7AA5">
        <w:rPr>
          <w:lang w:val="en-GB"/>
        </w:rPr>
        <w:t>зависима</w:t>
      </w:r>
      <w:proofErr w:type="spellEnd"/>
      <w:r w:rsidRPr="00CF7AA5">
        <w:rPr>
          <w:lang w:val="en-GB"/>
        </w:rPr>
        <w:t xml:space="preserve"> </w:t>
      </w:r>
      <w:proofErr w:type="spellStart"/>
      <w:r w:rsidRPr="00CF7AA5">
        <w:rPr>
          <w:lang w:val="en-GB"/>
        </w:rPr>
        <w:t>от</w:t>
      </w:r>
      <w:proofErr w:type="spellEnd"/>
      <w:r w:rsidRPr="00CF7AA5">
        <w:rPr>
          <w:lang w:val="en-GB"/>
        </w:rPr>
        <w:t xml:space="preserve"> </w:t>
      </w:r>
      <w:proofErr w:type="spellStart"/>
      <w:r w:rsidRPr="00CF7AA5">
        <w:rPr>
          <w:lang w:val="en-GB"/>
        </w:rPr>
        <w:t>макроикономическата</w:t>
      </w:r>
      <w:proofErr w:type="spellEnd"/>
      <w:r w:rsidRPr="00CF7AA5">
        <w:rPr>
          <w:lang w:val="en-GB"/>
        </w:rPr>
        <w:t xml:space="preserve"> </w:t>
      </w:r>
      <w:proofErr w:type="spellStart"/>
      <w:r w:rsidRPr="00CF7AA5">
        <w:rPr>
          <w:lang w:val="en-GB"/>
        </w:rPr>
        <w:t>среда</w:t>
      </w:r>
      <w:proofErr w:type="spellEnd"/>
      <w:r w:rsidRPr="00CF7AA5">
        <w:rPr>
          <w:lang w:val="en-GB"/>
        </w:rPr>
        <w:t xml:space="preserve">, </w:t>
      </w:r>
      <w:proofErr w:type="spellStart"/>
      <w:r w:rsidRPr="00CF7AA5">
        <w:rPr>
          <w:lang w:val="en-GB"/>
        </w:rPr>
        <w:t>като</w:t>
      </w:r>
      <w:proofErr w:type="spellEnd"/>
      <w:r w:rsidRPr="00CF7AA5">
        <w:rPr>
          <w:lang w:val="en-GB"/>
        </w:rPr>
        <w:t xml:space="preserve"> </w:t>
      </w:r>
      <w:proofErr w:type="spellStart"/>
      <w:r w:rsidRPr="00CF7AA5">
        <w:rPr>
          <w:lang w:val="en-GB"/>
        </w:rPr>
        <w:t>най-силно</w:t>
      </w:r>
      <w:proofErr w:type="spellEnd"/>
      <w:r w:rsidRPr="00CF7AA5">
        <w:rPr>
          <w:lang w:val="en-GB"/>
        </w:rPr>
        <w:t xml:space="preserve"> </w:t>
      </w:r>
      <w:proofErr w:type="spellStart"/>
      <w:r w:rsidRPr="00CF7AA5">
        <w:rPr>
          <w:lang w:val="en-GB"/>
        </w:rPr>
        <w:lastRenderedPageBreak/>
        <w:t>влияние</w:t>
      </w:r>
      <w:proofErr w:type="spellEnd"/>
      <w:r w:rsidRPr="00CF7AA5">
        <w:rPr>
          <w:lang w:val="en-GB"/>
        </w:rPr>
        <w:t xml:space="preserve"> </w:t>
      </w:r>
      <w:proofErr w:type="spellStart"/>
      <w:r w:rsidRPr="00CF7AA5">
        <w:rPr>
          <w:lang w:val="en-GB"/>
        </w:rPr>
        <w:t>оказват</w:t>
      </w:r>
      <w:proofErr w:type="spellEnd"/>
      <w:r w:rsidRPr="00CF7AA5">
        <w:rPr>
          <w:lang w:val="en-GB"/>
        </w:rPr>
        <w:t xml:space="preserve"> </w:t>
      </w:r>
      <w:proofErr w:type="spellStart"/>
      <w:r w:rsidRPr="00CF7AA5">
        <w:rPr>
          <w:lang w:val="en-GB"/>
        </w:rPr>
        <w:t>лихвените</w:t>
      </w:r>
      <w:proofErr w:type="spellEnd"/>
      <w:r w:rsidRPr="00CF7AA5">
        <w:rPr>
          <w:lang w:val="en-GB"/>
        </w:rPr>
        <w:t xml:space="preserve"> </w:t>
      </w:r>
      <w:proofErr w:type="spellStart"/>
      <w:r w:rsidRPr="00CF7AA5">
        <w:rPr>
          <w:lang w:val="en-GB"/>
        </w:rPr>
        <w:t>проценти</w:t>
      </w:r>
      <w:proofErr w:type="spellEnd"/>
      <w:r w:rsidRPr="00CF7AA5">
        <w:rPr>
          <w:lang w:val="en-GB"/>
        </w:rPr>
        <w:t xml:space="preserve"> и </w:t>
      </w:r>
      <w:proofErr w:type="spellStart"/>
      <w:r w:rsidRPr="00CF7AA5">
        <w:rPr>
          <w:lang w:val="en-GB"/>
        </w:rPr>
        <w:t>валутният</w:t>
      </w:r>
      <w:proofErr w:type="spellEnd"/>
      <w:r w:rsidRPr="00CF7AA5">
        <w:rPr>
          <w:lang w:val="en-GB"/>
        </w:rPr>
        <w:t xml:space="preserve"> </w:t>
      </w:r>
      <w:proofErr w:type="spellStart"/>
      <w:r w:rsidRPr="00CF7AA5">
        <w:rPr>
          <w:lang w:val="en-GB"/>
        </w:rPr>
        <w:t>фактор</w:t>
      </w:r>
      <w:proofErr w:type="spellEnd"/>
      <w:r w:rsidRPr="00CF7AA5">
        <w:rPr>
          <w:lang w:val="en-GB"/>
        </w:rPr>
        <w:t xml:space="preserve">, </w:t>
      </w:r>
      <w:proofErr w:type="spellStart"/>
      <w:r w:rsidRPr="00CF7AA5">
        <w:rPr>
          <w:lang w:val="en-GB"/>
        </w:rPr>
        <w:t>докато</w:t>
      </w:r>
      <w:proofErr w:type="spellEnd"/>
      <w:r w:rsidRPr="00CF7AA5">
        <w:rPr>
          <w:lang w:val="en-GB"/>
        </w:rPr>
        <w:t xml:space="preserve"> </w:t>
      </w:r>
      <w:proofErr w:type="spellStart"/>
      <w:r w:rsidRPr="00CF7AA5">
        <w:rPr>
          <w:lang w:val="en-GB"/>
        </w:rPr>
        <w:t>инфлацията</w:t>
      </w:r>
      <w:proofErr w:type="spellEnd"/>
      <w:r w:rsidRPr="00CF7AA5">
        <w:rPr>
          <w:lang w:val="en-GB"/>
        </w:rPr>
        <w:t xml:space="preserve"> </w:t>
      </w:r>
      <w:proofErr w:type="spellStart"/>
      <w:r w:rsidRPr="00CF7AA5">
        <w:rPr>
          <w:lang w:val="en-GB"/>
        </w:rPr>
        <w:t>въздейства</w:t>
      </w:r>
      <w:proofErr w:type="spellEnd"/>
      <w:r w:rsidRPr="00CF7AA5">
        <w:rPr>
          <w:lang w:val="en-GB"/>
        </w:rPr>
        <w:t xml:space="preserve"> </w:t>
      </w:r>
      <w:proofErr w:type="spellStart"/>
      <w:r w:rsidRPr="00CF7AA5">
        <w:rPr>
          <w:lang w:val="en-GB"/>
        </w:rPr>
        <w:t>предимно</w:t>
      </w:r>
      <w:proofErr w:type="spellEnd"/>
      <w:r w:rsidRPr="00CF7AA5">
        <w:rPr>
          <w:lang w:val="en-GB"/>
        </w:rPr>
        <w:t xml:space="preserve"> </w:t>
      </w:r>
      <w:proofErr w:type="spellStart"/>
      <w:r w:rsidRPr="00CF7AA5">
        <w:rPr>
          <w:lang w:val="en-GB"/>
        </w:rPr>
        <w:t>косвено</w:t>
      </w:r>
      <w:proofErr w:type="spellEnd"/>
      <w:r w:rsidRPr="00CF7AA5">
        <w:rPr>
          <w:lang w:val="en-GB"/>
        </w:rPr>
        <w:t xml:space="preserve"> </w:t>
      </w:r>
      <w:proofErr w:type="spellStart"/>
      <w:r w:rsidRPr="00CF7AA5">
        <w:rPr>
          <w:lang w:val="en-GB"/>
        </w:rPr>
        <w:t>чрез</w:t>
      </w:r>
      <w:proofErr w:type="spellEnd"/>
      <w:r w:rsidRPr="00CF7AA5">
        <w:rPr>
          <w:lang w:val="en-GB"/>
        </w:rPr>
        <w:t xml:space="preserve"> </w:t>
      </w:r>
      <w:proofErr w:type="spellStart"/>
      <w:r w:rsidRPr="00CF7AA5">
        <w:rPr>
          <w:lang w:val="en-GB"/>
        </w:rPr>
        <w:t>механизмите</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паричната</w:t>
      </w:r>
      <w:proofErr w:type="spellEnd"/>
      <w:r w:rsidRPr="00CF7AA5">
        <w:rPr>
          <w:lang w:val="en-GB"/>
        </w:rPr>
        <w:t xml:space="preserve"> </w:t>
      </w:r>
      <w:proofErr w:type="spellStart"/>
      <w:r w:rsidRPr="00CF7AA5">
        <w:rPr>
          <w:lang w:val="en-GB"/>
        </w:rPr>
        <w:t>политика</w:t>
      </w:r>
      <w:proofErr w:type="spellEnd"/>
      <w:r w:rsidRPr="00CF7AA5">
        <w:rPr>
          <w:lang w:val="en-GB"/>
        </w:rPr>
        <w:t xml:space="preserve"> и </w:t>
      </w:r>
      <w:proofErr w:type="spellStart"/>
      <w:r w:rsidRPr="00CF7AA5">
        <w:rPr>
          <w:lang w:val="en-GB"/>
        </w:rPr>
        <w:t>ликвидността</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финансовите</w:t>
      </w:r>
      <w:proofErr w:type="spellEnd"/>
      <w:r w:rsidRPr="00CF7AA5">
        <w:rPr>
          <w:lang w:val="en-GB"/>
        </w:rPr>
        <w:t xml:space="preserve"> </w:t>
      </w:r>
      <w:proofErr w:type="spellStart"/>
      <w:r w:rsidRPr="00CF7AA5">
        <w:rPr>
          <w:lang w:val="en-GB"/>
        </w:rPr>
        <w:t>пазари</w:t>
      </w:r>
      <w:proofErr w:type="spellEnd"/>
      <w:r w:rsidRPr="00CF7AA5">
        <w:rPr>
          <w:lang w:val="en-GB"/>
        </w:rPr>
        <w:t>.</w:t>
      </w:r>
    </w:p>
    <w:p w14:paraId="3AB04D13" w14:textId="27DA13C8" w:rsidR="00CF7AA5" w:rsidRPr="00CF7AA5" w:rsidRDefault="00CF7AA5" w:rsidP="00CF7AA5">
      <w:pPr>
        <w:spacing w:line="360" w:lineRule="auto"/>
        <w:ind w:firstLine="709"/>
        <w:jc w:val="both"/>
        <w:rPr>
          <w:lang w:val="en-GB"/>
        </w:rPr>
      </w:pPr>
      <w:proofErr w:type="spellStart"/>
      <w:r w:rsidRPr="00CF7AA5">
        <w:rPr>
          <w:lang w:val="en-GB"/>
        </w:rPr>
        <w:t>За</w:t>
      </w:r>
      <w:proofErr w:type="spellEnd"/>
      <w:r w:rsidRPr="00CF7AA5">
        <w:rPr>
          <w:lang w:val="en-GB"/>
        </w:rPr>
        <w:t xml:space="preserve"> </w:t>
      </w:r>
      <w:proofErr w:type="spellStart"/>
      <w:r w:rsidRPr="00CF7AA5">
        <w:rPr>
          <w:lang w:val="en-GB"/>
        </w:rPr>
        <w:t>реализиране</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поставената</w:t>
      </w:r>
      <w:proofErr w:type="spellEnd"/>
      <w:r w:rsidRPr="00CF7AA5">
        <w:rPr>
          <w:lang w:val="en-GB"/>
        </w:rPr>
        <w:t xml:space="preserve"> </w:t>
      </w:r>
      <w:proofErr w:type="spellStart"/>
      <w:r w:rsidRPr="00CF7AA5">
        <w:rPr>
          <w:lang w:val="en-GB"/>
        </w:rPr>
        <w:t>цел</w:t>
      </w:r>
      <w:proofErr w:type="spellEnd"/>
      <w:r w:rsidRPr="00CF7AA5">
        <w:rPr>
          <w:lang w:val="en-GB"/>
        </w:rPr>
        <w:t xml:space="preserve"> и </w:t>
      </w:r>
      <w:proofErr w:type="spellStart"/>
      <w:r w:rsidRPr="00CF7AA5">
        <w:rPr>
          <w:lang w:val="en-GB"/>
        </w:rPr>
        <w:t>задачи</w:t>
      </w:r>
      <w:proofErr w:type="spellEnd"/>
      <w:r w:rsidRPr="00CF7AA5">
        <w:rPr>
          <w:lang w:val="en-GB"/>
        </w:rPr>
        <w:t xml:space="preserve"> </w:t>
      </w:r>
      <w:proofErr w:type="spellStart"/>
      <w:r w:rsidRPr="00CF7AA5">
        <w:rPr>
          <w:lang w:val="en-GB"/>
        </w:rPr>
        <w:t>са</w:t>
      </w:r>
      <w:proofErr w:type="spellEnd"/>
      <w:r w:rsidRPr="00CF7AA5">
        <w:rPr>
          <w:lang w:val="en-GB"/>
        </w:rPr>
        <w:t xml:space="preserve"> </w:t>
      </w:r>
      <w:proofErr w:type="spellStart"/>
      <w:r w:rsidRPr="00CF7AA5">
        <w:rPr>
          <w:lang w:val="en-GB"/>
        </w:rPr>
        <w:t>използвани</w:t>
      </w:r>
      <w:proofErr w:type="spellEnd"/>
      <w:r w:rsidRPr="00CF7AA5">
        <w:rPr>
          <w:lang w:val="en-GB"/>
        </w:rPr>
        <w:t xml:space="preserve"> </w:t>
      </w:r>
      <w:proofErr w:type="spellStart"/>
      <w:r w:rsidRPr="00CF7AA5">
        <w:rPr>
          <w:lang w:val="en-GB"/>
        </w:rPr>
        <w:t>комплекс</w:t>
      </w:r>
      <w:proofErr w:type="spellEnd"/>
      <w:r w:rsidRPr="00CF7AA5">
        <w:rPr>
          <w:lang w:val="en-GB"/>
        </w:rPr>
        <w:t xml:space="preserve"> </w:t>
      </w:r>
      <w:proofErr w:type="spellStart"/>
      <w:r w:rsidRPr="00CF7AA5">
        <w:rPr>
          <w:lang w:val="en-GB"/>
        </w:rPr>
        <w:t>от</w:t>
      </w:r>
      <w:proofErr w:type="spellEnd"/>
      <w:r w:rsidRPr="00CF7AA5">
        <w:rPr>
          <w:lang w:val="en-GB"/>
        </w:rPr>
        <w:t xml:space="preserve"> </w:t>
      </w:r>
      <w:proofErr w:type="spellStart"/>
      <w:r w:rsidRPr="00CF7AA5">
        <w:rPr>
          <w:lang w:val="en-GB"/>
        </w:rPr>
        <w:t>научни</w:t>
      </w:r>
      <w:proofErr w:type="spellEnd"/>
      <w:r w:rsidRPr="00CF7AA5">
        <w:rPr>
          <w:lang w:val="en-GB"/>
        </w:rPr>
        <w:t xml:space="preserve"> </w:t>
      </w:r>
      <w:proofErr w:type="spellStart"/>
      <w:r w:rsidRPr="00CF7AA5">
        <w:rPr>
          <w:lang w:val="en-GB"/>
        </w:rPr>
        <w:t>методи</w:t>
      </w:r>
      <w:proofErr w:type="spellEnd"/>
      <w:r w:rsidRPr="00CF7AA5">
        <w:rPr>
          <w:lang w:val="en-GB"/>
        </w:rPr>
        <w:t xml:space="preserve"> и </w:t>
      </w:r>
      <w:proofErr w:type="spellStart"/>
      <w:r w:rsidRPr="00CF7AA5">
        <w:rPr>
          <w:lang w:val="en-GB"/>
        </w:rPr>
        <w:t>инструменти</w:t>
      </w:r>
      <w:proofErr w:type="spellEnd"/>
      <w:r w:rsidRPr="00CF7AA5">
        <w:rPr>
          <w:lang w:val="en-GB"/>
        </w:rPr>
        <w:t xml:space="preserve">, </w:t>
      </w:r>
      <w:proofErr w:type="spellStart"/>
      <w:r w:rsidRPr="00CF7AA5">
        <w:rPr>
          <w:lang w:val="en-GB"/>
        </w:rPr>
        <w:t>включващи</w:t>
      </w:r>
      <w:proofErr w:type="spellEnd"/>
      <w:r w:rsidRPr="00CF7AA5">
        <w:rPr>
          <w:lang w:val="en-GB"/>
        </w:rPr>
        <w:t xml:space="preserve"> </w:t>
      </w:r>
      <w:proofErr w:type="spellStart"/>
      <w:r w:rsidRPr="00CF7AA5">
        <w:rPr>
          <w:lang w:val="en-GB"/>
        </w:rPr>
        <w:t>теоретичен</w:t>
      </w:r>
      <w:proofErr w:type="spellEnd"/>
      <w:r w:rsidRPr="00CF7AA5">
        <w:rPr>
          <w:lang w:val="en-GB"/>
        </w:rPr>
        <w:t xml:space="preserve"> </w:t>
      </w:r>
      <w:proofErr w:type="spellStart"/>
      <w:r w:rsidRPr="00CF7AA5">
        <w:rPr>
          <w:lang w:val="en-GB"/>
        </w:rPr>
        <w:t>анализ</w:t>
      </w:r>
      <w:proofErr w:type="spellEnd"/>
      <w:r w:rsidRPr="00CF7AA5">
        <w:rPr>
          <w:lang w:val="en-GB"/>
        </w:rPr>
        <w:t xml:space="preserve"> и </w:t>
      </w:r>
      <w:proofErr w:type="spellStart"/>
      <w:r w:rsidRPr="00CF7AA5">
        <w:rPr>
          <w:lang w:val="en-GB"/>
        </w:rPr>
        <w:t>синтез</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научна</w:t>
      </w:r>
      <w:proofErr w:type="spellEnd"/>
      <w:r w:rsidRPr="00CF7AA5">
        <w:rPr>
          <w:lang w:val="en-GB"/>
        </w:rPr>
        <w:t xml:space="preserve"> </w:t>
      </w:r>
      <w:proofErr w:type="spellStart"/>
      <w:r w:rsidRPr="00CF7AA5">
        <w:rPr>
          <w:lang w:val="en-GB"/>
        </w:rPr>
        <w:t>литература</w:t>
      </w:r>
      <w:proofErr w:type="spellEnd"/>
      <w:r w:rsidRPr="00CF7AA5">
        <w:rPr>
          <w:lang w:val="en-GB"/>
        </w:rPr>
        <w:t xml:space="preserve">, </w:t>
      </w:r>
      <w:proofErr w:type="spellStart"/>
      <w:r w:rsidRPr="00CF7AA5">
        <w:rPr>
          <w:lang w:val="en-GB"/>
        </w:rPr>
        <w:t>сравнителен</w:t>
      </w:r>
      <w:proofErr w:type="spellEnd"/>
      <w:r w:rsidRPr="00CF7AA5">
        <w:rPr>
          <w:lang w:val="en-GB"/>
        </w:rPr>
        <w:t xml:space="preserve"> и </w:t>
      </w:r>
      <w:proofErr w:type="spellStart"/>
      <w:r w:rsidRPr="00CF7AA5">
        <w:rPr>
          <w:lang w:val="en-GB"/>
        </w:rPr>
        <w:t>логически</w:t>
      </w:r>
      <w:proofErr w:type="spellEnd"/>
      <w:r w:rsidRPr="00CF7AA5">
        <w:rPr>
          <w:lang w:val="en-GB"/>
        </w:rPr>
        <w:t xml:space="preserve"> </w:t>
      </w:r>
      <w:proofErr w:type="spellStart"/>
      <w:r w:rsidRPr="00CF7AA5">
        <w:rPr>
          <w:lang w:val="en-GB"/>
        </w:rPr>
        <w:t>подход</w:t>
      </w:r>
      <w:proofErr w:type="spellEnd"/>
      <w:r w:rsidRPr="00CF7AA5">
        <w:rPr>
          <w:lang w:val="en-GB"/>
        </w:rPr>
        <w:t xml:space="preserve">, </w:t>
      </w:r>
      <w:proofErr w:type="spellStart"/>
      <w:r w:rsidRPr="00CF7AA5">
        <w:rPr>
          <w:lang w:val="en-GB"/>
        </w:rPr>
        <w:t>както</w:t>
      </w:r>
      <w:proofErr w:type="spellEnd"/>
      <w:r w:rsidRPr="00CF7AA5">
        <w:rPr>
          <w:lang w:val="en-GB"/>
        </w:rPr>
        <w:t xml:space="preserve"> и </w:t>
      </w:r>
      <w:proofErr w:type="spellStart"/>
      <w:r w:rsidRPr="00CF7AA5">
        <w:rPr>
          <w:lang w:val="en-GB"/>
        </w:rPr>
        <w:t>количествени</w:t>
      </w:r>
      <w:proofErr w:type="spellEnd"/>
      <w:r w:rsidRPr="00CF7AA5">
        <w:rPr>
          <w:lang w:val="en-GB"/>
        </w:rPr>
        <w:t xml:space="preserve"> </w:t>
      </w:r>
      <w:proofErr w:type="spellStart"/>
      <w:r w:rsidRPr="00CF7AA5">
        <w:rPr>
          <w:lang w:val="en-GB"/>
        </w:rPr>
        <w:t>методи</w:t>
      </w:r>
      <w:proofErr w:type="spellEnd"/>
      <w:r w:rsidRPr="00CF7AA5">
        <w:rPr>
          <w:lang w:val="en-GB"/>
        </w:rPr>
        <w:t xml:space="preserve"> </w:t>
      </w:r>
      <w:proofErr w:type="spellStart"/>
      <w:r w:rsidRPr="00CF7AA5">
        <w:rPr>
          <w:lang w:val="en-GB"/>
        </w:rPr>
        <w:t>като</w:t>
      </w:r>
      <w:proofErr w:type="spellEnd"/>
      <w:r w:rsidRPr="00CF7AA5">
        <w:rPr>
          <w:lang w:val="en-GB"/>
        </w:rPr>
        <w:t xml:space="preserve"> </w:t>
      </w:r>
      <w:proofErr w:type="spellStart"/>
      <w:r w:rsidRPr="00CF7AA5">
        <w:rPr>
          <w:lang w:val="en-GB"/>
        </w:rPr>
        <w:t>корелационен</w:t>
      </w:r>
      <w:proofErr w:type="spellEnd"/>
      <w:r w:rsidRPr="00CF7AA5">
        <w:rPr>
          <w:lang w:val="en-GB"/>
        </w:rPr>
        <w:t xml:space="preserve"> </w:t>
      </w:r>
      <w:proofErr w:type="spellStart"/>
      <w:r w:rsidRPr="00CF7AA5">
        <w:rPr>
          <w:lang w:val="en-GB"/>
        </w:rPr>
        <w:t>анализ</w:t>
      </w:r>
      <w:proofErr w:type="spellEnd"/>
      <w:r w:rsidRPr="00CF7AA5">
        <w:rPr>
          <w:lang w:val="en-GB"/>
        </w:rPr>
        <w:t xml:space="preserve"> и </w:t>
      </w:r>
      <w:proofErr w:type="spellStart"/>
      <w:r w:rsidRPr="00CF7AA5">
        <w:rPr>
          <w:lang w:val="en-GB"/>
        </w:rPr>
        <w:t>линеен</w:t>
      </w:r>
      <w:proofErr w:type="spellEnd"/>
      <w:r w:rsidRPr="00CF7AA5">
        <w:rPr>
          <w:lang w:val="en-GB"/>
        </w:rPr>
        <w:t xml:space="preserve"> </w:t>
      </w:r>
      <w:proofErr w:type="spellStart"/>
      <w:r w:rsidRPr="00CF7AA5">
        <w:rPr>
          <w:lang w:val="en-GB"/>
        </w:rPr>
        <w:t>регресионен</w:t>
      </w:r>
      <w:proofErr w:type="spellEnd"/>
      <w:r w:rsidRPr="00CF7AA5">
        <w:rPr>
          <w:lang w:val="en-GB"/>
        </w:rPr>
        <w:t xml:space="preserve"> </w:t>
      </w:r>
      <w:proofErr w:type="spellStart"/>
      <w:r w:rsidRPr="00CF7AA5">
        <w:rPr>
          <w:lang w:val="en-GB"/>
        </w:rPr>
        <w:t>модел</w:t>
      </w:r>
      <w:proofErr w:type="spellEnd"/>
      <w:r w:rsidRPr="00CF7AA5">
        <w:rPr>
          <w:lang w:val="en-GB"/>
        </w:rPr>
        <w:t xml:space="preserve">. </w:t>
      </w:r>
      <w:proofErr w:type="spellStart"/>
      <w:r w:rsidRPr="00CF7AA5">
        <w:rPr>
          <w:lang w:val="en-GB"/>
        </w:rPr>
        <w:t>Емпиричното</w:t>
      </w:r>
      <w:proofErr w:type="spellEnd"/>
      <w:r w:rsidRPr="00CF7AA5">
        <w:rPr>
          <w:lang w:val="en-GB"/>
        </w:rPr>
        <w:t xml:space="preserve"> </w:t>
      </w:r>
      <w:proofErr w:type="spellStart"/>
      <w:r w:rsidRPr="00CF7AA5">
        <w:rPr>
          <w:lang w:val="en-GB"/>
        </w:rPr>
        <w:t>изследване</w:t>
      </w:r>
      <w:proofErr w:type="spellEnd"/>
      <w:r w:rsidRPr="00CF7AA5">
        <w:rPr>
          <w:lang w:val="en-GB"/>
        </w:rPr>
        <w:t xml:space="preserve"> </w:t>
      </w:r>
      <w:proofErr w:type="spellStart"/>
      <w:r w:rsidRPr="00CF7AA5">
        <w:rPr>
          <w:lang w:val="en-GB"/>
        </w:rPr>
        <w:t>се</w:t>
      </w:r>
      <w:proofErr w:type="spellEnd"/>
      <w:r w:rsidRPr="00CF7AA5">
        <w:rPr>
          <w:lang w:val="en-GB"/>
        </w:rPr>
        <w:t xml:space="preserve"> </w:t>
      </w:r>
      <w:proofErr w:type="spellStart"/>
      <w:r w:rsidRPr="00CF7AA5">
        <w:rPr>
          <w:lang w:val="en-GB"/>
        </w:rPr>
        <w:t>базира</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статистически</w:t>
      </w:r>
      <w:proofErr w:type="spellEnd"/>
      <w:r w:rsidRPr="00CF7AA5">
        <w:rPr>
          <w:lang w:val="en-GB"/>
        </w:rPr>
        <w:t xml:space="preserve"> </w:t>
      </w:r>
      <w:proofErr w:type="spellStart"/>
      <w:r w:rsidRPr="00CF7AA5">
        <w:rPr>
          <w:lang w:val="en-GB"/>
        </w:rPr>
        <w:t>данни</w:t>
      </w:r>
      <w:proofErr w:type="spellEnd"/>
      <w:r w:rsidRPr="00CF7AA5">
        <w:rPr>
          <w:lang w:val="en-GB"/>
        </w:rPr>
        <w:t xml:space="preserve">, </w:t>
      </w:r>
      <w:proofErr w:type="spellStart"/>
      <w:r w:rsidRPr="00CF7AA5">
        <w:rPr>
          <w:lang w:val="en-GB"/>
        </w:rPr>
        <w:t>което</w:t>
      </w:r>
      <w:proofErr w:type="spellEnd"/>
      <w:r w:rsidRPr="00CF7AA5">
        <w:rPr>
          <w:lang w:val="en-GB"/>
        </w:rPr>
        <w:t xml:space="preserve"> </w:t>
      </w:r>
      <w:proofErr w:type="spellStart"/>
      <w:r w:rsidRPr="00CF7AA5">
        <w:rPr>
          <w:lang w:val="en-GB"/>
        </w:rPr>
        <w:t>позволява</w:t>
      </w:r>
      <w:proofErr w:type="spellEnd"/>
      <w:r w:rsidRPr="00CF7AA5">
        <w:rPr>
          <w:lang w:val="en-GB"/>
        </w:rPr>
        <w:t xml:space="preserve"> </w:t>
      </w:r>
      <w:proofErr w:type="spellStart"/>
      <w:r w:rsidRPr="00CF7AA5">
        <w:rPr>
          <w:lang w:val="en-GB"/>
        </w:rPr>
        <w:t>да</w:t>
      </w:r>
      <w:proofErr w:type="spellEnd"/>
      <w:r w:rsidRPr="00CF7AA5">
        <w:rPr>
          <w:lang w:val="en-GB"/>
        </w:rPr>
        <w:t xml:space="preserve"> </w:t>
      </w:r>
      <w:proofErr w:type="spellStart"/>
      <w:r w:rsidRPr="00CF7AA5">
        <w:rPr>
          <w:lang w:val="en-GB"/>
        </w:rPr>
        <w:t>се</w:t>
      </w:r>
      <w:proofErr w:type="spellEnd"/>
      <w:r w:rsidRPr="00CF7AA5">
        <w:rPr>
          <w:lang w:val="en-GB"/>
        </w:rPr>
        <w:t xml:space="preserve"> </w:t>
      </w:r>
      <w:proofErr w:type="spellStart"/>
      <w:r w:rsidRPr="00CF7AA5">
        <w:rPr>
          <w:lang w:val="en-GB"/>
        </w:rPr>
        <w:t>оцени</w:t>
      </w:r>
      <w:proofErr w:type="spellEnd"/>
      <w:r w:rsidRPr="00CF7AA5">
        <w:rPr>
          <w:lang w:val="en-GB"/>
        </w:rPr>
        <w:t xml:space="preserve"> </w:t>
      </w:r>
      <w:proofErr w:type="spellStart"/>
      <w:r w:rsidRPr="00CF7AA5">
        <w:rPr>
          <w:lang w:val="en-GB"/>
        </w:rPr>
        <w:t>силата</w:t>
      </w:r>
      <w:proofErr w:type="spellEnd"/>
      <w:r w:rsidRPr="00CF7AA5">
        <w:rPr>
          <w:lang w:val="en-GB"/>
        </w:rPr>
        <w:t xml:space="preserve"> и </w:t>
      </w:r>
      <w:proofErr w:type="spellStart"/>
      <w:r w:rsidRPr="00CF7AA5">
        <w:rPr>
          <w:lang w:val="en-GB"/>
        </w:rPr>
        <w:t>посоката</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връзките</w:t>
      </w:r>
      <w:proofErr w:type="spellEnd"/>
      <w:r w:rsidRPr="00CF7AA5">
        <w:rPr>
          <w:lang w:val="en-GB"/>
        </w:rPr>
        <w:t xml:space="preserve"> </w:t>
      </w:r>
      <w:proofErr w:type="spellStart"/>
      <w:r w:rsidRPr="00CF7AA5">
        <w:rPr>
          <w:lang w:val="en-GB"/>
        </w:rPr>
        <w:t>между</w:t>
      </w:r>
      <w:proofErr w:type="spellEnd"/>
      <w:r w:rsidRPr="00CF7AA5">
        <w:rPr>
          <w:lang w:val="en-GB"/>
        </w:rPr>
        <w:t xml:space="preserve"> </w:t>
      </w:r>
      <w:proofErr w:type="spellStart"/>
      <w:r w:rsidRPr="00CF7AA5">
        <w:rPr>
          <w:lang w:val="en-GB"/>
        </w:rPr>
        <w:t>разглежданите</w:t>
      </w:r>
      <w:proofErr w:type="spellEnd"/>
      <w:r w:rsidRPr="00CF7AA5">
        <w:rPr>
          <w:lang w:val="en-GB"/>
        </w:rPr>
        <w:t xml:space="preserve"> </w:t>
      </w:r>
      <w:proofErr w:type="spellStart"/>
      <w:r w:rsidRPr="00CF7AA5">
        <w:rPr>
          <w:lang w:val="en-GB"/>
        </w:rPr>
        <w:t>променливи</w:t>
      </w:r>
      <w:proofErr w:type="spellEnd"/>
      <w:r w:rsidRPr="00CF7AA5">
        <w:rPr>
          <w:lang w:val="en-GB"/>
        </w:rPr>
        <w:t>.</w:t>
      </w:r>
    </w:p>
    <w:p w14:paraId="1889B1BD" w14:textId="77777777" w:rsidR="00CF7AA5" w:rsidRPr="00CF7AA5" w:rsidRDefault="00CF7AA5" w:rsidP="00CF7AA5">
      <w:pPr>
        <w:spacing w:line="360" w:lineRule="auto"/>
        <w:ind w:firstLine="709"/>
        <w:jc w:val="both"/>
        <w:rPr>
          <w:lang w:val="en-GB"/>
        </w:rPr>
      </w:pPr>
      <w:proofErr w:type="spellStart"/>
      <w:r w:rsidRPr="00CF7AA5">
        <w:rPr>
          <w:lang w:val="en-GB"/>
        </w:rPr>
        <w:t>Обхватът</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изследването</w:t>
      </w:r>
      <w:proofErr w:type="spellEnd"/>
      <w:r w:rsidRPr="00CF7AA5">
        <w:rPr>
          <w:lang w:val="en-GB"/>
        </w:rPr>
        <w:t xml:space="preserve"> </w:t>
      </w:r>
      <w:proofErr w:type="spellStart"/>
      <w:r w:rsidRPr="00CF7AA5">
        <w:rPr>
          <w:lang w:val="en-GB"/>
        </w:rPr>
        <w:t>включва</w:t>
      </w:r>
      <w:proofErr w:type="spellEnd"/>
      <w:r w:rsidRPr="00CF7AA5">
        <w:rPr>
          <w:lang w:val="en-GB"/>
        </w:rPr>
        <w:t xml:space="preserve"> </w:t>
      </w:r>
      <w:proofErr w:type="spellStart"/>
      <w:r w:rsidRPr="00CF7AA5">
        <w:rPr>
          <w:lang w:val="en-GB"/>
        </w:rPr>
        <w:t>периода</w:t>
      </w:r>
      <w:proofErr w:type="spellEnd"/>
      <w:r w:rsidRPr="00CF7AA5">
        <w:rPr>
          <w:lang w:val="en-GB"/>
        </w:rPr>
        <w:t xml:space="preserve"> 2020–2024 г., </w:t>
      </w:r>
      <w:proofErr w:type="spellStart"/>
      <w:r w:rsidRPr="00CF7AA5">
        <w:rPr>
          <w:lang w:val="en-GB"/>
        </w:rPr>
        <w:t>който</w:t>
      </w:r>
      <w:proofErr w:type="spellEnd"/>
      <w:r w:rsidRPr="00CF7AA5">
        <w:rPr>
          <w:lang w:val="en-GB"/>
        </w:rPr>
        <w:t xml:space="preserve"> </w:t>
      </w:r>
      <w:proofErr w:type="spellStart"/>
      <w:r w:rsidRPr="00CF7AA5">
        <w:rPr>
          <w:lang w:val="en-GB"/>
        </w:rPr>
        <w:t>се</w:t>
      </w:r>
      <w:proofErr w:type="spellEnd"/>
      <w:r w:rsidRPr="00CF7AA5">
        <w:rPr>
          <w:lang w:val="en-GB"/>
        </w:rPr>
        <w:t xml:space="preserve"> </w:t>
      </w:r>
      <w:proofErr w:type="spellStart"/>
      <w:r w:rsidRPr="00CF7AA5">
        <w:rPr>
          <w:lang w:val="en-GB"/>
        </w:rPr>
        <w:t>характеризира</w:t>
      </w:r>
      <w:proofErr w:type="spellEnd"/>
      <w:r w:rsidRPr="00CF7AA5">
        <w:rPr>
          <w:lang w:val="en-GB"/>
        </w:rPr>
        <w:t xml:space="preserve"> с </w:t>
      </w:r>
      <w:proofErr w:type="spellStart"/>
      <w:r w:rsidRPr="00CF7AA5">
        <w:rPr>
          <w:lang w:val="en-GB"/>
        </w:rPr>
        <w:t>висока</w:t>
      </w:r>
      <w:proofErr w:type="spellEnd"/>
      <w:r w:rsidRPr="00CF7AA5">
        <w:rPr>
          <w:lang w:val="en-GB"/>
        </w:rPr>
        <w:t xml:space="preserve"> </w:t>
      </w:r>
      <w:proofErr w:type="spellStart"/>
      <w:r w:rsidRPr="00CF7AA5">
        <w:rPr>
          <w:lang w:val="en-GB"/>
        </w:rPr>
        <w:t>икономическа</w:t>
      </w:r>
      <w:proofErr w:type="spellEnd"/>
      <w:r w:rsidRPr="00CF7AA5">
        <w:rPr>
          <w:lang w:val="en-GB"/>
        </w:rPr>
        <w:t xml:space="preserve"> </w:t>
      </w:r>
      <w:proofErr w:type="spellStart"/>
      <w:r w:rsidRPr="00CF7AA5">
        <w:rPr>
          <w:lang w:val="en-GB"/>
        </w:rPr>
        <w:t>нестабилност</w:t>
      </w:r>
      <w:proofErr w:type="spellEnd"/>
      <w:r w:rsidRPr="00CF7AA5">
        <w:rPr>
          <w:lang w:val="en-GB"/>
        </w:rPr>
        <w:t xml:space="preserve">, </w:t>
      </w:r>
      <w:proofErr w:type="spellStart"/>
      <w:r w:rsidRPr="00CF7AA5">
        <w:rPr>
          <w:lang w:val="en-GB"/>
        </w:rPr>
        <w:t>породена</w:t>
      </w:r>
      <w:proofErr w:type="spellEnd"/>
      <w:r w:rsidRPr="00CF7AA5">
        <w:rPr>
          <w:lang w:val="en-GB"/>
        </w:rPr>
        <w:t xml:space="preserve"> </w:t>
      </w:r>
      <w:proofErr w:type="spellStart"/>
      <w:r w:rsidRPr="00CF7AA5">
        <w:rPr>
          <w:lang w:val="en-GB"/>
        </w:rPr>
        <w:t>от</w:t>
      </w:r>
      <w:proofErr w:type="spellEnd"/>
      <w:r w:rsidRPr="00CF7AA5">
        <w:rPr>
          <w:lang w:val="en-GB"/>
        </w:rPr>
        <w:t xml:space="preserve"> </w:t>
      </w:r>
      <w:proofErr w:type="spellStart"/>
      <w:r w:rsidRPr="00CF7AA5">
        <w:rPr>
          <w:lang w:val="en-GB"/>
        </w:rPr>
        <w:t>глобални</w:t>
      </w:r>
      <w:proofErr w:type="spellEnd"/>
      <w:r w:rsidRPr="00CF7AA5">
        <w:rPr>
          <w:lang w:val="en-GB"/>
        </w:rPr>
        <w:t xml:space="preserve"> </w:t>
      </w:r>
      <w:proofErr w:type="spellStart"/>
      <w:r w:rsidRPr="00CF7AA5">
        <w:rPr>
          <w:lang w:val="en-GB"/>
        </w:rPr>
        <w:t>събития</w:t>
      </w:r>
      <w:proofErr w:type="spellEnd"/>
      <w:r w:rsidRPr="00CF7AA5">
        <w:rPr>
          <w:lang w:val="en-GB"/>
        </w:rPr>
        <w:t xml:space="preserve"> </w:t>
      </w:r>
      <w:proofErr w:type="spellStart"/>
      <w:r w:rsidRPr="00CF7AA5">
        <w:rPr>
          <w:lang w:val="en-GB"/>
        </w:rPr>
        <w:t>като</w:t>
      </w:r>
      <w:proofErr w:type="spellEnd"/>
      <w:r w:rsidRPr="00CF7AA5">
        <w:rPr>
          <w:lang w:val="en-GB"/>
        </w:rPr>
        <w:t xml:space="preserve"> </w:t>
      </w:r>
      <w:proofErr w:type="spellStart"/>
      <w:r w:rsidRPr="00CF7AA5">
        <w:rPr>
          <w:lang w:val="en-GB"/>
        </w:rPr>
        <w:t>пандемичната</w:t>
      </w:r>
      <w:proofErr w:type="spellEnd"/>
      <w:r w:rsidRPr="00CF7AA5">
        <w:rPr>
          <w:lang w:val="en-GB"/>
        </w:rPr>
        <w:t xml:space="preserve"> </w:t>
      </w:r>
      <w:proofErr w:type="spellStart"/>
      <w:r w:rsidRPr="00CF7AA5">
        <w:rPr>
          <w:lang w:val="en-GB"/>
        </w:rPr>
        <w:t>криза</w:t>
      </w:r>
      <w:proofErr w:type="spellEnd"/>
      <w:r w:rsidRPr="00CF7AA5">
        <w:rPr>
          <w:lang w:val="en-GB"/>
        </w:rPr>
        <w:t xml:space="preserve">, </w:t>
      </w:r>
      <w:proofErr w:type="spellStart"/>
      <w:r w:rsidRPr="00CF7AA5">
        <w:rPr>
          <w:lang w:val="en-GB"/>
        </w:rPr>
        <w:t>инфлационния</w:t>
      </w:r>
      <w:proofErr w:type="spellEnd"/>
      <w:r w:rsidRPr="00CF7AA5">
        <w:rPr>
          <w:lang w:val="en-GB"/>
        </w:rPr>
        <w:t xml:space="preserve"> </w:t>
      </w:r>
      <w:proofErr w:type="spellStart"/>
      <w:r w:rsidRPr="00CF7AA5">
        <w:rPr>
          <w:lang w:val="en-GB"/>
        </w:rPr>
        <w:t>натиск</w:t>
      </w:r>
      <w:proofErr w:type="spellEnd"/>
      <w:r w:rsidRPr="00CF7AA5">
        <w:rPr>
          <w:lang w:val="en-GB"/>
        </w:rPr>
        <w:t xml:space="preserve"> и </w:t>
      </w:r>
      <w:proofErr w:type="spellStart"/>
      <w:r w:rsidRPr="00CF7AA5">
        <w:rPr>
          <w:lang w:val="en-GB"/>
        </w:rPr>
        <w:t>последващото</w:t>
      </w:r>
      <w:proofErr w:type="spellEnd"/>
      <w:r w:rsidRPr="00CF7AA5">
        <w:rPr>
          <w:lang w:val="en-GB"/>
        </w:rPr>
        <w:t xml:space="preserve"> </w:t>
      </w:r>
      <w:proofErr w:type="spellStart"/>
      <w:r w:rsidRPr="00CF7AA5">
        <w:rPr>
          <w:lang w:val="en-GB"/>
        </w:rPr>
        <w:t>затягане</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паричната</w:t>
      </w:r>
      <w:proofErr w:type="spellEnd"/>
      <w:r w:rsidRPr="00CF7AA5">
        <w:rPr>
          <w:lang w:val="en-GB"/>
        </w:rPr>
        <w:t xml:space="preserve"> </w:t>
      </w:r>
      <w:proofErr w:type="spellStart"/>
      <w:r w:rsidRPr="00CF7AA5">
        <w:rPr>
          <w:lang w:val="en-GB"/>
        </w:rPr>
        <w:t>политика</w:t>
      </w:r>
      <w:proofErr w:type="spellEnd"/>
      <w:r w:rsidRPr="00CF7AA5">
        <w:rPr>
          <w:lang w:val="en-GB"/>
        </w:rPr>
        <w:t xml:space="preserve">. </w:t>
      </w:r>
      <w:proofErr w:type="spellStart"/>
      <w:r w:rsidRPr="00CF7AA5">
        <w:rPr>
          <w:lang w:val="en-GB"/>
        </w:rPr>
        <w:t>Този</w:t>
      </w:r>
      <w:proofErr w:type="spellEnd"/>
      <w:r w:rsidRPr="00CF7AA5">
        <w:rPr>
          <w:lang w:val="en-GB"/>
        </w:rPr>
        <w:t xml:space="preserve"> </w:t>
      </w:r>
      <w:proofErr w:type="spellStart"/>
      <w:r w:rsidRPr="00CF7AA5">
        <w:rPr>
          <w:lang w:val="en-GB"/>
        </w:rPr>
        <w:t>период</w:t>
      </w:r>
      <w:proofErr w:type="spellEnd"/>
      <w:r w:rsidRPr="00CF7AA5">
        <w:rPr>
          <w:lang w:val="en-GB"/>
        </w:rPr>
        <w:t xml:space="preserve"> </w:t>
      </w:r>
      <w:proofErr w:type="spellStart"/>
      <w:r w:rsidRPr="00CF7AA5">
        <w:rPr>
          <w:lang w:val="en-GB"/>
        </w:rPr>
        <w:t>предоставя</w:t>
      </w:r>
      <w:proofErr w:type="spellEnd"/>
      <w:r w:rsidRPr="00CF7AA5">
        <w:rPr>
          <w:lang w:val="en-GB"/>
        </w:rPr>
        <w:t xml:space="preserve"> </w:t>
      </w:r>
      <w:proofErr w:type="spellStart"/>
      <w:r w:rsidRPr="00CF7AA5">
        <w:rPr>
          <w:lang w:val="en-GB"/>
        </w:rPr>
        <w:t>подходяща</w:t>
      </w:r>
      <w:proofErr w:type="spellEnd"/>
      <w:r w:rsidRPr="00CF7AA5">
        <w:rPr>
          <w:lang w:val="en-GB"/>
        </w:rPr>
        <w:t xml:space="preserve"> </w:t>
      </w:r>
      <w:proofErr w:type="spellStart"/>
      <w:r w:rsidRPr="00CF7AA5">
        <w:rPr>
          <w:lang w:val="en-GB"/>
        </w:rPr>
        <w:t>основа</w:t>
      </w:r>
      <w:proofErr w:type="spellEnd"/>
      <w:r w:rsidRPr="00CF7AA5">
        <w:rPr>
          <w:lang w:val="en-GB"/>
        </w:rPr>
        <w:t xml:space="preserve"> </w:t>
      </w:r>
      <w:proofErr w:type="spellStart"/>
      <w:r w:rsidRPr="00CF7AA5">
        <w:rPr>
          <w:lang w:val="en-GB"/>
        </w:rPr>
        <w:t>за</w:t>
      </w:r>
      <w:proofErr w:type="spellEnd"/>
      <w:r w:rsidRPr="00CF7AA5">
        <w:rPr>
          <w:lang w:val="en-GB"/>
        </w:rPr>
        <w:t xml:space="preserve"> </w:t>
      </w:r>
      <w:proofErr w:type="spellStart"/>
      <w:r w:rsidRPr="00CF7AA5">
        <w:rPr>
          <w:lang w:val="en-GB"/>
        </w:rPr>
        <w:t>анализ</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поведението</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криптоактивите</w:t>
      </w:r>
      <w:proofErr w:type="spellEnd"/>
      <w:r w:rsidRPr="00CF7AA5">
        <w:rPr>
          <w:lang w:val="en-GB"/>
        </w:rPr>
        <w:t xml:space="preserve"> в </w:t>
      </w:r>
      <w:proofErr w:type="spellStart"/>
      <w:r w:rsidRPr="00CF7AA5">
        <w:rPr>
          <w:lang w:val="en-GB"/>
        </w:rPr>
        <w:t>различни</w:t>
      </w:r>
      <w:proofErr w:type="spellEnd"/>
      <w:r w:rsidRPr="00CF7AA5">
        <w:rPr>
          <w:lang w:val="en-GB"/>
        </w:rPr>
        <w:t xml:space="preserve"> </w:t>
      </w:r>
      <w:proofErr w:type="spellStart"/>
      <w:r w:rsidRPr="00CF7AA5">
        <w:rPr>
          <w:lang w:val="en-GB"/>
        </w:rPr>
        <w:t>макроикономически</w:t>
      </w:r>
      <w:proofErr w:type="spellEnd"/>
      <w:r w:rsidRPr="00CF7AA5">
        <w:rPr>
          <w:lang w:val="en-GB"/>
        </w:rPr>
        <w:t xml:space="preserve"> </w:t>
      </w:r>
      <w:proofErr w:type="spellStart"/>
      <w:r w:rsidRPr="00CF7AA5">
        <w:rPr>
          <w:lang w:val="en-GB"/>
        </w:rPr>
        <w:t>условия</w:t>
      </w:r>
      <w:proofErr w:type="spellEnd"/>
      <w:r w:rsidRPr="00CF7AA5">
        <w:rPr>
          <w:lang w:val="en-GB"/>
        </w:rPr>
        <w:t xml:space="preserve">. </w:t>
      </w:r>
      <w:proofErr w:type="spellStart"/>
      <w:r w:rsidRPr="00CF7AA5">
        <w:rPr>
          <w:lang w:val="en-GB"/>
        </w:rPr>
        <w:t>Ограниченията</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изследването</w:t>
      </w:r>
      <w:proofErr w:type="spellEnd"/>
      <w:r w:rsidRPr="00CF7AA5">
        <w:rPr>
          <w:lang w:val="en-GB"/>
        </w:rPr>
        <w:t xml:space="preserve"> </w:t>
      </w:r>
      <w:proofErr w:type="spellStart"/>
      <w:r w:rsidRPr="00CF7AA5">
        <w:rPr>
          <w:lang w:val="en-GB"/>
        </w:rPr>
        <w:t>произтичат</w:t>
      </w:r>
      <w:proofErr w:type="spellEnd"/>
      <w:r w:rsidRPr="00CF7AA5">
        <w:rPr>
          <w:lang w:val="en-GB"/>
        </w:rPr>
        <w:t xml:space="preserve"> </w:t>
      </w:r>
      <w:proofErr w:type="spellStart"/>
      <w:r w:rsidRPr="00CF7AA5">
        <w:rPr>
          <w:lang w:val="en-GB"/>
        </w:rPr>
        <w:t>основно</w:t>
      </w:r>
      <w:proofErr w:type="spellEnd"/>
      <w:r w:rsidRPr="00CF7AA5">
        <w:rPr>
          <w:lang w:val="en-GB"/>
        </w:rPr>
        <w:t xml:space="preserve"> </w:t>
      </w:r>
      <w:proofErr w:type="spellStart"/>
      <w:r w:rsidRPr="00CF7AA5">
        <w:rPr>
          <w:lang w:val="en-GB"/>
        </w:rPr>
        <w:t>от</w:t>
      </w:r>
      <w:proofErr w:type="spellEnd"/>
      <w:r w:rsidRPr="00CF7AA5">
        <w:rPr>
          <w:lang w:val="en-GB"/>
        </w:rPr>
        <w:t xml:space="preserve"> </w:t>
      </w:r>
      <w:proofErr w:type="spellStart"/>
      <w:r w:rsidRPr="00CF7AA5">
        <w:rPr>
          <w:lang w:val="en-GB"/>
        </w:rPr>
        <w:t>използвания</w:t>
      </w:r>
      <w:proofErr w:type="spellEnd"/>
      <w:r w:rsidRPr="00CF7AA5">
        <w:rPr>
          <w:lang w:val="en-GB"/>
        </w:rPr>
        <w:t xml:space="preserve"> </w:t>
      </w:r>
      <w:proofErr w:type="spellStart"/>
      <w:r w:rsidRPr="00CF7AA5">
        <w:rPr>
          <w:lang w:val="en-GB"/>
        </w:rPr>
        <w:t>ограничен</w:t>
      </w:r>
      <w:proofErr w:type="spellEnd"/>
      <w:r w:rsidRPr="00CF7AA5">
        <w:rPr>
          <w:lang w:val="en-GB"/>
        </w:rPr>
        <w:t xml:space="preserve"> </w:t>
      </w:r>
      <w:proofErr w:type="spellStart"/>
      <w:r w:rsidRPr="00CF7AA5">
        <w:rPr>
          <w:lang w:val="en-GB"/>
        </w:rPr>
        <w:t>брой</w:t>
      </w:r>
      <w:proofErr w:type="spellEnd"/>
      <w:r w:rsidRPr="00CF7AA5">
        <w:rPr>
          <w:lang w:val="en-GB"/>
        </w:rPr>
        <w:t xml:space="preserve"> </w:t>
      </w:r>
      <w:proofErr w:type="spellStart"/>
      <w:r w:rsidRPr="00CF7AA5">
        <w:rPr>
          <w:lang w:val="en-GB"/>
        </w:rPr>
        <w:t>наблюдения</w:t>
      </w:r>
      <w:proofErr w:type="spellEnd"/>
      <w:r w:rsidRPr="00CF7AA5">
        <w:rPr>
          <w:lang w:val="en-GB"/>
        </w:rPr>
        <w:t xml:space="preserve"> и </w:t>
      </w:r>
      <w:proofErr w:type="spellStart"/>
      <w:r w:rsidRPr="00CF7AA5">
        <w:rPr>
          <w:lang w:val="en-GB"/>
        </w:rPr>
        <w:t>фокуса</w:t>
      </w:r>
      <w:proofErr w:type="spellEnd"/>
      <w:r w:rsidRPr="00CF7AA5">
        <w:rPr>
          <w:lang w:val="en-GB"/>
        </w:rPr>
        <w:t xml:space="preserve"> </w:t>
      </w:r>
      <w:proofErr w:type="spellStart"/>
      <w:r w:rsidRPr="00CF7AA5">
        <w:rPr>
          <w:lang w:val="en-GB"/>
        </w:rPr>
        <w:t>върху</w:t>
      </w:r>
      <w:proofErr w:type="spellEnd"/>
      <w:r w:rsidRPr="00CF7AA5">
        <w:rPr>
          <w:lang w:val="en-GB"/>
        </w:rPr>
        <w:t xml:space="preserve"> </w:t>
      </w:r>
      <w:proofErr w:type="spellStart"/>
      <w:r w:rsidRPr="00CF7AA5">
        <w:rPr>
          <w:lang w:val="en-GB"/>
        </w:rPr>
        <w:t>един</w:t>
      </w:r>
      <w:proofErr w:type="spellEnd"/>
      <w:r w:rsidRPr="00CF7AA5">
        <w:rPr>
          <w:lang w:val="en-GB"/>
        </w:rPr>
        <w:t xml:space="preserve"> </w:t>
      </w:r>
      <w:proofErr w:type="spellStart"/>
      <w:r w:rsidRPr="00CF7AA5">
        <w:rPr>
          <w:lang w:val="en-GB"/>
        </w:rPr>
        <w:t>конкретен</w:t>
      </w:r>
      <w:proofErr w:type="spellEnd"/>
      <w:r w:rsidRPr="00CF7AA5">
        <w:rPr>
          <w:lang w:val="en-GB"/>
        </w:rPr>
        <w:t xml:space="preserve"> </w:t>
      </w:r>
      <w:proofErr w:type="spellStart"/>
      <w:r w:rsidRPr="00CF7AA5">
        <w:rPr>
          <w:lang w:val="en-GB"/>
        </w:rPr>
        <w:t>криптоактив</w:t>
      </w:r>
      <w:proofErr w:type="spellEnd"/>
      <w:r w:rsidRPr="00CF7AA5">
        <w:rPr>
          <w:lang w:val="en-GB"/>
        </w:rPr>
        <w:t xml:space="preserve">, </w:t>
      </w:r>
      <w:proofErr w:type="spellStart"/>
      <w:r w:rsidRPr="00CF7AA5">
        <w:rPr>
          <w:lang w:val="en-GB"/>
        </w:rPr>
        <w:t>което</w:t>
      </w:r>
      <w:proofErr w:type="spellEnd"/>
      <w:r w:rsidRPr="00CF7AA5">
        <w:rPr>
          <w:lang w:val="en-GB"/>
        </w:rPr>
        <w:t xml:space="preserve"> </w:t>
      </w:r>
      <w:proofErr w:type="spellStart"/>
      <w:r w:rsidRPr="00CF7AA5">
        <w:rPr>
          <w:lang w:val="en-GB"/>
        </w:rPr>
        <w:t>налага</w:t>
      </w:r>
      <w:proofErr w:type="spellEnd"/>
      <w:r w:rsidRPr="00CF7AA5">
        <w:rPr>
          <w:lang w:val="en-GB"/>
        </w:rPr>
        <w:t xml:space="preserve"> </w:t>
      </w:r>
      <w:proofErr w:type="spellStart"/>
      <w:r w:rsidRPr="00CF7AA5">
        <w:rPr>
          <w:lang w:val="en-GB"/>
        </w:rPr>
        <w:t>внимателна</w:t>
      </w:r>
      <w:proofErr w:type="spellEnd"/>
      <w:r w:rsidRPr="00CF7AA5">
        <w:rPr>
          <w:lang w:val="en-GB"/>
        </w:rPr>
        <w:t xml:space="preserve"> </w:t>
      </w:r>
      <w:proofErr w:type="spellStart"/>
      <w:r w:rsidRPr="00CF7AA5">
        <w:rPr>
          <w:lang w:val="en-GB"/>
        </w:rPr>
        <w:t>интерпретация</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резултатите</w:t>
      </w:r>
      <w:proofErr w:type="spellEnd"/>
      <w:r w:rsidRPr="00CF7AA5">
        <w:rPr>
          <w:lang w:val="en-GB"/>
        </w:rPr>
        <w:t xml:space="preserve"> и </w:t>
      </w:r>
      <w:proofErr w:type="spellStart"/>
      <w:r w:rsidRPr="00CF7AA5">
        <w:rPr>
          <w:lang w:val="en-GB"/>
        </w:rPr>
        <w:t>ограничава</w:t>
      </w:r>
      <w:proofErr w:type="spellEnd"/>
      <w:r w:rsidRPr="00CF7AA5">
        <w:rPr>
          <w:lang w:val="en-GB"/>
        </w:rPr>
        <w:t xml:space="preserve"> </w:t>
      </w:r>
      <w:proofErr w:type="spellStart"/>
      <w:r w:rsidRPr="00CF7AA5">
        <w:rPr>
          <w:lang w:val="en-GB"/>
        </w:rPr>
        <w:t>възможността</w:t>
      </w:r>
      <w:proofErr w:type="spellEnd"/>
      <w:r w:rsidRPr="00CF7AA5">
        <w:rPr>
          <w:lang w:val="en-GB"/>
        </w:rPr>
        <w:t xml:space="preserve"> </w:t>
      </w:r>
      <w:proofErr w:type="spellStart"/>
      <w:r w:rsidRPr="00CF7AA5">
        <w:rPr>
          <w:lang w:val="en-GB"/>
        </w:rPr>
        <w:t>за</w:t>
      </w:r>
      <w:proofErr w:type="spellEnd"/>
      <w:r w:rsidRPr="00CF7AA5">
        <w:rPr>
          <w:lang w:val="en-GB"/>
        </w:rPr>
        <w:t xml:space="preserve"> </w:t>
      </w:r>
      <w:proofErr w:type="spellStart"/>
      <w:r w:rsidRPr="00CF7AA5">
        <w:rPr>
          <w:lang w:val="en-GB"/>
        </w:rPr>
        <w:t>тяхното</w:t>
      </w:r>
      <w:proofErr w:type="spellEnd"/>
      <w:r w:rsidRPr="00CF7AA5">
        <w:rPr>
          <w:lang w:val="en-GB"/>
        </w:rPr>
        <w:t xml:space="preserve"> </w:t>
      </w:r>
      <w:proofErr w:type="spellStart"/>
      <w:r w:rsidRPr="00CF7AA5">
        <w:rPr>
          <w:lang w:val="en-GB"/>
        </w:rPr>
        <w:t>обобщаване</w:t>
      </w:r>
      <w:proofErr w:type="spellEnd"/>
      <w:r w:rsidRPr="00CF7AA5">
        <w:rPr>
          <w:lang w:val="en-GB"/>
        </w:rPr>
        <w:t xml:space="preserve"> </w:t>
      </w:r>
      <w:proofErr w:type="spellStart"/>
      <w:r w:rsidRPr="00CF7AA5">
        <w:rPr>
          <w:lang w:val="en-GB"/>
        </w:rPr>
        <w:t>върху</w:t>
      </w:r>
      <w:proofErr w:type="spellEnd"/>
      <w:r w:rsidRPr="00CF7AA5">
        <w:rPr>
          <w:lang w:val="en-GB"/>
        </w:rPr>
        <w:t xml:space="preserve"> </w:t>
      </w:r>
      <w:proofErr w:type="spellStart"/>
      <w:r w:rsidRPr="00CF7AA5">
        <w:rPr>
          <w:lang w:val="en-GB"/>
        </w:rPr>
        <w:t>целия</w:t>
      </w:r>
      <w:proofErr w:type="spellEnd"/>
      <w:r w:rsidRPr="00CF7AA5">
        <w:rPr>
          <w:lang w:val="en-GB"/>
        </w:rPr>
        <w:t xml:space="preserve"> </w:t>
      </w:r>
      <w:proofErr w:type="spellStart"/>
      <w:proofErr w:type="gramStart"/>
      <w:r w:rsidRPr="00CF7AA5">
        <w:rPr>
          <w:lang w:val="en-GB"/>
        </w:rPr>
        <w:t>криптопазар</w:t>
      </w:r>
      <w:proofErr w:type="spellEnd"/>
      <w:r w:rsidRPr="00CF7AA5">
        <w:rPr>
          <w:lang w:val="en-GB"/>
        </w:rPr>
        <w:t xml:space="preserve"> .</w:t>
      </w:r>
      <w:proofErr w:type="gramEnd"/>
    </w:p>
    <w:p w14:paraId="1BCD11A5" w14:textId="77777777" w:rsidR="00CF7AA5" w:rsidRPr="00F9181B" w:rsidRDefault="00CF7AA5" w:rsidP="00F9181B">
      <w:pPr>
        <w:spacing w:line="360" w:lineRule="auto"/>
        <w:ind w:firstLine="709"/>
        <w:jc w:val="both"/>
      </w:pPr>
    </w:p>
    <w:p w14:paraId="0468AEA6" w14:textId="77777777" w:rsidR="00F9181B" w:rsidRPr="006040D3" w:rsidRDefault="00F9181B">
      <w:pPr>
        <w:widowControl/>
        <w:suppressAutoHyphens w:val="0"/>
        <w:rPr>
          <w:b/>
          <w:bCs/>
        </w:rPr>
      </w:pPr>
      <w:r w:rsidRPr="006040D3">
        <w:rPr>
          <w:b/>
          <w:bCs/>
        </w:rPr>
        <w:br w:type="page"/>
      </w:r>
    </w:p>
    <w:p w14:paraId="642B0E28" w14:textId="0951063B" w:rsidR="00F9181B" w:rsidRPr="00F9181B" w:rsidRDefault="00F9181B" w:rsidP="00F9181B">
      <w:pPr>
        <w:spacing w:line="360" w:lineRule="auto"/>
        <w:ind w:firstLine="709"/>
        <w:jc w:val="both"/>
        <w:rPr>
          <w:b/>
          <w:bCs/>
        </w:rPr>
      </w:pPr>
      <w:r w:rsidRPr="00F9181B">
        <w:rPr>
          <w:b/>
          <w:bCs/>
        </w:rPr>
        <w:lastRenderedPageBreak/>
        <w:t>Първа глава. Теоретични аспекти на криптоактивите като икономически феномен</w:t>
      </w:r>
    </w:p>
    <w:p w14:paraId="62CB0346" w14:textId="29898FFF" w:rsidR="00F9181B" w:rsidRPr="006040D3" w:rsidRDefault="00F9181B" w:rsidP="00F9181B">
      <w:pPr>
        <w:spacing w:line="360" w:lineRule="auto"/>
        <w:ind w:firstLine="709"/>
        <w:jc w:val="both"/>
      </w:pPr>
      <w:r w:rsidRPr="00F9181B">
        <w:rPr>
          <w:b/>
          <w:bCs/>
        </w:rPr>
        <w:t>1.1. Същност и основни характеристики на криптоактивите</w:t>
      </w:r>
    </w:p>
    <w:p w14:paraId="3C30073C" w14:textId="05CD5C0A" w:rsidR="00CB165E" w:rsidRPr="00CB165E" w:rsidRDefault="00CB165E" w:rsidP="00CB165E">
      <w:pPr>
        <w:spacing w:line="360" w:lineRule="auto"/>
        <w:ind w:firstLine="709"/>
        <w:jc w:val="both"/>
      </w:pPr>
      <w:r w:rsidRPr="00CB165E">
        <w:t>Криптоактивите представляват дигитални представяния на стойност или на договорни права, които функционират въз основа на криптографски методи и технологии за разпределен регистър. Те се утвърждават като съвременен икономически феномен, който трансформира традиционните представи за пари, активи и финансови транзакции. За разлика от фиатните валути, които се емитират и регулират от централни банки и държавни институции, криптоактивите обикновено функционират в децентрализирана среда, без централен орган, който да упражнява контрол върху тяхното създаване, разпространение и използване. Това ги поставя в нова категория финансови инструменти, характеризиращи се с висока степен на технологична автономност и независимост от традиционната финансова система</w:t>
      </w:r>
      <w:r w:rsidRPr="006040D3">
        <w:rPr>
          <w:rStyle w:val="FootnoteReference"/>
        </w:rPr>
        <w:footnoteReference w:id="1"/>
      </w:r>
      <w:r w:rsidRPr="00CB165E">
        <w:t>.</w:t>
      </w:r>
    </w:p>
    <w:p w14:paraId="0D3543CA" w14:textId="007A1A74" w:rsidR="00CB165E" w:rsidRPr="00CB165E" w:rsidRDefault="00CB165E" w:rsidP="00CB165E">
      <w:pPr>
        <w:spacing w:line="360" w:lineRule="auto"/>
        <w:ind w:firstLine="709"/>
        <w:jc w:val="both"/>
      </w:pPr>
      <w:r w:rsidRPr="00CB165E">
        <w:t>В своята същност криптоактивите представляват нематериални дигитални единици, които съществуват изцяло в електронна среда и не притежават физически еквивалент. Тяхното съществуване е обвързано с функционирането на компютърни мрежи и специализирани програмни протоколи, чрез които се осъществява тяхното създаване, съхранение и прехвърляне. Притежанието на криптоактиви не се удостоверява чрез традиционни правни документи или централизирани регистри, а чрез притежание на криптографски ключове. Всеки участник в мрежата разполага с двойка ключове – публичен и частен, като публичният служи за идентификация в системата, а частният предоставя възможност за разпореждане с актива. Именно контролът върху частния ключ се приравнява до фактическо притежание на съответния криптоактив, което създава нов тип собственост, базирана на цифров достъп и криптографска сигурност</w:t>
      </w:r>
      <w:r w:rsidRPr="006040D3">
        <w:rPr>
          <w:rStyle w:val="FootnoteReference"/>
        </w:rPr>
        <w:footnoteReference w:id="2"/>
      </w:r>
      <w:r w:rsidRPr="00CB165E">
        <w:t>.</w:t>
      </w:r>
    </w:p>
    <w:p w14:paraId="4F765328" w14:textId="6BF24117" w:rsidR="00CB165E" w:rsidRPr="00CB165E" w:rsidRDefault="00CB165E" w:rsidP="00CB165E">
      <w:pPr>
        <w:spacing w:line="360" w:lineRule="auto"/>
        <w:ind w:firstLine="709"/>
        <w:jc w:val="both"/>
      </w:pPr>
      <w:r w:rsidRPr="00CB165E">
        <w:t xml:space="preserve">Стойността на криптоактивите не се основава на традиционни механизми като златно покритие, държавна гаранция или нормативно определен статут на законно платежно средство. Тя се формира в резултат на взаимодействието между търсенето и </w:t>
      </w:r>
      <w:r w:rsidRPr="00CB165E">
        <w:lastRenderedPageBreak/>
        <w:t>предлагането на пазара, както и на доверието на участниците в технологичната и икономическата устойчивост на съответната система. Ограниченото предлагане, заложено в алгоритмите на някои криптоактиви, създава предпоставки за възприемането им като активи със склонност към запазване на стойността, особено в условия на нарастващо търсене. Същевременно липсата на централен емитент означава, че няма институция, която да гарантира стабилността на стойността, което увеличава ролята на пазарните очаквания и спекулативното поведение</w:t>
      </w:r>
      <w:r w:rsidRPr="006040D3">
        <w:rPr>
          <w:rStyle w:val="FootnoteReference"/>
        </w:rPr>
        <w:footnoteReference w:id="3"/>
      </w:r>
      <w:r w:rsidRPr="00CB165E">
        <w:t>.</w:t>
      </w:r>
    </w:p>
    <w:p w14:paraId="0960F6E8" w14:textId="62F77107" w:rsidR="00CB165E" w:rsidRPr="00CB165E" w:rsidRDefault="00CB165E" w:rsidP="00CB165E">
      <w:pPr>
        <w:spacing w:line="360" w:lineRule="auto"/>
        <w:ind w:firstLine="709"/>
        <w:jc w:val="both"/>
      </w:pPr>
      <w:r w:rsidRPr="00CB165E">
        <w:t>Една от най-съществените характеристики на криптоактивите е възможността за осъществяване на директни трансакции между участниците без необходимост от посредници като банки, платежни институции или клирингови организации. Този модел на взаимодействие, често определян като равнопоставен, променя традиционната структура на финансовите отношения, при която посредниците играят централна роля в удостоверяването и обработката на трансакциите. При криптоактивите тази функция се поема от самата мрежа, която чрез набор от алгоритми и правила осигурява валидирането и записването на трансакциите</w:t>
      </w:r>
      <w:r w:rsidRPr="006040D3">
        <w:rPr>
          <w:rStyle w:val="FootnoteReference"/>
        </w:rPr>
        <w:footnoteReference w:id="4"/>
      </w:r>
      <w:r w:rsidRPr="00CB165E">
        <w:t>.</w:t>
      </w:r>
    </w:p>
    <w:p w14:paraId="67ECDFCC" w14:textId="71D89FA1" w:rsidR="00CB165E" w:rsidRPr="00CB165E" w:rsidRDefault="00CB165E" w:rsidP="00CB165E">
      <w:pPr>
        <w:spacing w:line="360" w:lineRule="auto"/>
        <w:ind w:firstLine="709"/>
        <w:jc w:val="both"/>
      </w:pPr>
      <w:r w:rsidRPr="00CB165E">
        <w:t>Този процес се реализира чрез използването на децентрализирани мрежи, в които множество независими участници участват в поддържането на системата. Информацията за всички извършени трансакции се записва в разпределен регистър, който е достъпен за всички участници в мрежата. Всеки нов запис се проверява и потвърждава от множество възли, което гарантира неговата достоверност и предотвратява възможността за едностранна промяна или манипулация. Липсата на централен орган означава, че няма единна точка на контрол или уязвимост, което повишава устойчивостта на системата към технически и организационни рискове</w:t>
      </w:r>
      <w:r w:rsidRPr="006040D3">
        <w:rPr>
          <w:rStyle w:val="FootnoteReference"/>
        </w:rPr>
        <w:footnoteReference w:id="5"/>
      </w:r>
      <w:r w:rsidRPr="00CB165E">
        <w:t>.</w:t>
      </w:r>
    </w:p>
    <w:p w14:paraId="055273D3" w14:textId="42B8A4D1" w:rsidR="00CB165E" w:rsidRPr="00CB165E" w:rsidRDefault="00CB165E" w:rsidP="00CB165E">
      <w:pPr>
        <w:spacing w:line="360" w:lineRule="auto"/>
        <w:ind w:firstLine="709"/>
        <w:jc w:val="both"/>
      </w:pPr>
      <w:r w:rsidRPr="00CB165E">
        <w:t xml:space="preserve">Децентрализираната структура на криптоактивите води до редица икономически последици. От една страна, тя намалява транзакционните разходи и времето за обработка, </w:t>
      </w:r>
      <w:r w:rsidRPr="00CB165E">
        <w:lastRenderedPageBreak/>
        <w:t>тъй като отпада необходимостта от посредници. От друга страна, тя прехвърля отговорността за сигурността и управлението на активите върху самите потребители, което изисква по-високо ниво на техническа грамотност и внимание. Освен това, децентрализацията поставя предизвикателства пред регулаторните органи, тъй като традиционните механизми за контрол и надзор трудно се прилагат в среда без ясно определен централен субект</w:t>
      </w:r>
      <w:r w:rsidRPr="006040D3">
        <w:rPr>
          <w:rStyle w:val="FootnoteReference"/>
        </w:rPr>
        <w:footnoteReference w:id="6"/>
      </w:r>
      <w:r w:rsidRPr="00CB165E">
        <w:t>.</w:t>
      </w:r>
    </w:p>
    <w:p w14:paraId="4732098B" w14:textId="77777777" w:rsidR="00CB165E" w:rsidRPr="00CB165E" w:rsidRDefault="00CB165E" w:rsidP="00CB165E">
      <w:pPr>
        <w:spacing w:line="360" w:lineRule="auto"/>
        <w:ind w:firstLine="709"/>
        <w:jc w:val="both"/>
      </w:pPr>
      <w:r w:rsidRPr="00CB165E">
        <w:t>В този контекст криптоактивите могат да бъдат разглеждани като нов тип икономически ресурс, който съчетава технологични иновации с финансови функции. Те създават възможност за преосмисляне на традиционните модели на собственост, разплащания и инвестиции, като същевременно поставят въпроси относно тяхната стабилност, сигурност и дългосрочна роля в икономиката.</w:t>
      </w:r>
    </w:p>
    <w:p w14:paraId="21D8C221" w14:textId="7D9066B7" w:rsidR="00CB165E" w:rsidRPr="00CB165E" w:rsidRDefault="00CB165E" w:rsidP="00CB165E">
      <w:pPr>
        <w:spacing w:line="360" w:lineRule="auto"/>
        <w:ind w:firstLine="709"/>
        <w:jc w:val="both"/>
      </w:pPr>
      <w:r w:rsidRPr="00CB165E">
        <w:t>Технологичната основа на криптоактивите е разпределеният регистър, известен като блокчейн, който представлява система за съхранение на данни в последователно свързани блокове. Всеки блок съдържа информация за извършени трансакции, като веднъж записана, тази информация не може да бъде променяна без съгласието на мрежата. Това осигурява висока степен на прозрачност, сигурност и устойчивост на манипулации. Разпределеният характер на регистъра означава, че данните се съхраняват едновременно на множество устройства, което елиминира риска от централизирани атаки и увеличава надеждността на системата</w:t>
      </w:r>
      <w:r w:rsidRPr="006040D3">
        <w:rPr>
          <w:rStyle w:val="FootnoteReference"/>
        </w:rPr>
        <w:footnoteReference w:id="7"/>
      </w:r>
      <w:r w:rsidRPr="00CB165E">
        <w:t>.</w:t>
      </w:r>
    </w:p>
    <w:p w14:paraId="139C229D" w14:textId="5A1B59A7" w:rsidR="00CB165E" w:rsidRPr="00CB165E" w:rsidRDefault="00CB165E" w:rsidP="00CB165E">
      <w:pPr>
        <w:spacing w:line="360" w:lineRule="auto"/>
        <w:ind w:firstLine="709"/>
        <w:jc w:val="both"/>
      </w:pPr>
      <w:r w:rsidRPr="00CB165E">
        <w:t xml:space="preserve">Криптографията играе ключова роля в функционирането на криптоактивите, като осигурява защита на трансакциите и удостоверяване на собствеността. Чрез използването на публични и частни ключове се гарантира, че само притежателят на съответния частен ключ може да извършва трансакции с даден актив. Този механизъм създава високо ниво на сигурност, като същевременно позволява относителна анонимност на участниците в мрежата. Въпреки това, трансакциите са публично достъпни и могат да бъдат проследявани, което съчетава прозрачност с </w:t>
      </w:r>
      <w:r w:rsidRPr="006040D3">
        <w:t>анонимизация</w:t>
      </w:r>
      <w:r w:rsidRPr="006040D3">
        <w:rPr>
          <w:rStyle w:val="FootnoteReference"/>
        </w:rPr>
        <w:footnoteReference w:id="8"/>
      </w:r>
      <w:r w:rsidRPr="00CB165E">
        <w:t>.</w:t>
      </w:r>
    </w:p>
    <w:p w14:paraId="67E8A478" w14:textId="77777777" w:rsidR="00CB165E" w:rsidRPr="006040D3" w:rsidRDefault="00CB165E" w:rsidP="00CB165E">
      <w:pPr>
        <w:spacing w:line="360" w:lineRule="auto"/>
        <w:ind w:firstLine="709"/>
        <w:jc w:val="both"/>
      </w:pPr>
      <w:r w:rsidRPr="00CB165E">
        <w:t xml:space="preserve">Съществена характеристика на криптоактивите е тяхната децентрализация. За </w:t>
      </w:r>
      <w:r w:rsidRPr="00CB165E">
        <w:lastRenderedPageBreak/>
        <w:t>разлика от традиционните финансови системи, при които съществува централен орган, криптоактивите функционират чрез мрежи от равнопоставени участници. Това води до намаляване на транзакционните разходи, ускоряване на процесите и повишаване на ефективността, като същевременно създава нови предизвикателства, свързани с регулацията и защитата на потребителите.</w:t>
      </w:r>
    </w:p>
    <w:p w14:paraId="3E1788FD" w14:textId="71B387F9" w:rsidR="00CB165E" w:rsidRPr="00CB165E" w:rsidRDefault="00CB165E" w:rsidP="00CB165E">
      <w:pPr>
        <w:spacing w:line="360" w:lineRule="auto"/>
        <w:ind w:firstLine="709"/>
        <w:jc w:val="both"/>
      </w:pPr>
      <w:r w:rsidRPr="00CB165E">
        <w:t>Липсата на централен орган означава, че не съществува институция, която да носи отговорност за стабилността на системата, за разрешаването на спорове или за компенсирането на загуби при измами или технически проблеми. Това поставя потребителите в по-уязвима позиция в сравнение с традиционните финансови услуги, където съществуват механизми за защита, като гаранционни фондове, банков надзор и регулаторни рамки</w:t>
      </w:r>
      <w:r w:rsidRPr="006040D3">
        <w:rPr>
          <w:rStyle w:val="FootnoteReference"/>
        </w:rPr>
        <w:footnoteReference w:id="9"/>
      </w:r>
      <w:r w:rsidRPr="00CB165E">
        <w:t>.</w:t>
      </w:r>
    </w:p>
    <w:p w14:paraId="27EF2887" w14:textId="77777777" w:rsidR="00CB165E" w:rsidRPr="00CB165E" w:rsidRDefault="00CB165E" w:rsidP="00CB165E">
      <w:pPr>
        <w:spacing w:line="360" w:lineRule="auto"/>
        <w:ind w:firstLine="709"/>
        <w:jc w:val="both"/>
      </w:pPr>
      <w:r w:rsidRPr="00CB165E">
        <w:t>Едно от основните предизвикателства е свързано с правната несигурност. Криптоактивите често попадат извън ясно дефинираните категории на финансовото законодателство, което затруднява тяхното регулиране. Различните държави прилагат различни подходи – от пълна забрана до частична или цялостна регулация, което води до фрагментирана глобална среда. Това създава трудности както за инвеститорите, така и за институциите, тъй като липсата на единни правила увеличава риска и несигурността.</w:t>
      </w:r>
    </w:p>
    <w:p w14:paraId="1CF29BFC" w14:textId="77777777" w:rsidR="00CB165E" w:rsidRPr="00CB165E" w:rsidRDefault="00CB165E" w:rsidP="00CB165E">
      <w:pPr>
        <w:spacing w:line="360" w:lineRule="auto"/>
        <w:ind w:firstLine="709"/>
        <w:jc w:val="both"/>
      </w:pPr>
      <w:r w:rsidRPr="00CB165E">
        <w:t>Друг съществен проблем е защитата на потребителите при измами и злоупотреби. Поради псевдонимния характер на трансакциите и трудността при проследяване на реалната идентичност на участниците, криптопазарът е податлив на различни форми на измами, включително фалшиви инвестиционни схеми, манипулиране на пазара и кражби на средства чрез хакерски атаки. В отсъствието на централен посредник възстановяването на загубени средства често е невъзможно, което увеличава значително риска за потребителите.</w:t>
      </w:r>
    </w:p>
    <w:p w14:paraId="2256DD54" w14:textId="77777777" w:rsidR="00CB165E" w:rsidRPr="00CB165E" w:rsidRDefault="00CB165E" w:rsidP="00CB165E">
      <w:pPr>
        <w:spacing w:line="360" w:lineRule="auto"/>
        <w:ind w:firstLine="709"/>
        <w:jc w:val="both"/>
      </w:pPr>
      <w:r w:rsidRPr="00CB165E">
        <w:t xml:space="preserve">Техническите рискове също представляват сериозно предизвикателство. Сигурността на криптоактивите зависи в голяма степен от правилното управление на криптографските ключове. Загубата или компрометирането на частния ключ води до необратима загуба на достъп до средствата. Освен това, уязвимости в програмния код или </w:t>
      </w:r>
      <w:r w:rsidRPr="00CB165E">
        <w:lastRenderedPageBreak/>
        <w:t>в инфраструктурата могат да бъдат използвани за атаки срещу мрежата или срещу отделни платформи за търговия и съхранение на криптоактиви.</w:t>
      </w:r>
    </w:p>
    <w:p w14:paraId="79759DA1" w14:textId="77777777" w:rsidR="00CB165E" w:rsidRPr="00CB165E" w:rsidRDefault="00CB165E" w:rsidP="00CB165E">
      <w:pPr>
        <w:spacing w:line="360" w:lineRule="auto"/>
        <w:ind w:firstLine="709"/>
        <w:jc w:val="both"/>
      </w:pPr>
      <w:r w:rsidRPr="00CB165E">
        <w:t>Децентрализацията създава и предизвикателства пред финансовия надзор и предотвратяването на незаконни дейности. Поради липсата на централизирани посредници е по-трудно да се прилагат механизми за контрол срещу пране на пари, финансиране на незаконни дейности или укриване на данъци. Това налага разработването на нови регулаторни подходи, които да съчетават технологичните особености на криптоактивите с изискванията за прозрачност и отчетност.</w:t>
      </w:r>
    </w:p>
    <w:p w14:paraId="302D1995" w14:textId="77777777" w:rsidR="00CB165E" w:rsidRPr="00CB165E" w:rsidRDefault="00CB165E" w:rsidP="00CB165E">
      <w:pPr>
        <w:spacing w:line="360" w:lineRule="auto"/>
        <w:ind w:firstLine="709"/>
        <w:jc w:val="both"/>
      </w:pPr>
      <w:r w:rsidRPr="00CB165E">
        <w:t>Не на последно място, съществува и проблемът с волатилността и пазарната нестабилност, които се засилват от липсата на регулаторни механизми за намеса. В традиционните финансови системи централните банки и регулаторните органи могат да предприемат мерки за стабилизиране на пазарите, докато при криптоактивите подобни инструменти липсват. Това води до резки ценови колебания, които могат да имат значителни последици за инвеститорите.</w:t>
      </w:r>
    </w:p>
    <w:p w14:paraId="62FA7BB7" w14:textId="7F3685ED" w:rsidR="00CB165E" w:rsidRPr="00CB165E" w:rsidRDefault="00CB165E" w:rsidP="00CB165E">
      <w:pPr>
        <w:spacing w:line="360" w:lineRule="auto"/>
        <w:ind w:firstLine="709"/>
        <w:jc w:val="both"/>
      </w:pPr>
      <w:r w:rsidRPr="00CB165E">
        <w:t xml:space="preserve">Криптоактивите се отличават и със своята изцяло дигитална природа, </w:t>
      </w:r>
      <w:r w:rsidRPr="006040D3">
        <w:t xml:space="preserve">т.е. </w:t>
      </w:r>
      <w:r w:rsidRPr="00CB165E">
        <w:t>те не съществуват под формата на физически обекти, като монети или банкноти. Тяхното съществуване е изцяло обвързано с цифровата инфраструктура и достъпа до интернет, което ги прави лесно преносими и достъпни в глобален мащаб. Тази характеристика допринася за развитието на нови форми на финансови услуги и за разширяване на възможностите за участие във финансовите пазари</w:t>
      </w:r>
      <w:r w:rsidRPr="006040D3">
        <w:rPr>
          <w:rStyle w:val="FootnoteReference"/>
        </w:rPr>
        <w:footnoteReference w:id="10"/>
      </w:r>
      <w:r w:rsidRPr="00CB165E">
        <w:t>.</w:t>
      </w:r>
    </w:p>
    <w:p w14:paraId="46BC7657" w14:textId="77777777" w:rsidR="00AA7178" w:rsidRPr="00AA7178" w:rsidRDefault="00AA7178" w:rsidP="00AA7178">
      <w:pPr>
        <w:spacing w:line="360" w:lineRule="auto"/>
        <w:ind w:firstLine="709"/>
        <w:jc w:val="both"/>
      </w:pPr>
      <w:r w:rsidRPr="00AA7178">
        <w:t>Една от най-съществените трансформации е развитието на децентрализирани финансови услуги, при които основни дейности като кредитиране, заемане, търговия и управление на активи се осъществяват чрез програмни протоколи, а не чрез банки или други финансови институции. В тази среда участниците могат директно да предоставят средства срещу възнаграждение или да получават финансиране, като условията се определят чрез предварително зададени алгоритми. Това води до по-голяма прозрачност и намаляване на разходите, но същевременно изисква по-висока степен на информираност и самостоятелност от страна на потребителите.</w:t>
      </w:r>
    </w:p>
    <w:p w14:paraId="4714D347" w14:textId="77777777" w:rsidR="00AA7178" w:rsidRPr="00AA7178" w:rsidRDefault="00AA7178" w:rsidP="00AA7178">
      <w:pPr>
        <w:spacing w:line="360" w:lineRule="auto"/>
        <w:ind w:firstLine="709"/>
        <w:jc w:val="both"/>
      </w:pPr>
      <w:r w:rsidRPr="00AA7178">
        <w:lastRenderedPageBreak/>
        <w:t>Дигиталният характер на криптоактивите позволява също така развитието на нови платежни решения, които се отличават с бързина и глобален обхват. Трансакциите могат да се извършват почти незабавно, независимо от географското местоположение на участниците, без необходимост от валутно конвертиране чрез традиционни банкови канали. Това създава възможности за по-ефективни международни разплащания, особено в региони с ограничен достъп до банкови услуги. В допълнение, дигиталните портфейли предоставят възможност за съхранение и управление на активи без необходимост от посредник, което променя начина, по който се осъществява контролът върху финансовите ресурси.</w:t>
      </w:r>
    </w:p>
    <w:p w14:paraId="04FA254F" w14:textId="77777777" w:rsidR="00AA7178" w:rsidRPr="00AA7178" w:rsidRDefault="00AA7178" w:rsidP="00AA7178">
      <w:pPr>
        <w:spacing w:line="360" w:lineRule="auto"/>
        <w:ind w:firstLine="709"/>
        <w:jc w:val="both"/>
      </w:pPr>
      <w:r w:rsidRPr="00AA7178">
        <w:t>Особено значение има и развитието на платформи за търговия с криптоактиви, които функционират непрекъснато и предоставят възможност за участие на широк кръг инвеститори. За разлика от традиционните финансови пазари, които имат ограничено работно време и често изискват посредници, криптопазарите са достъпни денонощно и позволяват директна търговия между участниците. Това увеличава ликвидността и създава нови възможности за реализиране на доходност, но също така изисква по-активно управление на риска поради високата волатилност.</w:t>
      </w:r>
    </w:p>
    <w:p w14:paraId="0B760B5D" w14:textId="77777777" w:rsidR="00AA7178" w:rsidRPr="00AA7178" w:rsidRDefault="00AA7178" w:rsidP="00AA7178">
      <w:pPr>
        <w:spacing w:line="360" w:lineRule="auto"/>
        <w:ind w:firstLine="709"/>
        <w:jc w:val="both"/>
      </w:pPr>
      <w:r w:rsidRPr="00AA7178">
        <w:t>Дигиталната природа на криптоактивите улеснява и създаването на нови инвестиционни продукти и механизми за финансиране. Чрез използването на токенизация могат да се представят различни видове активи в дигитална форма, което позволява тяхното разделяне на по-малки части и прави инвестирането по-достъпно за по-широк кръг участници. Това създава възможности за участие в инвестиции, които традиционно са били достъпни само за големи институционални инвеститори. Освен това се развиват и нови форми на набиране на капитал, при които проектите могат да получат финансиране директно от инвеститорите чрез дигитални платформи.</w:t>
      </w:r>
    </w:p>
    <w:p w14:paraId="4A9EA316" w14:textId="77777777" w:rsidR="00AA7178" w:rsidRPr="00AA7178" w:rsidRDefault="00AA7178" w:rsidP="00AA7178">
      <w:pPr>
        <w:spacing w:line="360" w:lineRule="auto"/>
        <w:ind w:firstLine="709"/>
        <w:jc w:val="both"/>
      </w:pPr>
      <w:r w:rsidRPr="00AA7178">
        <w:t>Разширяването на достъпа до финансовите пазари е една от най-значимите последици от дигиталния характер на криптоактивите. Участието в тези пазари изисква единствено достъп до интернет и подходящо устройство, което премахва редица бариери, свързани с географското положение, финансовото състояние или институционалните ограничения. Това създава възможности за включване на лица, които са били изключени от традиционната финансова система, и допринася за повишаване на финансовата интеграция.</w:t>
      </w:r>
    </w:p>
    <w:p w14:paraId="42E35497" w14:textId="77777777" w:rsidR="00AA7178" w:rsidRPr="00AA7178" w:rsidRDefault="00AA7178" w:rsidP="00AA7178">
      <w:pPr>
        <w:spacing w:line="360" w:lineRule="auto"/>
        <w:ind w:firstLine="709"/>
        <w:jc w:val="both"/>
      </w:pPr>
      <w:r w:rsidRPr="00AA7178">
        <w:lastRenderedPageBreak/>
        <w:t>В същото време дигиталната среда позволява по-голяма гъвкавост и разнообразие на инвестиционните стратегии. Инвеститорите могат бързо да променят своите позиции, да реагират на пазарни събития в реално време и да използват различни инструменти за управление на риска. Това води до по-динамичен и конкурентен пазар, в който информацията и технологичната компетентност играят ключова роля.</w:t>
      </w:r>
    </w:p>
    <w:p w14:paraId="3E68F971" w14:textId="497ED0B4" w:rsidR="00CB165E" w:rsidRPr="00CB165E" w:rsidRDefault="00CB165E" w:rsidP="00CB165E">
      <w:pPr>
        <w:spacing w:line="360" w:lineRule="auto"/>
        <w:ind w:firstLine="709"/>
        <w:jc w:val="both"/>
      </w:pPr>
      <w:r w:rsidRPr="00CB165E">
        <w:t>Важен аспект на криптоактивите е тяхната висока ценова волатилност. Цените на тези активи могат да претърпяват значителни колебания в кратки периоди от време, което ги прави привлекателни за спекулативни инвестиции, но същевременно увеличава риска за инвеститорите. Волатилността е резултат от редица фактори, включително ограничената ликвидност на пазара, спекулативното поведение на участниците и чувствителността към новини и регулаторни промени</w:t>
      </w:r>
      <w:r w:rsidR="00AA7178" w:rsidRPr="006040D3">
        <w:rPr>
          <w:rStyle w:val="FootnoteReference"/>
        </w:rPr>
        <w:footnoteReference w:id="11"/>
      </w:r>
      <w:r w:rsidRPr="00CB165E">
        <w:t>.</w:t>
      </w:r>
    </w:p>
    <w:p w14:paraId="5C363559" w14:textId="4C75149F" w:rsidR="00CB165E" w:rsidRPr="00CB165E" w:rsidRDefault="00CB165E" w:rsidP="00CB165E">
      <w:pPr>
        <w:spacing w:line="360" w:lineRule="auto"/>
        <w:ind w:firstLine="709"/>
        <w:jc w:val="both"/>
      </w:pPr>
      <w:r w:rsidRPr="00CB165E">
        <w:t>Някои криптоактиви се характеризират с ограничено предлагане, което означава, че съществува фиксиран максимален брой единици, които могат да бъдат създадени. Тази особеност създава условия за възприемането им като средство за съхраняване на стойност, подобно на благородните метали. Ограниченото предлагане, съчетано с нарастващо търсене, може да доведе до повишаване на стойността на тези активи, но също така допринася за тяхната нестабилност</w:t>
      </w:r>
      <w:r w:rsidR="00AA7178" w:rsidRPr="006040D3">
        <w:rPr>
          <w:rStyle w:val="FootnoteReference"/>
        </w:rPr>
        <w:footnoteReference w:id="12"/>
      </w:r>
      <w:r w:rsidRPr="00CB165E">
        <w:t>.</w:t>
      </w:r>
    </w:p>
    <w:p w14:paraId="26A9743F" w14:textId="77777777" w:rsidR="00CB165E" w:rsidRPr="00CB165E" w:rsidRDefault="00CB165E" w:rsidP="00CB165E">
      <w:pPr>
        <w:spacing w:line="360" w:lineRule="auto"/>
        <w:ind w:firstLine="709"/>
        <w:jc w:val="both"/>
      </w:pPr>
      <w:r w:rsidRPr="00CB165E">
        <w:t>Допълнително развитие на криптоактивите е свързано с възможността за програмиране на финансови отношения чрез така наречените интелигентни договори. Това са автоматизирани механизми, които изпълняват предварително зададени условия без необходимост от посредник. Те разширяват функционалността на криптоактивите, като позволяват създаването на децентрализирани приложения и нови форми на финансово взаимодействие.</w:t>
      </w:r>
    </w:p>
    <w:p w14:paraId="64A5556A" w14:textId="71C893EA" w:rsidR="00CB165E" w:rsidRPr="006040D3" w:rsidRDefault="00F9181B" w:rsidP="00F9181B">
      <w:pPr>
        <w:spacing w:line="360" w:lineRule="auto"/>
        <w:ind w:firstLine="709"/>
        <w:jc w:val="both"/>
      </w:pPr>
      <w:r w:rsidRPr="00F9181B">
        <w:rPr>
          <w:b/>
          <w:bCs/>
        </w:rPr>
        <w:t xml:space="preserve">1.2. </w:t>
      </w:r>
      <w:r w:rsidR="00CB165E" w:rsidRPr="006040D3">
        <w:rPr>
          <w:b/>
          <w:bCs/>
        </w:rPr>
        <w:t>Видове криптоактиви</w:t>
      </w:r>
    </w:p>
    <w:p w14:paraId="65D54004" w14:textId="46A29EAC" w:rsidR="00AA7178" w:rsidRPr="006040D3" w:rsidRDefault="00AA7178" w:rsidP="00AA7178">
      <w:pPr>
        <w:spacing w:line="360" w:lineRule="auto"/>
        <w:ind w:firstLine="709"/>
        <w:jc w:val="both"/>
      </w:pPr>
      <w:r w:rsidRPr="00AA7178">
        <w:lastRenderedPageBreak/>
        <w:t>Криптоактивите представляват хетерогенна категория дигитални активи, които могат да бъдат класифицирани според тяхната икономическа функция, предназначение и механизъм на използване. В съвременната научна литература най-често се разграничават няколко основни типа криптоактиви, всеки от които се характеризира със специфични особености, предимства и ограничения</w:t>
      </w:r>
      <w:r w:rsidRPr="006040D3">
        <w:t xml:space="preserve"> (Табл. 1).</w:t>
      </w:r>
    </w:p>
    <w:p w14:paraId="1894A294" w14:textId="43326902" w:rsidR="00AA7178" w:rsidRPr="006040D3" w:rsidRDefault="00AA7178" w:rsidP="00AA7178">
      <w:pPr>
        <w:spacing w:line="360" w:lineRule="auto"/>
        <w:ind w:firstLine="709"/>
        <w:jc w:val="center"/>
      </w:pPr>
      <w:r w:rsidRPr="006040D3">
        <w:t>Таблица 1. Видове криптоактиви</w:t>
      </w:r>
    </w:p>
    <w:p w14:paraId="313FA706" w14:textId="3742BF11" w:rsidR="00AA7178" w:rsidRPr="006040D3" w:rsidRDefault="00AA7178" w:rsidP="00AA7178">
      <w:pPr>
        <w:spacing w:line="360" w:lineRule="auto"/>
        <w:ind w:firstLine="709"/>
        <w:jc w:val="center"/>
      </w:pPr>
      <w:r w:rsidRPr="006040D3">
        <w:t xml:space="preserve">Източник: </w:t>
      </w:r>
      <w:r w:rsidRPr="006040D3">
        <w:t>Green (2023)</w:t>
      </w:r>
    </w:p>
    <w:tbl>
      <w:tblPr>
        <w:tblStyle w:val="TableGrid"/>
        <w:tblW w:w="0" w:type="auto"/>
        <w:tblLook w:val="04A0" w:firstRow="1" w:lastRow="0" w:firstColumn="1" w:lastColumn="0" w:noHBand="0" w:noVBand="1"/>
      </w:tblPr>
      <w:tblGrid>
        <w:gridCol w:w="1987"/>
        <w:gridCol w:w="2202"/>
        <w:gridCol w:w="2337"/>
        <w:gridCol w:w="2677"/>
      </w:tblGrid>
      <w:tr w:rsidR="00AA7178" w:rsidRPr="00AA7178" w14:paraId="5977D29F" w14:textId="77777777" w:rsidTr="00AA7178">
        <w:tc>
          <w:tcPr>
            <w:tcW w:w="0" w:type="auto"/>
            <w:hideMark/>
          </w:tcPr>
          <w:p w14:paraId="32593448" w14:textId="77777777" w:rsidR="00AA7178" w:rsidRPr="00AA7178" w:rsidRDefault="00AA7178" w:rsidP="00AA7178">
            <w:pPr>
              <w:widowControl/>
              <w:suppressAutoHyphens w:val="0"/>
              <w:spacing w:line="360" w:lineRule="auto"/>
              <w:jc w:val="center"/>
              <w:rPr>
                <w:b/>
                <w:bCs/>
                <w:kern w:val="0"/>
                <w:lang w:eastAsia="en-GB"/>
              </w:rPr>
            </w:pPr>
            <w:r w:rsidRPr="00AA7178">
              <w:rPr>
                <w:b/>
                <w:bCs/>
                <w:kern w:val="0"/>
                <w:lang w:eastAsia="en-GB"/>
              </w:rPr>
              <w:t>Вид криптоактив</w:t>
            </w:r>
          </w:p>
        </w:tc>
        <w:tc>
          <w:tcPr>
            <w:tcW w:w="0" w:type="auto"/>
            <w:hideMark/>
          </w:tcPr>
          <w:p w14:paraId="233778DD" w14:textId="77777777" w:rsidR="00AA7178" w:rsidRPr="00AA7178" w:rsidRDefault="00AA7178" w:rsidP="00AA7178">
            <w:pPr>
              <w:widowControl/>
              <w:suppressAutoHyphens w:val="0"/>
              <w:spacing w:line="360" w:lineRule="auto"/>
              <w:jc w:val="center"/>
              <w:rPr>
                <w:b/>
                <w:bCs/>
                <w:kern w:val="0"/>
                <w:lang w:eastAsia="en-GB"/>
              </w:rPr>
            </w:pPr>
            <w:r w:rsidRPr="00AA7178">
              <w:rPr>
                <w:b/>
                <w:bCs/>
                <w:kern w:val="0"/>
                <w:lang w:eastAsia="en-GB"/>
              </w:rPr>
              <w:t>Основна характеристика</w:t>
            </w:r>
          </w:p>
        </w:tc>
        <w:tc>
          <w:tcPr>
            <w:tcW w:w="0" w:type="auto"/>
            <w:hideMark/>
          </w:tcPr>
          <w:p w14:paraId="22246D6F" w14:textId="77777777" w:rsidR="00AA7178" w:rsidRPr="00AA7178" w:rsidRDefault="00AA7178" w:rsidP="00AA7178">
            <w:pPr>
              <w:widowControl/>
              <w:suppressAutoHyphens w:val="0"/>
              <w:spacing w:line="360" w:lineRule="auto"/>
              <w:jc w:val="center"/>
              <w:rPr>
                <w:b/>
                <w:bCs/>
                <w:kern w:val="0"/>
                <w:lang w:eastAsia="en-GB"/>
              </w:rPr>
            </w:pPr>
            <w:r w:rsidRPr="00AA7178">
              <w:rPr>
                <w:b/>
                <w:bCs/>
                <w:kern w:val="0"/>
                <w:lang w:eastAsia="en-GB"/>
              </w:rPr>
              <w:t>Предимства</w:t>
            </w:r>
          </w:p>
        </w:tc>
        <w:tc>
          <w:tcPr>
            <w:tcW w:w="0" w:type="auto"/>
            <w:hideMark/>
          </w:tcPr>
          <w:p w14:paraId="6A87092C" w14:textId="77777777" w:rsidR="00AA7178" w:rsidRPr="00AA7178" w:rsidRDefault="00AA7178" w:rsidP="00AA7178">
            <w:pPr>
              <w:widowControl/>
              <w:suppressAutoHyphens w:val="0"/>
              <w:spacing w:line="360" w:lineRule="auto"/>
              <w:jc w:val="center"/>
              <w:rPr>
                <w:b/>
                <w:bCs/>
                <w:kern w:val="0"/>
                <w:lang w:eastAsia="en-GB"/>
              </w:rPr>
            </w:pPr>
            <w:r w:rsidRPr="00AA7178">
              <w:rPr>
                <w:b/>
                <w:bCs/>
                <w:kern w:val="0"/>
                <w:lang w:eastAsia="en-GB"/>
              </w:rPr>
              <w:t>Недостатъци</w:t>
            </w:r>
          </w:p>
        </w:tc>
      </w:tr>
      <w:tr w:rsidR="00AA7178" w:rsidRPr="00AA7178" w14:paraId="5E1020C8" w14:textId="77777777" w:rsidTr="00AA7178">
        <w:tc>
          <w:tcPr>
            <w:tcW w:w="0" w:type="auto"/>
            <w:hideMark/>
          </w:tcPr>
          <w:p w14:paraId="64D7FE58" w14:textId="77777777" w:rsidR="00AA7178" w:rsidRPr="00AA7178" w:rsidRDefault="00AA7178" w:rsidP="00AA7178">
            <w:pPr>
              <w:widowControl/>
              <w:suppressAutoHyphens w:val="0"/>
              <w:spacing w:line="360" w:lineRule="auto"/>
              <w:rPr>
                <w:kern w:val="0"/>
                <w:lang w:eastAsia="en-GB"/>
              </w:rPr>
            </w:pPr>
            <w:r w:rsidRPr="00AA7178">
              <w:rPr>
                <w:kern w:val="0"/>
                <w:lang w:eastAsia="en-GB"/>
              </w:rPr>
              <w:t>Криптовалути (платежни токени)</w:t>
            </w:r>
          </w:p>
        </w:tc>
        <w:tc>
          <w:tcPr>
            <w:tcW w:w="0" w:type="auto"/>
            <w:hideMark/>
          </w:tcPr>
          <w:p w14:paraId="4D4554FA" w14:textId="77777777" w:rsidR="00AA7178" w:rsidRPr="00AA7178" w:rsidRDefault="00AA7178" w:rsidP="00AA7178">
            <w:pPr>
              <w:widowControl/>
              <w:suppressAutoHyphens w:val="0"/>
              <w:spacing w:line="360" w:lineRule="auto"/>
              <w:rPr>
                <w:kern w:val="0"/>
                <w:lang w:eastAsia="en-GB"/>
              </w:rPr>
            </w:pPr>
            <w:r w:rsidRPr="00AA7178">
              <w:rPr>
                <w:kern w:val="0"/>
                <w:lang w:eastAsia="en-GB"/>
              </w:rPr>
              <w:t>Използват се като средство за разплащане и съхраняване на стойност</w:t>
            </w:r>
          </w:p>
        </w:tc>
        <w:tc>
          <w:tcPr>
            <w:tcW w:w="0" w:type="auto"/>
            <w:hideMark/>
          </w:tcPr>
          <w:p w14:paraId="77D9E0F2" w14:textId="77777777" w:rsidR="00AA7178" w:rsidRPr="00AA7178" w:rsidRDefault="00AA7178" w:rsidP="00AA7178">
            <w:pPr>
              <w:widowControl/>
              <w:suppressAutoHyphens w:val="0"/>
              <w:spacing w:line="360" w:lineRule="auto"/>
              <w:rPr>
                <w:kern w:val="0"/>
                <w:lang w:eastAsia="en-GB"/>
              </w:rPr>
            </w:pPr>
            <w:r w:rsidRPr="00AA7178">
              <w:rPr>
                <w:kern w:val="0"/>
                <w:lang w:eastAsia="en-GB"/>
              </w:rPr>
              <w:t>Децентрализация, глобална достъпност, ограничено предлагане</w:t>
            </w:r>
          </w:p>
        </w:tc>
        <w:tc>
          <w:tcPr>
            <w:tcW w:w="0" w:type="auto"/>
            <w:hideMark/>
          </w:tcPr>
          <w:p w14:paraId="7C9793DB" w14:textId="77777777" w:rsidR="00AA7178" w:rsidRPr="00AA7178" w:rsidRDefault="00AA7178" w:rsidP="00AA7178">
            <w:pPr>
              <w:widowControl/>
              <w:suppressAutoHyphens w:val="0"/>
              <w:spacing w:line="360" w:lineRule="auto"/>
              <w:rPr>
                <w:kern w:val="0"/>
                <w:lang w:eastAsia="en-GB"/>
              </w:rPr>
            </w:pPr>
            <w:r w:rsidRPr="00AA7178">
              <w:rPr>
                <w:kern w:val="0"/>
                <w:lang w:eastAsia="en-GB"/>
              </w:rPr>
              <w:t>Висока волатилност, ограничено приемане, липса на регулаторна защита</w:t>
            </w:r>
          </w:p>
        </w:tc>
      </w:tr>
      <w:tr w:rsidR="00AA7178" w:rsidRPr="00AA7178" w14:paraId="7A69CAB5" w14:textId="77777777" w:rsidTr="00AA7178">
        <w:tc>
          <w:tcPr>
            <w:tcW w:w="0" w:type="auto"/>
            <w:hideMark/>
          </w:tcPr>
          <w:p w14:paraId="2BC68BF9" w14:textId="77777777" w:rsidR="00AA7178" w:rsidRPr="00AA7178" w:rsidRDefault="00AA7178" w:rsidP="00AA7178">
            <w:pPr>
              <w:widowControl/>
              <w:suppressAutoHyphens w:val="0"/>
              <w:spacing w:line="360" w:lineRule="auto"/>
              <w:rPr>
                <w:kern w:val="0"/>
                <w:lang w:eastAsia="en-GB"/>
              </w:rPr>
            </w:pPr>
            <w:r w:rsidRPr="00AA7178">
              <w:rPr>
                <w:kern w:val="0"/>
                <w:lang w:eastAsia="en-GB"/>
              </w:rPr>
              <w:t>Стабилни криптоактиви</w:t>
            </w:r>
          </w:p>
        </w:tc>
        <w:tc>
          <w:tcPr>
            <w:tcW w:w="0" w:type="auto"/>
            <w:hideMark/>
          </w:tcPr>
          <w:p w14:paraId="7AF497D6" w14:textId="77777777" w:rsidR="00AA7178" w:rsidRPr="00AA7178" w:rsidRDefault="00AA7178" w:rsidP="00AA7178">
            <w:pPr>
              <w:widowControl/>
              <w:suppressAutoHyphens w:val="0"/>
              <w:spacing w:line="360" w:lineRule="auto"/>
              <w:rPr>
                <w:kern w:val="0"/>
                <w:lang w:eastAsia="en-GB"/>
              </w:rPr>
            </w:pPr>
            <w:r w:rsidRPr="00AA7178">
              <w:rPr>
                <w:kern w:val="0"/>
                <w:lang w:eastAsia="en-GB"/>
              </w:rPr>
              <w:t>Обвързани с външен актив (валута, стока) за стабилност</w:t>
            </w:r>
          </w:p>
        </w:tc>
        <w:tc>
          <w:tcPr>
            <w:tcW w:w="0" w:type="auto"/>
            <w:hideMark/>
          </w:tcPr>
          <w:p w14:paraId="1471D86B" w14:textId="77777777" w:rsidR="00AA7178" w:rsidRPr="00AA7178" w:rsidRDefault="00AA7178" w:rsidP="00AA7178">
            <w:pPr>
              <w:widowControl/>
              <w:suppressAutoHyphens w:val="0"/>
              <w:spacing w:line="360" w:lineRule="auto"/>
              <w:rPr>
                <w:kern w:val="0"/>
                <w:lang w:eastAsia="en-GB"/>
              </w:rPr>
            </w:pPr>
            <w:r w:rsidRPr="00AA7178">
              <w:rPr>
                <w:kern w:val="0"/>
                <w:lang w:eastAsia="en-GB"/>
              </w:rPr>
              <w:t>Ниска волатилност, подходящи за разплащания и ликвидност</w:t>
            </w:r>
          </w:p>
        </w:tc>
        <w:tc>
          <w:tcPr>
            <w:tcW w:w="0" w:type="auto"/>
            <w:hideMark/>
          </w:tcPr>
          <w:p w14:paraId="6E883518" w14:textId="77777777" w:rsidR="00AA7178" w:rsidRPr="00AA7178" w:rsidRDefault="00AA7178" w:rsidP="00AA7178">
            <w:pPr>
              <w:widowControl/>
              <w:suppressAutoHyphens w:val="0"/>
              <w:spacing w:line="360" w:lineRule="auto"/>
              <w:rPr>
                <w:kern w:val="0"/>
                <w:lang w:eastAsia="en-GB"/>
              </w:rPr>
            </w:pPr>
            <w:r w:rsidRPr="00AA7178">
              <w:rPr>
                <w:kern w:val="0"/>
                <w:lang w:eastAsia="en-GB"/>
              </w:rPr>
              <w:t>Зависимост от обезпечение/емитент, риск от загуба на стабилност</w:t>
            </w:r>
          </w:p>
        </w:tc>
      </w:tr>
      <w:tr w:rsidR="00AA7178" w:rsidRPr="00AA7178" w14:paraId="120146C3" w14:textId="77777777" w:rsidTr="00AA7178">
        <w:tc>
          <w:tcPr>
            <w:tcW w:w="0" w:type="auto"/>
            <w:hideMark/>
          </w:tcPr>
          <w:p w14:paraId="47927EA9" w14:textId="77777777" w:rsidR="00AA7178" w:rsidRPr="00AA7178" w:rsidRDefault="00AA7178" w:rsidP="00AA7178">
            <w:pPr>
              <w:widowControl/>
              <w:suppressAutoHyphens w:val="0"/>
              <w:spacing w:line="360" w:lineRule="auto"/>
              <w:rPr>
                <w:kern w:val="0"/>
                <w:lang w:eastAsia="en-GB"/>
              </w:rPr>
            </w:pPr>
            <w:r w:rsidRPr="00AA7178">
              <w:rPr>
                <w:kern w:val="0"/>
                <w:lang w:eastAsia="en-GB"/>
              </w:rPr>
              <w:t>Токени с полезност</w:t>
            </w:r>
          </w:p>
        </w:tc>
        <w:tc>
          <w:tcPr>
            <w:tcW w:w="0" w:type="auto"/>
            <w:hideMark/>
          </w:tcPr>
          <w:p w14:paraId="5A11EB71" w14:textId="77777777" w:rsidR="00AA7178" w:rsidRPr="00AA7178" w:rsidRDefault="00AA7178" w:rsidP="00AA7178">
            <w:pPr>
              <w:widowControl/>
              <w:suppressAutoHyphens w:val="0"/>
              <w:spacing w:line="360" w:lineRule="auto"/>
              <w:rPr>
                <w:kern w:val="0"/>
                <w:lang w:eastAsia="en-GB"/>
              </w:rPr>
            </w:pPr>
            <w:r w:rsidRPr="00AA7178">
              <w:rPr>
                <w:kern w:val="0"/>
                <w:lang w:eastAsia="en-GB"/>
              </w:rPr>
              <w:t>Осигуряват достъп до услуги или платформи</w:t>
            </w:r>
          </w:p>
        </w:tc>
        <w:tc>
          <w:tcPr>
            <w:tcW w:w="0" w:type="auto"/>
            <w:hideMark/>
          </w:tcPr>
          <w:p w14:paraId="7C8223EA" w14:textId="77777777" w:rsidR="00AA7178" w:rsidRPr="00AA7178" w:rsidRDefault="00AA7178" w:rsidP="00AA7178">
            <w:pPr>
              <w:widowControl/>
              <w:suppressAutoHyphens w:val="0"/>
              <w:spacing w:line="360" w:lineRule="auto"/>
              <w:rPr>
                <w:kern w:val="0"/>
                <w:lang w:eastAsia="en-GB"/>
              </w:rPr>
            </w:pPr>
            <w:r w:rsidRPr="00AA7178">
              <w:rPr>
                <w:kern w:val="0"/>
                <w:lang w:eastAsia="en-GB"/>
              </w:rPr>
              <w:t>Функционалност, стимулират иновации и дигитални екосистеми</w:t>
            </w:r>
          </w:p>
        </w:tc>
        <w:tc>
          <w:tcPr>
            <w:tcW w:w="0" w:type="auto"/>
            <w:hideMark/>
          </w:tcPr>
          <w:p w14:paraId="27A8CE5B" w14:textId="77777777" w:rsidR="00AA7178" w:rsidRPr="00AA7178" w:rsidRDefault="00AA7178" w:rsidP="00AA7178">
            <w:pPr>
              <w:widowControl/>
              <w:suppressAutoHyphens w:val="0"/>
              <w:spacing w:line="360" w:lineRule="auto"/>
              <w:rPr>
                <w:kern w:val="0"/>
                <w:lang w:eastAsia="en-GB"/>
              </w:rPr>
            </w:pPr>
            <w:r w:rsidRPr="00AA7178">
              <w:rPr>
                <w:kern w:val="0"/>
                <w:lang w:eastAsia="en-GB"/>
              </w:rPr>
              <w:t>Зависимост от успеха на проекта, висока несигурност</w:t>
            </w:r>
          </w:p>
        </w:tc>
      </w:tr>
      <w:tr w:rsidR="00AA7178" w:rsidRPr="00AA7178" w14:paraId="6F145C17" w14:textId="77777777" w:rsidTr="00AA7178">
        <w:tc>
          <w:tcPr>
            <w:tcW w:w="0" w:type="auto"/>
            <w:hideMark/>
          </w:tcPr>
          <w:p w14:paraId="5604682D" w14:textId="77777777" w:rsidR="00AA7178" w:rsidRPr="00AA7178" w:rsidRDefault="00AA7178" w:rsidP="00AA7178">
            <w:pPr>
              <w:widowControl/>
              <w:suppressAutoHyphens w:val="0"/>
              <w:spacing w:line="360" w:lineRule="auto"/>
              <w:rPr>
                <w:kern w:val="0"/>
                <w:lang w:eastAsia="en-GB"/>
              </w:rPr>
            </w:pPr>
            <w:r w:rsidRPr="00AA7178">
              <w:rPr>
                <w:kern w:val="0"/>
                <w:lang w:eastAsia="en-GB"/>
              </w:rPr>
              <w:t>Токени, представляващи ценни книжа</w:t>
            </w:r>
          </w:p>
        </w:tc>
        <w:tc>
          <w:tcPr>
            <w:tcW w:w="0" w:type="auto"/>
            <w:hideMark/>
          </w:tcPr>
          <w:p w14:paraId="021D6F2D" w14:textId="77777777" w:rsidR="00AA7178" w:rsidRPr="00AA7178" w:rsidRDefault="00AA7178" w:rsidP="00AA7178">
            <w:pPr>
              <w:widowControl/>
              <w:suppressAutoHyphens w:val="0"/>
              <w:spacing w:line="360" w:lineRule="auto"/>
              <w:rPr>
                <w:kern w:val="0"/>
                <w:lang w:eastAsia="en-GB"/>
              </w:rPr>
            </w:pPr>
            <w:r w:rsidRPr="00AA7178">
              <w:rPr>
                <w:kern w:val="0"/>
                <w:lang w:eastAsia="en-GB"/>
              </w:rPr>
              <w:t>Отразяват права на собственост или инвестиция</w:t>
            </w:r>
          </w:p>
        </w:tc>
        <w:tc>
          <w:tcPr>
            <w:tcW w:w="0" w:type="auto"/>
            <w:hideMark/>
          </w:tcPr>
          <w:p w14:paraId="3E3EC93F" w14:textId="77777777" w:rsidR="00AA7178" w:rsidRPr="00AA7178" w:rsidRDefault="00AA7178" w:rsidP="00AA7178">
            <w:pPr>
              <w:widowControl/>
              <w:suppressAutoHyphens w:val="0"/>
              <w:spacing w:line="360" w:lineRule="auto"/>
              <w:rPr>
                <w:kern w:val="0"/>
                <w:lang w:eastAsia="en-GB"/>
              </w:rPr>
            </w:pPr>
            <w:r w:rsidRPr="00AA7178">
              <w:rPr>
                <w:kern w:val="0"/>
                <w:lang w:eastAsia="en-GB"/>
              </w:rPr>
              <w:t>Дигитализация на инвестиции, по-широк достъп, прозрачност</w:t>
            </w:r>
          </w:p>
        </w:tc>
        <w:tc>
          <w:tcPr>
            <w:tcW w:w="0" w:type="auto"/>
            <w:hideMark/>
          </w:tcPr>
          <w:p w14:paraId="09BB3CB3" w14:textId="77777777" w:rsidR="00AA7178" w:rsidRPr="00AA7178" w:rsidRDefault="00AA7178" w:rsidP="00AA7178">
            <w:pPr>
              <w:widowControl/>
              <w:suppressAutoHyphens w:val="0"/>
              <w:spacing w:line="360" w:lineRule="auto"/>
              <w:rPr>
                <w:kern w:val="0"/>
                <w:lang w:eastAsia="en-GB"/>
              </w:rPr>
            </w:pPr>
            <w:r w:rsidRPr="00AA7178">
              <w:rPr>
                <w:kern w:val="0"/>
                <w:lang w:eastAsia="en-GB"/>
              </w:rPr>
              <w:t>Регулаторни ограничения, правна несигурност</w:t>
            </w:r>
          </w:p>
        </w:tc>
      </w:tr>
      <w:tr w:rsidR="00AA7178" w:rsidRPr="00AA7178" w14:paraId="1C7190C1" w14:textId="77777777" w:rsidTr="00AA7178">
        <w:tc>
          <w:tcPr>
            <w:tcW w:w="0" w:type="auto"/>
            <w:hideMark/>
          </w:tcPr>
          <w:p w14:paraId="7B1DDFFA" w14:textId="77777777" w:rsidR="00AA7178" w:rsidRPr="00AA7178" w:rsidRDefault="00AA7178" w:rsidP="00AA7178">
            <w:pPr>
              <w:widowControl/>
              <w:suppressAutoHyphens w:val="0"/>
              <w:spacing w:line="360" w:lineRule="auto"/>
              <w:rPr>
                <w:kern w:val="0"/>
                <w:lang w:eastAsia="en-GB"/>
              </w:rPr>
            </w:pPr>
            <w:r w:rsidRPr="00AA7178">
              <w:rPr>
                <w:kern w:val="0"/>
                <w:lang w:eastAsia="en-GB"/>
              </w:rPr>
              <w:t>Токени за управление</w:t>
            </w:r>
          </w:p>
        </w:tc>
        <w:tc>
          <w:tcPr>
            <w:tcW w:w="0" w:type="auto"/>
            <w:hideMark/>
          </w:tcPr>
          <w:p w14:paraId="44268350" w14:textId="77777777" w:rsidR="00AA7178" w:rsidRPr="00AA7178" w:rsidRDefault="00AA7178" w:rsidP="00AA7178">
            <w:pPr>
              <w:widowControl/>
              <w:suppressAutoHyphens w:val="0"/>
              <w:spacing w:line="360" w:lineRule="auto"/>
              <w:rPr>
                <w:kern w:val="0"/>
                <w:lang w:eastAsia="en-GB"/>
              </w:rPr>
            </w:pPr>
            <w:r w:rsidRPr="00AA7178">
              <w:rPr>
                <w:kern w:val="0"/>
                <w:lang w:eastAsia="en-GB"/>
              </w:rPr>
              <w:t xml:space="preserve">Дават право на участие във </w:t>
            </w:r>
            <w:r w:rsidRPr="00AA7178">
              <w:rPr>
                <w:kern w:val="0"/>
                <w:lang w:eastAsia="en-GB"/>
              </w:rPr>
              <w:lastRenderedPageBreak/>
              <w:t>вземането на решения</w:t>
            </w:r>
          </w:p>
        </w:tc>
        <w:tc>
          <w:tcPr>
            <w:tcW w:w="0" w:type="auto"/>
            <w:hideMark/>
          </w:tcPr>
          <w:p w14:paraId="148879E5" w14:textId="77777777" w:rsidR="00AA7178" w:rsidRPr="00AA7178" w:rsidRDefault="00AA7178" w:rsidP="00AA7178">
            <w:pPr>
              <w:widowControl/>
              <w:suppressAutoHyphens w:val="0"/>
              <w:spacing w:line="360" w:lineRule="auto"/>
              <w:rPr>
                <w:kern w:val="0"/>
                <w:lang w:eastAsia="en-GB"/>
              </w:rPr>
            </w:pPr>
            <w:r w:rsidRPr="00AA7178">
              <w:rPr>
                <w:kern w:val="0"/>
                <w:lang w:eastAsia="en-GB"/>
              </w:rPr>
              <w:lastRenderedPageBreak/>
              <w:t>Децентрализирано управление, прозрачност</w:t>
            </w:r>
          </w:p>
        </w:tc>
        <w:tc>
          <w:tcPr>
            <w:tcW w:w="0" w:type="auto"/>
            <w:hideMark/>
          </w:tcPr>
          <w:p w14:paraId="52B8F3E6" w14:textId="77777777" w:rsidR="00AA7178" w:rsidRPr="00AA7178" w:rsidRDefault="00AA7178" w:rsidP="00AA7178">
            <w:pPr>
              <w:widowControl/>
              <w:suppressAutoHyphens w:val="0"/>
              <w:spacing w:line="360" w:lineRule="auto"/>
              <w:rPr>
                <w:kern w:val="0"/>
                <w:lang w:eastAsia="en-GB"/>
              </w:rPr>
            </w:pPr>
            <w:r w:rsidRPr="00AA7178">
              <w:rPr>
                <w:kern w:val="0"/>
                <w:lang w:eastAsia="en-GB"/>
              </w:rPr>
              <w:t xml:space="preserve">Концентрация на влияние, ниска </w:t>
            </w:r>
            <w:r w:rsidRPr="00AA7178">
              <w:rPr>
                <w:kern w:val="0"/>
                <w:lang w:eastAsia="en-GB"/>
              </w:rPr>
              <w:lastRenderedPageBreak/>
              <w:t>активност на участниците</w:t>
            </w:r>
          </w:p>
        </w:tc>
      </w:tr>
      <w:tr w:rsidR="00AA7178" w:rsidRPr="00AA7178" w14:paraId="7F578E0C" w14:textId="77777777" w:rsidTr="00AA7178">
        <w:tc>
          <w:tcPr>
            <w:tcW w:w="0" w:type="auto"/>
            <w:hideMark/>
          </w:tcPr>
          <w:p w14:paraId="4BCAF98E" w14:textId="77777777" w:rsidR="00AA7178" w:rsidRPr="00AA7178" w:rsidRDefault="00AA7178" w:rsidP="00AA7178">
            <w:pPr>
              <w:widowControl/>
              <w:suppressAutoHyphens w:val="0"/>
              <w:spacing w:line="360" w:lineRule="auto"/>
              <w:rPr>
                <w:kern w:val="0"/>
                <w:lang w:eastAsia="en-GB"/>
              </w:rPr>
            </w:pPr>
            <w:r w:rsidRPr="00AA7178">
              <w:rPr>
                <w:kern w:val="0"/>
                <w:lang w:eastAsia="en-GB"/>
              </w:rPr>
              <w:lastRenderedPageBreak/>
              <w:t>Незаменими токени</w:t>
            </w:r>
          </w:p>
        </w:tc>
        <w:tc>
          <w:tcPr>
            <w:tcW w:w="0" w:type="auto"/>
            <w:hideMark/>
          </w:tcPr>
          <w:p w14:paraId="44D49454" w14:textId="77777777" w:rsidR="00AA7178" w:rsidRPr="00AA7178" w:rsidRDefault="00AA7178" w:rsidP="00AA7178">
            <w:pPr>
              <w:widowControl/>
              <w:suppressAutoHyphens w:val="0"/>
              <w:spacing w:line="360" w:lineRule="auto"/>
              <w:rPr>
                <w:kern w:val="0"/>
                <w:lang w:eastAsia="en-GB"/>
              </w:rPr>
            </w:pPr>
            <w:r w:rsidRPr="00AA7178">
              <w:rPr>
                <w:kern w:val="0"/>
                <w:lang w:eastAsia="en-GB"/>
              </w:rPr>
              <w:t>Уникални дигитални активи, удостоверяващи собственост</w:t>
            </w:r>
          </w:p>
        </w:tc>
        <w:tc>
          <w:tcPr>
            <w:tcW w:w="0" w:type="auto"/>
            <w:hideMark/>
          </w:tcPr>
          <w:p w14:paraId="2A4B28E4" w14:textId="77777777" w:rsidR="00AA7178" w:rsidRPr="00AA7178" w:rsidRDefault="00AA7178" w:rsidP="00AA7178">
            <w:pPr>
              <w:widowControl/>
              <w:suppressAutoHyphens w:val="0"/>
              <w:spacing w:line="360" w:lineRule="auto"/>
              <w:rPr>
                <w:kern w:val="0"/>
                <w:lang w:eastAsia="en-GB"/>
              </w:rPr>
            </w:pPr>
            <w:r w:rsidRPr="00AA7178">
              <w:rPr>
                <w:kern w:val="0"/>
                <w:lang w:eastAsia="en-GB"/>
              </w:rPr>
              <w:t>Доказване на автентичност, нови възможности за монетизация</w:t>
            </w:r>
          </w:p>
        </w:tc>
        <w:tc>
          <w:tcPr>
            <w:tcW w:w="0" w:type="auto"/>
            <w:hideMark/>
          </w:tcPr>
          <w:p w14:paraId="206C8C85" w14:textId="77777777" w:rsidR="00AA7178" w:rsidRPr="00AA7178" w:rsidRDefault="00AA7178" w:rsidP="00AA7178">
            <w:pPr>
              <w:widowControl/>
              <w:suppressAutoHyphens w:val="0"/>
              <w:spacing w:line="360" w:lineRule="auto"/>
              <w:rPr>
                <w:kern w:val="0"/>
                <w:lang w:eastAsia="en-GB"/>
              </w:rPr>
            </w:pPr>
            <w:r w:rsidRPr="00AA7178">
              <w:rPr>
                <w:kern w:val="0"/>
                <w:lang w:eastAsia="en-GB"/>
              </w:rPr>
              <w:t>Спекулативност, нестабилна стойност, правни рискове</w:t>
            </w:r>
          </w:p>
        </w:tc>
      </w:tr>
    </w:tbl>
    <w:p w14:paraId="63D2B485" w14:textId="77777777" w:rsidR="00AA7178" w:rsidRPr="00AA7178" w:rsidRDefault="00AA7178" w:rsidP="00AA7178">
      <w:pPr>
        <w:spacing w:line="360" w:lineRule="auto"/>
        <w:ind w:firstLine="709"/>
        <w:jc w:val="center"/>
      </w:pPr>
    </w:p>
    <w:p w14:paraId="4105B983" w14:textId="77777777" w:rsidR="00AA7178" w:rsidRPr="00AA7178" w:rsidRDefault="00AA7178" w:rsidP="00AA7178">
      <w:pPr>
        <w:spacing w:line="360" w:lineRule="auto"/>
        <w:ind w:firstLine="709"/>
        <w:jc w:val="both"/>
      </w:pPr>
      <w:r w:rsidRPr="00AA7178">
        <w:t>Криптовалутите, известни още като платежни токени, представляват най-ранната и най-разпространена форма на криптоактиви. Тяхната основна функция е да служат като средство за размяна и съхраняване на стойност. Те функционират като дигитален еквивалент на парите, но без централен емитент и без официален статут на законно платежно средство. Примери за такива активи са биткойн и лайткойн. Основните им предимства са свързани с възможността за извършване на бързи и глобални трансакции, относително ниските транзакционни разходи и независимостта от традиционните финансови институции. Ограниченото предлагане при някои от тях допълнително засилва тяхната привлекателност като потенциален инструмент за съхраняване на стойност. В същото време съществуват и съществени недостатъци, като висока ценова волатилност, ограничено приемане като средство за плащане и липса на регулаторна защита, което ги прави по-рискови в сравнение с традиционните валути.</w:t>
      </w:r>
    </w:p>
    <w:p w14:paraId="13AAAB30" w14:textId="77777777" w:rsidR="00AA7178" w:rsidRPr="00AA7178" w:rsidRDefault="00AA7178" w:rsidP="00AA7178">
      <w:pPr>
        <w:spacing w:line="360" w:lineRule="auto"/>
        <w:ind w:firstLine="709"/>
        <w:jc w:val="both"/>
      </w:pPr>
      <w:r w:rsidRPr="00AA7178">
        <w:t>Стабилните криптоактиви представляват специфичен вид, при който се цели минимизиране на ценовите колебания чрез обвързване на стойността с външен референтен актив, като фиатна валута, стока или кошница от активи. Тези активи се използват широко като средство за съхраняване на стойност в рамките на криптопазара и като междинен инструмент при търговия. Основното им предимство е относителната ценова стабилност, която ги прави по-подходящи за разплащания и управление на ликвидността. Те също така улесняват прехвърлянето на средства между различни платформи и намаляват риска, свързан с волатилността. Въпреки това, стабилните криптоактиви не са лишени от рискове. Тяхната стабилност зависи от механизма на обезпечение и от доверието в емитента или алгоритъма, който поддържа връзката с референтния актив. При липса на прозрачност или недостатъчно обезпечение съществува риск от загуба на стабилността, което може да доведе до значителни пазарни сътресения.</w:t>
      </w:r>
    </w:p>
    <w:p w14:paraId="157606B0" w14:textId="77777777" w:rsidR="00AA7178" w:rsidRPr="00AA7178" w:rsidRDefault="00AA7178" w:rsidP="00AA7178">
      <w:pPr>
        <w:spacing w:line="360" w:lineRule="auto"/>
        <w:ind w:firstLine="709"/>
        <w:jc w:val="both"/>
      </w:pPr>
      <w:r w:rsidRPr="00AA7178">
        <w:lastRenderedPageBreak/>
        <w:t>Токените с полезност представляват криптоактиви, които осигуряват достъп до определени услуги, продукти или функционалности в рамките на конкретна платформа. Те не са предназначени предимно като средство за разплащане или инвестиция, а като инструмент за участие в определена екосистема. Притежаването на такъв токен може да дава право на използване на услуга, на получаване на отстъпки или на достъп до специфични функции. Предимствата на този тип активи са свързани с тяхната функционалност и възможността за интегриране в различни дигитални платформи, което стимулира иновациите и развитието на нови бизнес модели. В същото време техните недостатъци произтичат от зависимостта им от успеха на конкретния проект или платформа. При липса на реално търсене или при неуспех на проекта стойността на тези токени може да се понижи значително, което увеличава инвестиционния риск.</w:t>
      </w:r>
    </w:p>
    <w:p w14:paraId="6BEB54E4" w14:textId="77777777" w:rsidR="00AA7178" w:rsidRPr="00AA7178" w:rsidRDefault="00AA7178" w:rsidP="00AA7178">
      <w:pPr>
        <w:spacing w:line="360" w:lineRule="auto"/>
        <w:ind w:firstLine="709"/>
        <w:jc w:val="both"/>
      </w:pPr>
      <w:r w:rsidRPr="00AA7178">
        <w:t>Токените, представляващи ценни книжа, са криптоактиви, които отразяват права на собственост, участие или вземания, аналогични на традиционните финансови инструменти като акции или облигации. Те често са свързани с реални активи или инвестиционни проекти и подлежат на регулация в зависимост от съответната правна рамка. Основното им предимство е възможността за дигитализация на инвестиционните процеси, което води до по-голяма ефективност, прозрачност и достъпност. Те позволяват разделяне на собствеността на по-малки части, което улеснява участието на по-широк кръг инвеститори. Въпреки това, тези активи са обект на сложна регулаторна среда, което може да ограничи тяхното развитие и да създаде правни несигурности. Освен това те изискват по-висока степен на съответствие с нормативните изисквания, което увеличава разходите за тяхното емитиране и управление.</w:t>
      </w:r>
    </w:p>
    <w:p w14:paraId="3E24AF8E" w14:textId="77777777" w:rsidR="00AA7178" w:rsidRPr="00AA7178" w:rsidRDefault="00AA7178" w:rsidP="00AA7178">
      <w:pPr>
        <w:spacing w:line="360" w:lineRule="auto"/>
        <w:ind w:firstLine="709"/>
        <w:jc w:val="both"/>
      </w:pPr>
      <w:r w:rsidRPr="00AA7178">
        <w:t xml:space="preserve">Токените за управление представляват специфичен вид криптоактиви, които предоставят на притежателите право на участие в процесите на вземане на решения в рамките на децентрализирани организации. Те позволяват гласуване по ключови въпроси, свързани с развитието на проекта, промени в протокола или разпределение на ресурси. Основното им предимство е свързано с демократизирането на управлението и включването на общността в процеса на вземане на решения. Това създава по-голяма прозрачност и ангажираност на участниците. В същото време съществуват и ограничения, свързани с концентрацията на токени в малък брой участници, което може да доведе до неравномерно разпределение на влиянието. Освен това ефективността на процеса на вземане на решения </w:t>
      </w:r>
      <w:r w:rsidRPr="00AA7178">
        <w:lastRenderedPageBreak/>
        <w:t>може да бъде ограничена от ниска активност или липса на експертност сред участниците.</w:t>
      </w:r>
    </w:p>
    <w:p w14:paraId="206FB6D3" w14:textId="77777777" w:rsidR="00AA7178" w:rsidRPr="00AA7178" w:rsidRDefault="00AA7178" w:rsidP="00AA7178">
      <w:pPr>
        <w:spacing w:line="360" w:lineRule="auto"/>
        <w:ind w:firstLine="709"/>
        <w:jc w:val="both"/>
      </w:pPr>
      <w:r w:rsidRPr="00AA7178">
        <w:t>Незаменимите токени представляват уникален вид криптоактиви, които се отличават с това, че всеки токен е индивидуален и не може да бъде заменен с друг със същата стойност. Те се използват за удостоверяване на собственост върху конкретни дигитални или физически обекти, като произведения на изкуството, музика, колекционерски предмети или виртуални активи. Основното им предимство е възможността за създаване на дигитална оскъдност и доказване на автентичност, което има особено значение в творческите индустрии. Те предоставят нови възможности за монетизация и директна връзка между създатели и потребители. В същото време съществуват и съществени недостатъци, като висока спекулативност, липса на стабилна пазарна стойност и рискове, свързани с правата на интелектуална собственост. Освен това стойността на тези активи често зависи от субективни фактори, което увеличава несигурността за инвеститорите.</w:t>
      </w:r>
    </w:p>
    <w:p w14:paraId="2149801B" w14:textId="108A0DFF" w:rsidR="00F9181B" w:rsidRPr="006040D3" w:rsidRDefault="00CB165E" w:rsidP="00F9181B">
      <w:pPr>
        <w:spacing w:line="360" w:lineRule="auto"/>
        <w:ind w:firstLine="709"/>
        <w:jc w:val="both"/>
      </w:pPr>
      <w:r w:rsidRPr="006040D3">
        <w:rPr>
          <w:b/>
          <w:bCs/>
        </w:rPr>
        <w:t xml:space="preserve">1.3. </w:t>
      </w:r>
      <w:r w:rsidR="00F9181B" w:rsidRPr="00F9181B">
        <w:rPr>
          <w:b/>
          <w:bCs/>
        </w:rPr>
        <w:t>Роля и функции на криптоактивите в съвременната финансова система</w:t>
      </w:r>
    </w:p>
    <w:p w14:paraId="4D7F09B2" w14:textId="5BF8D17D" w:rsidR="00401DDA" w:rsidRPr="00401DDA" w:rsidRDefault="00401DDA" w:rsidP="00401DDA">
      <w:pPr>
        <w:spacing w:line="360" w:lineRule="auto"/>
        <w:ind w:firstLine="709"/>
        <w:jc w:val="both"/>
      </w:pPr>
      <w:r w:rsidRPr="006040D3">
        <w:t xml:space="preserve">През последние години </w:t>
      </w:r>
      <w:r w:rsidRPr="00401DDA">
        <w:t>криптоактивите преминават съществена трансформация, като от нишов и предимно спекулативен феномен се превръщат във важен елемент от съвременната финансова инфраструктура. Тази еволюция се характеризира с постепенното им интегриране в традиционната финансова система, което се осъществява паралелно с развитието на регулаторни рамки и технологични иновации. В резултат криптоактивите започват да функционират не само като самостоятелен пазар, но и като допълващ слой за разплащания и сетълмент, който повишава ефективността, прозрачността и скоростта на финансовите операции в глобален мащаб</w:t>
      </w:r>
      <w:r w:rsidRPr="006040D3">
        <w:rPr>
          <w:rStyle w:val="FootnoteReference"/>
        </w:rPr>
        <w:footnoteReference w:id="13"/>
      </w:r>
      <w:r w:rsidRPr="00401DDA">
        <w:t>.</w:t>
      </w:r>
    </w:p>
    <w:p w14:paraId="1DA3E308" w14:textId="3DD854E5" w:rsidR="00401DDA" w:rsidRPr="00401DDA" w:rsidRDefault="00401DDA" w:rsidP="00401DDA">
      <w:pPr>
        <w:spacing w:line="360" w:lineRule="auto"/>
        <w:ind w:firstLine="709"/>
        <w:jc w:val="both"/>
      </w:pPr>
      <w:r w:rsidRPr="00401DDA">
        <w:t xml:space="preserve">Една от най-значимите роли на криптоактивите в този контекст е тяхната функция като глобален платежен и сетълментен слой. Особено важно значение придобиват стабилните криптоактиви, които се утвърждават като широко използван инструмент за трансгранични разплащания, корпоративни трансакции и управление на ликвидността. Тяхната способност да осигуряват почти незабавно уреждане на трансакции, функциониращо непрекъснато и независимо от традиционните банкови системи, създава </w:t>
      </w:r>
      <w:r w:rsidRPr="00401DDA">
        <w:lastRenderedPageBreak/>
        <w:t>алтернатива на съществуващите платежни инфраструктури, които често се характеризират с по-високи разходи и по-дълги срокове за обработка. Това води до намаляване на зависимостта от класическите банкови канали и до оптимизиране на финансовите потоци, особено в международен контекст</w:t>
      </w:r>
      <w:r w:rsidRPr="006040D3">
        <w:rPr>
          <w:rStyle w:val="FootnoteReference"/>
        </w:rPr>
        <w:footnoteReference w:id="14"/>
      </w:r>
      <w:r w:rsidRPr="00401DDA">
        <w:t>.</w:t>
      </w:r>
    </w:p>
    <w:p w14:paraId="33497CEE" w14:textId="77777777" w:rsidR="00401DDA" w:rsidRPr="00401DDA" w:rsidRDefault="00401DDA" w:rsidP="00401DDA">
      <w:pPr>
        <w:spacing w:line="360" w:lineRule="auto"/>
        <w:ind w:firstLine="709"/>
        <w:jc w:val="both"/>
      </w:pPr>
      <w:r w:rsidRPr="00401DDA">
        <w:t>Паралелно с това се наблюдава значително развитие на процеса на токенизация на реални активи, който преминава от експериментална фаза към реално приложение в широк мащаб. Различни категории активи, включително държавни ценни книжа, корпоративни дългови инструменти, недвижими имоти и акции, започват да се представят в дигитална форма чрез блокчейн технологии. Това позволява повишаване на ликвидността, улесняване на търговията и намаляване на транзакционните разходи. Токенизацията също така създава възможност за изграждане на нови финансови пазари, като например дигитални парични пазари и механизми за краткосрочно финансиране, в които активите се използват като обезпечение в децентрализирана среда.</w:t>
      </w:r>
    </w:p>
    <w:p w14:paraId="254A73D4" w14:textId="529FA8E0" w:rsidR="00401DDA" w:rsidRPr="00401DDA" w:rsidRDefault="00401DDA" w:rsidP="00401DDA">
      <w:pPr>
        <w:spacing w:line="360" w:lineRule="auto"/>
        <w:ind w:firstLine="709"/>
        <w:jc w:val="both"/>
      </w:pPr>
      <w:r w:rsidRPr="00401DDA">
        <w:t>Криптоактивите постепенно се утвърждават и като отделен клас активи в институционалните инвестиционни портфейли. Големи финансови институции и корпорации започват да включват такива активи като част от своите стратегии за управление на резерви и диверсификация. В този контекст биткойн често се разглежда като стратегически резервен актив, използван за защита срещу обезценяване на фиатните валути и за съхраняване на стойност в дългосрочен план. Това развитие показва, че криптоактивите вече не са ограничени до индивидуални инвеститори, а се интегрират в корпоративните финансови стратегии</w:t>
      </w:r>
      <w:r w:rsidRPr="006040D3">
        <w:rPr>
          <w:rStyle w:val="FootnoteReference"/>
        </w:rPr>
        <w:footnoteReference w:id="15"/>
      </w:r>
      <w:r w:rsidRPr="00401DDA">
        <w:t>.</w:t>
      </w:r>
    </w:p>
    <w:p w14:paraId="344A5CCA" w14:textId="2A76264E" w:rsidR="00401DDA" w:rsidRPr="00401DDA" w:rsidRDefault="00401DDA" w:rsidP="00401DDA">
      <w:pPr>
        <w:spacing w:line="360" w:lineRule="auto"/>
        <w:ind w:firstLine="709"/>
        <w:jc w:val="both"/>
      </w:pPr>
      <w:r w:rsidRPr="00401DDA">
        <w:t xml:space="preserve">Съществена роля играе и развитието на програмируемите финансови услуги, които се реализират чрез използването на автоматизирани договорни механизми. Тези технологии позволяват автоматично изпълнение на финансови операции като кредитиране, заемане и търговия, без необходимост от посредници. Така се създава нова инфраструктура за предоставяне на ликвидност и управление на активи, която функционира на базата на предварително зададени правила. В съвременния етап тези </w:t>
      </w:r>
      <w:r w:rsidRPr="00401DDA">
        <w:lastRenderedPageBreak/>
        <w:t>системи започват да се професионализират и да се използват в по-структурирана и регулирана среда, включително чрез участието на институционални инвеститори</w:t>
      </w:r>
      <w:r w:rsidRPr="006040D3">
        <w:rPr>
          <w:rStyle w:val="FootnoteReference"/>
        </w:rPr>
        <w:footnoteReference w:id="16"/>
      </w:r>
      <w:r w:rsidRPr="00401DDA">
        <w:t>.</w:t>
      </w:r>
    </w:p>
    <w:p w14:paraId="23D683E2" w14:textId="243EA895" w:rsidR="00401DDA" w:rsidRPr="00401DDA" w:rsidRDefault="00401DDA" w:rsidP="00401DDA">
      <w:pPr>
        <w:spacing w:line="360" w:lineRule="auto"/>
        <w:ind w:firstLine="709"/>
        <w:jc w:val="both"/>
      </w:pPr>
      <w:r w:rsidRPr="006040D3">
        <w:t xml:space="preserve">Особено важно за </w:t>
      </w:r>
      <w:r w:rsidRPr="00401DDA">
        <w:t>развитието на криптоактивите е тяхното постепенно „невидимо“ интегриране в съществуващите финансови и технологични системи. Все по-често крайните потребители използват приложения и услуги, базирани на блокчейн технологии, без да осъзнават това, тъй като функционалностите са внедрени в стандартни финансови и технологични интерфейси. Това води до разширяване на приложението на криптоактивите и до тяхното превръщане в част от ежедневната финансова инфраструктура</w:t>
      </w:r>
      <w:r w:rsidRPr="006040D3">
        <w:rPr>
          <w:rStyle w:val="FootnoteReference"/>
        </w:rPr>
        <w:footnoteReference w:id="17"/>
      </w:r>
      <w:r w:rsidRPr="00401DDA">
        <w:t>.</w:t>
      </w:r>
    </w:p>
    <w:p w14:paraId="778E280D" w14:textId="77777777" w:rsidR="00401DDA" w:rsidRPr="00401DDA" w:rsidRDefault="00401DDA" w:rsidP="00401DDA">
      <w:pPr>
        <w:spacing w:line="360" w:lineRule="auto"/>
        <w:ind w:firstLine="709"/>
        <w:jc w:val="both"/>
      </w:pPr>
      <w:r w:rsidRPr="00401DDA">
        <w:t>В допълнение, взаимодействието между криптоактивите и новите технологични направления, като изкуствения интелект, създава предпоставки за възникване на нови форми на дигитална икономическа активност. В този контекст се развиват модели, при които автоматизирани системи могат самостоятелно да извършват трансакции, да управляват ресурси и да оптимизират финансови процеси. Това разширява възможностите за автоматизация и ефективност, като същевременно поставя нови въпроси относно контрола, сигурността и регулацията.</w:t>
      </w:r>
    </w:p>
    <w:p w14:paraId="23A36858" w14:textId="77777777" w:rsidR="00401DDA" w:rsidRPr="00401DDA" w:rsidRDefault="00401DDA" w:rsidP="00401DDA">
      <w:pPr>
        <w:spacing w:line="360" w:lineRule="auto"/>
        <w:ind w:firstLine="709"/>
        <w:jc w:val="both"/>
      </w:pPr>
      <w:r w:rsidRPr="00401DDA">
        <w:t>Наред с функционалното развитие, се наблюдават и важни структурни тенденции, които определят бъдещето на криптоактивите. Една от тях е постепенното сближаване между традиционната финансова система и децентрализираните технологии. Финансовите институции започват активно да инвестират в криптоинфраструктура, да придобиват специализирани компании и да разработват собствени решения, което води до интеграция на двата сектора. Това се съпровожда от нарастваща регулаторна яснота, която създава по-сигурна среда за институционално участие.</w:t>
      </w:r>
    </w:p>
    <w:p w14:paraId="4EE6C7EB" w14:textId="0381A423" w:rsidR="00401DDA" w:rsidRPr="00401DDA" w:rsidRDefault="00401DDA" w:rsidP="00401DDA">
      <w:pPr>
        <w:spacing w:line="360" w:lineRule="auto"/>
        <w:ind w:firstLine="709"/>
        <w:jc w:val="both"/>
      </w:pPr>
      <w:r w:rsidRPr="00401DDA">
        <w:t xml:space="preserve">Важен аспект на тази трансформация е и промяната в стратегиите на институциите, които все по-често предпочитат да придобиват вече съществуващи технологични решения, вместо да ги разработват самостоятелно. Това ускорява внедряването на криптотехнологии и допринася за по-бързото им навлизане в практиката. Същевременно развитието на </w:t>
      </w:r>
      <w:r w:rsidRPr="00401DDA">
        <w:lastRenderedPageBreak/>
        <w:t>високопроизводителни блокчейн мрежи и решения за мащабируемост позволява обработката на голям обем трансакции, което е ключово условие за институционалното им използване</w:t>
      </w:r>
      <w:r w:rsidRPr="006040D3">
        <w:rPr>
          <w:rStyle w:val="FootnoteReference"/>
        </w:rPr>
        <w:footnoteReference w:id="18"/>
      </w:r>
      <w:r w:rsidRPr="00401DDA">
        <w:t>.</w:t>
      </w:r>
    </w:p>
    <w:p w14:paraId="0382B793" w14:textId="5CB6D8B3" w:rsidR="009E084F" w:rsidRPr="006040D3" w:rsidRDefault="009E084F" w:rsidP="00F9181B">
      <w:pPr>
        <w:spacing w:line="360" w:lineRule="auto"/>
        <w:ind w:firstLine="709"/>
        <w:jc w:val="both"/>
      </w:pPr>
      <w:r w:rsidRPr="006040D3">
        <w:rPr>
          <w:b/>
          <w:bCs/>
        </w:rPr>
        <w:t>1.4. Регулиране на криптоактивите</w:t>
      </w:r>
    </w:p>
    <w:p w14:paraId="20B1E4C5" w14:textId="7E2BB8C0" w:rsidR="009E084F" w:rsidRPr="009E084F" w:rsidRDefault="009E084F" w:rsidP="009E084F">
      <w:pPr>
        <w:spacing w:line="360" w:lineRule="auto"/>
        <w:ind w:firstLine="709"/>
        <w:jc w:val="both"/>
      </w:pPr>
      <w:r w:rsidRPr="009E084F">
        <w:t>Регулаторната среда за криптоактивите през последните години претърпява съществена трансформация, като се наблюдава ясно изразен преход от ограничен надзор, насочен основно към мерките срещу изпирането на пари, към по-широка и комплексна рамка, доближаваща се до класическото регулиране на финансовите услуги. Тази промяна е обусловена от нарастващото значение на криптоактивите за финансовите пазари, разширяването на кръга от участници, включително институционални инвеститори, и засилените рискове, свързани с пазарната злоупотреба, оперативната сигурност, защитата на потребителите и финансовата стабилност. В резултат на това водещи юрисдикции като Европейския съюз и Обединеното кралство вече изграждат цялостни режими, които обхващат както емитирането на криптоактиви, така и дейността на доставчиците на услуги, търговските платформи, попечителските функции и механизмите за пазарна дисциплина</w:t>
      </w:r>
      <w:r w:rsidRPr="006040D3">
        <w:rPr>
          <w:rStyle w:val="FootnoteReference"/>
        </w:rPr>
        <w:footnoteReference w:id="19"/>
      </w:r>
      <w:r w:rsidRPr="009E084F">
        <w:t xml:space="preserve">. </w:t>
      </w:r>
    </w:p>
    <w:p w14:paraId="63A22877" w14:textId="1E4CE083" w:rsidR="009E084F" w:rsidRPr="009E084F" w:rsidRDefault="009E084F" w:rsidP="009E084F">
      <w:pPr>
        <w:spacing w:line="360" w:lineRule="auto"/>
        <w:ind w:firstLine="709"/>
        <w:jc w:val="both"/>
      </w:pPr>
      <w:r w:rsidRPr="009E084F">
        <w:t>В Обединеното кралство този преход се материализира чрез новия режим за криптоактиви, въведен в рамките на Закона за финансовите услуги и пазарите и подзаконовите актове към него. Според публикуваната от британския регулатор информация периодът за кандидатстване за разрешение за извършване на новите регулирани криптоактивни дейности ще бъде от 30 септември 2026 г. до 28 февруари 2027 г., а пълното влизане в сила на режима е предвидено за 25 октомври 2027 г. До този момент в Обединеното кралство криптосекторът е подложен главно на изисквания, свързани с финансовите промоции и правилата срещу изпирането на пари, но не и на пълен режим, еквивалентен на този за традиционните финансови услуги</w:t>
      </w:r>
      <w:r w:rsidRPr="006040D3">
        <w:rPr>
          <w:rStyle w:val="FootnoteReference"/>
        </w:rPr>
        <w:footnoteReference w:id="20"/>
      </w:r>
      <w:r w:rsidRPr="009E084F">
        <w:t xml:space="preserve">. </w:t>
      </w:r>
    </w:p>
    <w:p w14:paraId="5EF74155" w14:textId="00C93B13" w:rsidR="009E084F" w:rsidRPr="009E084F" w:rsidRDefault="009E084F" w:rsidP="009E084F">
      <w:pPr>
        <w:spacing w:line="360" w:lineRule="auto"/>
        <w:ind w:firstLine="709"/>
        <w:jc w:val="both"/>
      </w:pPr>
      <w:r w:rsidRPr="009E084F">
        <w:lastRenderedPageBreak/>
        <w:t xml:space="preserve">Същественото значение на британския модел се състои в това, че той включва криптоактивите в официалния регулаторен периметър на надзорния орган и поставя акцент не само върху лицензирането, но и върху пазарната цялост. Новият режим обхваща дейности като емитирането на определени стабилни криптоактиви, управлението на платформи за търговия, съхранението на криптоактиви, участието в механизми за залагане и посредничеството или търговията от собствено име. Наред с това се въвеждат и специални правила срещу злоупотреби с вътрешна информация, неправомерно разкриване на вътрешна информация и манипулиране на пазара. Този подход показва, че британският законодател вече не разглежда криптоактивите само като обект на мерки за финансова интегритет, а като пазар, изискващ стандарти, сравними с тези на капиталовите пазари. </w:t>
      </w:r>
    </w:p>
    <w:p w14:paraId="4E924D7E" w14:textId="0C6C5DAB" w:rsidR="009E084F" w:rsidRPr="009E084F" w:rsidRDefault="009E084F" w:rsidP="009E084F">
      <w:pPr>
        <w:spacing w:line="360" w:lineRule="auto"/>
        <w:ind w:firstLine="709"/>
        <w:jc w:val="both"/>
      </w:pPr>
      <w:r w:rsidRPr="009E084F">
        <w:t>Европейският съюз също се утвърждава като една от най-напредналите юрисдикции в изграждането на цялостна регулаторна рамка за криптоактивите. Регламентът относно пазарите на криптоактиви установява единни правила за емитентите на криптоактиви и за доставчиците на услуги, свързани с тях, като разширява регулацията отвъд вече съществуващото законодателство за традиционните финансови инструменти. Регламентът предвижда общото му прилагане от 30 декември 2024 г., а специфичните разпоредби за токените, обезпечени с активи, и токените на електронни пари се прилагат още от 30 юни 2024 г.</w:t>
      </w:r>
      <w:r w:rsidRPr="006040D3">
        <w:rPr>
          <w:rStyle w:val="FootnoteReference"/>
        </w:rPr>
        <w:footnoteReference w:id="21"/>
      </w:r>
      <w:r w:rsidRPr="009E084F">
        <w:t xml:space="preserve"> Това поставя ЕС в позиция на пионер по отношение на унифицираното регулиране на пазара на криптоактиви в рамките на наднационален правен ред. </w:t>
      </w:r>
    </w:p>
    <w:p w14:paraId="5DB3BF07" w14:textId="51AADC50" w:rsidR="009E084F" w:rsidRPr="009E084F" w:rsidRDefault="009E084F" w:rsidP="009E084F">
      <w:pPr>
        <w:spacing w:line="360" w:lineRule="auto"/>
        <w:ind w:firstLine="709"/>
        <w:jc w:val="both"/>
      </w:pPr>
      <w:r w:rsidRPr="009E084F">
        <w:t xml:space="preserve">Особено важен е европейският подход към стабилните криптоактиви, тъй като именно при тях регулаторът вижда повишени рискове за финансовата стабилност, защитата на инвеститорите и платежната система. Европейските правила изискват издателите на токени, обезпечени с активи, и токени на електронни пари да бъдат надлежно упълномощени и да поддържат съответни резерви и ликвидни механизми. В практическо измерение това </w:t>
      </w:r>
      <w:r w:rsidRPr="006040D3">
        <w:t>довежда</w:t>
      </w:r>
      <w:r w:rsidRPr="009E084F">
        <w:t xml:space="preserve"> до ограничаване на предлагането и търговията с някои стабилни криптоактиви, които не са приведени в съответствие с новия режим. Европейският орган за ценни книжа и пазари и Европейската комисия през януари 2025 г. </w:t>
      </w:r>
      <w:r w:rsidRPr="009E084F">
        <w:lastRenderedPageBreak/>
        <w:t>публикува</w:t>
      </w:r>
      <w:r w:rsidRPr="006040D3">
        <w:t>т</w:t>
      </w:r>
      <w:r w:rsidRPr="009E084F">
        <w:t xml:space="preserve"> насоки, според които доставчиците на услуги трябва да ограничат предлагането на несъответстващи на режима стабилни криптоактиви, а в публични изявления на надзорните органи изрично се посочва, че част от по-широко използваните токени, включително такива като USDT, са обект на ограничения в Европейското икономическо пространство, докато съответстващи токени като USDC остават достъпни</w:t>
      </w:r>
      <w:r w:rsidRPr="006040D3">
        <w:rPr>
          <w:rStyle w:val="FootnoteReference"/>
        </w:rPr>
        <w:footnoteReference w:id="22"/>
      </w:r>
      <w:r w:rsidRPr="009E084F">
        <w:t xml:space="preserve">. </w:t>
      </w:r>
    </w:p>
    <w:p w14:paraId="53B44ABB" w14:textId="7C568D75" w:rsidR="009E084F" w:rsidRPr="009E084F" w:rsidRDefault="009E084F" w:rsidP="009E084F">
      <w:pPr>
        <w:spacing w:line="360" w:lineRule="auto"/>
        <w:ind w:firstLine="709"/>
        <w:jc w:val="both"/>
      </w:pPr>
      <w:r w:rsidRPr="009E084F">
        <w:t>Наред с пазарната регулация, Европейският съюз затяга и изискванията в сферата на противодействието на изпирането на пари. Регламент (ЕС) 2024/1624 включва доставчиците на услуги за криптоактиви сред задължените субекти по режима срещу изпирането на пари, а още на етапа на политическото съгласие между Съвета и Европейския парламент е уточнено, че те трябва да прилагат мерки за комплексна проверка на клиентите при трансакции за 1000 евро или повече и да прилагат допълнителни мерки по отношение на трансакции със самостоятелно управлявани портфейли</w:t>
      </w:r>
      <w:r w:rsidRPr="006040D3">
        <w:rPr>
          <w:rStyle w:val="FootnoteReference"/>
        </w:rPr>
        <w:footnoteReference w:id="23"/>
      </w:r>
      <w:r w:rsidRPr="009E084F">
        <w:t xml:space="preserve">. Така европейската рамка не забранява самостоятелните портфейли, но значително повишава степента на прозрачност и изискванията за идентификация при определени операции. Това е част от по-широката тенденция криптоактивите да бъдат интегрирани в общия режим за финансова проследимост и превенция на незаконни потоци. </w:t>
      </w:r>
    </w:p>
    <w:p w14:paraId="46A3C3F2" w14:textId="5A48BA68" w:rsidR="009E084F" w:rsidRPr="009E084F" w:rsidRDefault="009E084F" w:rsidP="009E084F">
      <w:pPr>
        <w:spacing w:line="360" w:lineRule="auto"/>
        <w:ind w:firstLine="709"/>
        <w:jc w:val="both"/>
      </w:pPr>
      <w:r w:rsidRPr="009E084F">
        <w:t>В Съединените американски щати регулаторната картина остава по-фрагментирана. За разлика от Европейския съюз и Обединеното кралство, там все още липсва единен и изчерпателен федерален режим, който да урежда спот пазара на биткойн и други криптоактиви. Официалните материали на Комисията по търговия със стокови фючърси посочват, че с ограничени изключения спот пазарът на биткойн не се регулира нито от тази комисия, нито от Комисията по ценни книжа и борси, докато фючърсните договори върху биткойн се търгуват на регулирани от комисията пазари</w:t>
      </w:r>
      <w:r w:rsidRPr="006040D3">
        <w:rPr>
          <w:rStyle w:val="FootnoteReference"/>
        </w:rPr>
        <w:footnoteReference w:id="24"/>
      </w:r>
      <w:r w:rsidRPr="009E084F">
        <w:t xml:space="preserve">. Това означава, че американският </w:t>
      </w:r>
      <w:r w:rsidRPr="009E084F">
        <w:lastRenderedPageBreak/>
        <w:t xml:space="preserve">подход продължава да се основава на разпокъсани компетентности и на разграничение между различните сегменти на пазара, което създава пространство за правна несигурност. </w:t>
      </w:r>
    </w:p>
    <w:p w14:paraId="13A0F6DB" w14:textId="57EA5045" w:rsidR="009E084F" w:rsidRPr="009E084F" w:rsidRDefault="009E084F" w:rsidP="009E084F">
      <w:pPr>
        <w:spacing w:line="360" w:lineRule="auto"/>
        <w:ind w:firstLine="709"/>
        <w:jc w:val="both"/>
      </w:pPr>
      <w:r w:rsidRPr="009E084F">
        <w:t>Същевременно американската регулаторна среда остава активна чрез данъчни правила, отчетност и правоприлагане. Службата за вътрешни приходи вече изисква от брокерите да използват Формуляр 1099-DA за продажби на дигитални активи, осъществени на или след 1 януари 2026 г., което показва засилване на данъчната проследимост и стандартизиране на отчетността за криптосделки</w:t>
      </w:r>
      <w:r w:rsidRPr="006040D3">
        <w:rPr>
          <w:rStyle w:val="FootnoteReference"/>
        </w:rPr>
        <w:footnoteReference w:id="25"/>
      </w:r>
      <w:r w:rsidRPr="009E084F">
        <w:t xml:space="preserve">. Що се отнася до правилото за измиваща продажба, официалните инструкции показват, че то се отразява само когато дигиталният актив е и ценна книга за данъчни цели, което на практика означава, че типичните спот операции с биткойн не попадат автоматично под класическото приложение на правилото, докато експозиции чрез определени ценни книжа могат да бъдат засегнати. </w:t>
      </w:r>
    </w:p>
    <w:p w14:paraId="212ADE2B" w14:textId="1CC9C9F1" w:rsidR="009E084F" w:rsidRPr="009E084F" w:rsidRDefault="009E084F" w:rsidP="009E084F">
      <w:pPr>
        <w:spacing w:line="360" w:lineRule="auto"/>
        <w:ind w:firstLine="709"/>
        <w:jc w:val="both"/>
      </w:pPr>
      <w:r w:rsidRPr="009E084F">
        <w:t>По линия на правоприлагането американската рамка също е в процес на пренастройване. Комисията по ценни книжа и борси през 2026 г. официално отчита, че от февруари 2025 г. е прекратила редица започнати по-рано производства, включително срещу Binance</w:t>
      </w:r>
      <w:r w:rsidR="003C3F04" w:rsidRPr="006040D3">
        <w:rPr>
          <w:rStyle w:val="FootnoteReference"/>
        </w:rPr>
        <w:footnoteReference w:id="26"/>
      </w:r>
      <w:r w:rsidRPr="009E084F">
        <w:t xml:space="preserve">. Това не означава липса на надзор, а по-скоро промяна в подхода и продължаващ дебат относно това кои криптоактиви и кои дейности следва да бъдат третирани като ценни книжа, както и по какъв начин да се прилагат традиционните правила към новата технологична среда. Самият факт, че в рамките на новосформираната работна група по криптоактиви към комисията се обсъждат стандарти за търговия, попечителство и токенизирани инструменти, показва, че американският режим остава еволюиращ, а не окончателно кодифициран. </w:t>
      </w:r>
    </w:p>
    <w:p w14:paraId="0499CA5A" w14:textId="029935ED" w:rsidR="009E084F" w:rsidRPr="009E084F" w:rsidRDefault="009E084F" w:rsidP="009E084F">
      <w:pPr>
        <w:spacing w:line="360" w:lineRule="auto"/>
        <w:ind w:firstLine="709"/>
        <w:jc w:val="both"/>
      </w:pPr>
      <w:r w:rsidRPr="009E084F">
        <w:t xml:space="preserve">На международно равнище се наблюдава стремеж към координация на тези национални и регионални режими чрез общи принципи. Съветът за финансова стабилност и Международната организация на комисиите по ценни книжа изграждат рамка, основана на принципа „една и съща дейност, един и същ риск, едно и също регулаторно </w:t>
      </w:r>
      <w:r w:rsidRPr="009E084F">
        <w:lastRenderedPageBreak/>
        <w:t>третиране“</w:t>
      </w:r>
      <w:r w:rsidR="003C3F04" w:rsidRPr="006040D3">
        <w:rPr>
          <w:rStyle w:val="FootnoteReference"/>
        </w:rPr>
        <w:footnoteReference w:id="27"/>
      </w:r>
      <w:r w:rsidRPr="009E084F">
        <w:t xml:space="preserve">. Този принцип цели да ограничи регулаторния арбитраж и да гарантира, че дейности, които икономически изпълняват функции, сходни с тези в традиционните финанси, ще подлежат на съпоставим надзор, независимо от използваната технология. </w:t>
      </w:r>
    </w:p>
    <w:p w14:paraId="7C25AE3F" w14:textId="7CC3D06C" w:rsidR="009E084F" w:rsidRPr="006040D3" w:rsidRDefault="009E084F" w:rsidP="00F9181B">
      <w:pPr>
        <w:spacing w:line="360" w:lineRule="auto"/>
        <w:ind w:firstLine="709"/>
        <w:jc w:val="both"/>
      </w:pPr>
      <w:r w:rsidRPr="006040D3">
        <w:t xml:space="preserve">От </w:t>
      </w:r>
      <w:r w:rsidRPr="009E084F">
        <w:t xml:space="preserve">тези процеси може да се изведе изводът, че регулацията на криптоактивите навлиза в нов етап на институционална зрялост. Ако в по-ранен период основният акцент </w:t>
      </w:r>
      <w:r w:rsidRPr="006040D3">
        <w:t>е</w:t>
      </w:r>
      <w:r w:rsidRPr="009E084F">
        <w:t xml:space="preserve"> поставен върху предотвратяването на пране на пари и върху ограничени предупредителни мерки към инвеститорите, то към 2026 г. водещите правни режими вече разглеждат криптосектора като част от по-широката финансова архитектура. Това означава, че все по-голямо значение придобиват въпросите за лицензирането, пруденциалните изисквания, пазарната злоупотреба, резервите и ликвидността, отчетността, защитата на клиентските активи и трансграничната последователност на правилата.</w:t>
      </w:r>
    </w:p>
    <w:p w14:paraId="47964DF5" w14:textId="2DAC90ED" w:rsidR="00CB165E" w:rsidRPr="006040D3" w:rsidRDefault="00CB165E" w:rsidP="00F9181B">
      <w:pPr>
        <w:spacing w:line="360" w:lineRule="auto"/>
        <w:ind w:firstLine="709"/>
        <w:jc w:val="both"/>
      </w:pPr>
      <w:r w:rsidRPr="006040D3">
        <w:t>ИЗВОДИ ПО ПЪРВА ГЛАВА</w:t>
      </w:r>
    </w:p>
    <w:p w14:paraId="4111DA0C" w14:textId="77777777" w:rsidR="00CB165E" w:rsidRPr="006040D3" w:rsidRDefault="00CB165E" w:rsidP="00CB165E">
      <w:pPr>
        <w:spacing w:line="360" w:lineRule="auto"/>
        <w:ind w:firstLine="709"/>
        <w:jc w:val="both"/>
      </w:pPr>
      <w:r w:rsidRPr="00CB165E">
        <w:t>Криптоактивите представляват иновативна форма на дигитални активи, които комбинират технологични и икономически характеристики, различаващи ги съществено от традиционните финансови инструменти. Тяхната децентрализирана природа, базирана на криптография и разпределени регистри, създава нови възможности за трансакции и инвестиции, но също така поставя редица предизвикателства, свързани с регулацията, стабилността и управлението на риска.</w:t>
      </w:r>
    </w:p>
    <w:p w14:paraId="31C72ECD" w14:textId="77777777" w:rsidR="00AA7178" w:rsidRPr="006040D3" w:rsidRDefault="00AA7178" w:rsidP="00AA7178">
      <w:pPr>
        <w:spacing w:line="360" w:lineRule="auto"/>
        <w:ind w:firstLine="709"/>
        <w:jc w:val="both"/>
      </w:pPr>
      <w:r w:rsidRPr="00AA7178">
        <w:t>Различните видове криптоактиви изпълняват разнообразни функции в съвременната финансова система, като всяка категория има свои специфични предимства и ограничения. Тази хетерогенност показва, че криптоактивите не могат да бъдат разглеждани като еднородна група, а изискват диференциран подход при анализ и оценка, особено в контекста на инвестиционните решения и регулаторната политика.</w:t>
      </w:r>
    </w:p>
    <w:p w14:paraId="325869BC" w14:textId="77777777" w:rsidR="003C3F04" w:rsidRPr="006040D3" w:rsidRDefault="003C3F04" w:rsidP="003C3F04">
      <w:pPr>
        <w:spacing w:line="360" w:lineRule="auto"/>
        <w:ind w:firstLine="709"/>
        <w:jc w:val="both"/>
      </w:pPr>
      <w:r w:rsidRPr="003C3F04">
        <w:t xml:space="preserve">Регулирането на криптоактивите преминава от ограничен контрол, насочен основно към предотвратяване на изпирането на пари, към цялостни правни рамки, доближаващи се до тези за традиционните финансови услуги. Водещи юрисдикции като Европейския съюз и Обединеното кралство вече въвеждат комплексни режими, обхващащи емитирането, </w:t>
      </w:r>
      <w:r w:rsidRPr="003C3F04">
        <w:lastRenderedPageBreak/>
        <w:t>търговията и съхранението на криптоактиви, както и защитата на инвеститорите и пазарната интегритет. В същото време в други страни, като Съединените американски щати, регулацията остава по-фрагментирана, но активна чрез надзор и данъчни правила. На глобално равнище се утвърждава принципът за равностойно регулиране на сходни рискове, което показва стремеж към хармонизиране и интегриране на криптоактивите в съвременната финансова система.</w:t>
      </w:r>
    </w:p>
    <w:p w14:paraId="02A9523D" w14:textId="5594F836" w:rsidR="00401DDA" w:rsidRPr="003C3F04" w:rsidRDefault="00401DDA" w:rsidP="003C3F04">
      <w:pPr>
        <w:spacing w:line="360" w:lineRule="auto"/>
        <w:ind w:firstLine="709"/>
        <w:jc w:val="both"/>
      </w:pPr>
      <w:r w:rsidRPr="006040D3">
        <w:t>Понастоящем криптоактивите се утвърждават като интегрална част от глобалната финансова система, изпълнявайки разнообразни функции – от платежна инфраструктура и инвестиционен актив до технологична основа за нови финансови услуги. Тяхното развитие се характеризира с нарастваща институционализация, технологична зрялост и регулаторна яснота, което ги превръща в ключов фактор за трансформацията на съвременните финансови пазари.</w:t>
      </w:r>
    </w:p>
    <w:p w14:paraId="08002263" w14:textId="77777777" w:rsidR="003C3F04" w:rsidRPr="00AA7178" w:rsidRDefault="003C3F04" w:rsidP="00AA7178">
      <w:pPr>
        <w:spacing w:line="360" w:lineRule="auto"/>
        <w:ind w:firstLine="709"/>
        <w:jc w:val="both"/>
      </w:pPr>
    </w:p>
    <w:p w14:paraId="28FA9F8A" w14:textId="77777777" w:rsidR="00AA7178" w:rsidRPr="00CB165E" w:rsidRDefault="00AA7178" w:rsidP="00CB165E">
      <w:pPr>
        <w:spacing w:line="360" w:lineRule="auto"/>
        <w:ind w:firstLine="709"/>
        <w:jc w:val="both"/>
      </w:pPr>
    </w:p>
    <w:p w14:paraId="57DFD597" w14:textId="77777777" w:rsidR="00CB165E" w:rsidRPr="00F9181B" w:rsidRDefault="00CB165E" w:rsidP="00F9181B">
      <w:pPr>
        <w:spacing w:line="360" w:lineRule="auto"/>
        <w:ind w:firstLine="709"/>
        <w:jc w:val="both"/>
      </w:pPr>
    </w:p>
    <w:p w14:paraId="1BBA15CC" w14:textId="77777777" w:rsidR="00F9181B" w:rsidRPr="006040D3" w:rsidRDefault="00F9181B">
      <w:pPr>
        <w:widowControl/>
        <w:suppressAutoHyphens w:val="0"/>
        <w:rPr>
          <w:b/>
          <w:bCs/>
        </w:rPr>
      </w:pPr>
      <w:r w:rsidRPr="006040D3">
        <w:rPr>
          <w:b/>
          <w:bCs/>
        </w:rPr>
        <w:br w:type="page"/>
      </w:r>
    </w:p>
    <w:p w14:paraId="1BC43FF6" w14:textId="3F00C609" w:rsidR="00F9181B" w:rsidRPr="00F9181B" w:rsidRDefault="00F9181B" w:rsidP="00F9181B">
      <w:pPr>
        <w:spacing w:line="360" w:lineRule="auto"/>
        <w:ind w:firstLine="709"/>
        <w:jc w:val="both"/>
        <w:rPr>
          <w:b/>
          <w:bCs/>
        </w:rPr>
      </w:pPr>
      <w:r w:rsidRPr="00F9181B">
        <w:rPr>
          <w:b/>
          <w:bCs/>
        </w:rPr>
        <w:lastRenderedPageBreak/>
        <w:t>Втора глава. Макроикономически детерминанти на финансовите пазари и тяхното влияние върху криптоактивите</w:t>
      </w:r>
    </w:p>
    <w:p w14:paraId="52D68407" w14:textId="77777777" w:rsidR="00F9181B" w:rsidRPr="006040D3" w:rsidRDefault="00F9181B" w:rsidP="00F9181B">
      <w:pPr>
        <w:spacing w:line="360" w:lineRule="auto"/>
        <w:ind w:firstLine="709"/>
        <w:jc w:val="both"/>
      </w:pPr>
      <w:r w:rsidRPr="00F9181B">
        <w:rPr>
          <w:b/>
          <w:bCs/>
        </w:rPr>
        <w:t>2.1. Същност и механизми на въздействие на макроикономическите индикатори върху финансовите пазари</w:t>
      </w:r>
    </w:p>
    <w:p w14:paraId="20CAA9B2" w14:textId="77ACAB82" w:rsidR="0063103D" w:rsidRPr="006040D3" w:rsidRDefault="0063103D" w:rsidP="0063103D">
      <w:pPr>
        <w:spacing w:line="360" w:lineRule="auto"/>
        <w:ind w:firstLine="709"/>
        <w:jc w:val="both"/>
      </w:pPr>
      <w:r w:rsidRPr="0063103D">
        <w:t>Макроикономическите индикатори представляват основни детерминанти на поведението на финансовите пазари, тъй като отразяват текущото състояние на икономиката и формират очакванията на икономическите агенти относно бъдещата динамика на паричната политика, икономическия растеж и корпоративната доходност. Тяхното значение произтича от факта, че те предоставят систематизирана и количествено измерима информация за ключови аспекти на икономическата активност, като производство, потребление, ценова стабилност и заетост. Чрез различни механизми на предаване тези индикатори оказват пряко и косвено влияние върху оценката на финансовите активи, склонността към поемане на риск и инвестиционните решения на участниците на пазара</w:t>
      </w:r>
      <w:r w:rsidRPr="006040D3">
        <w:t xml:space="preserve"> (Табл. 2)</w:t>
      </w:r>
      <w:r w:rsidRPr="0063103D">
        <w:t>.</w:t>
      </w:r>
    </w:p>
    <w:p w14:paraId="4A17CC82" w14:textId="6BAC8B61" w:rsidR="0063103D" w:rsidRPr="006040D3" w:rsidRDefault="0063103D" w:rsidP="0063103D">
      <w:pPr>
        <w:spacing w:line="360" w:lineRule="auto"/>
        <w:ind w:firstLine="709"/>
        <w:jc w:val="center"/>
      </w:pPr>
      <w:r w:rsidRPr="006040D3">
        <w:t>Таблица 2. Основни макроикономически индикатори и тяхното влияние върху финансовите пазари</w:t>
      </w:r>
    </w:p>
    <w:p w14:paraId="2E743799" w14:textId="022A2FCE" w:rsidR="0063103D" w:rsidRPr="006040D3" w:rsidRDefault="0063103D" w:rsidP="0063103D">
      <w:pPr>
        <w:spacing w:line="360" w:lineRule="auto"/>
        <w:ind w:firstLine="709"/>
        <w:jc w:val="center"/>
      </w:pPr>
      <w:r w:rsidRPr="006040D3">
        <w:t xml:space="preserve">Източник: </w:t>
      </w:r>
      <w:r w:rsidRPr="006040D3">
        <w:t>Narendra (2025)</w:t>
      </w:r>
    </w:p>
    <w:tbl>
      <w:tblPr>
        <w:tblStyle w:val="TableGrid"/>
        <w:tblW w:w="0" w:type="auto"/>
        <w:tblLook w:val="04A0" w:firstRow="1" w:lastRow="0" w:firstColumn="1" w:lastColumn="0" w:noHBand="0" w:noVBand="1"/>
      </w:tblPr>
      <w:tblGrid>
        <w:gridCol w:w="2874"/>
        <w:gridCol w:w="2973"/>
        <w:gridCol w:w="3356"/>
      </w:tblGrid>
      <w:tr w:rsidR="0063103D" w:rsidRPr="0063103D" w14:paraId="2291E543" w14:textId="77777777" w:rsidTr="0063103D">
        <w:tc>
          <w:tcPr>
            <w:tcW w:w="0" w:type="auto"/>
            <w:hideMark/>
          </w:tcPr>
          <w:p w14:paraId="3B85BB9A" w14:textId="77777777" w:rsidR="0063103D" w:rsidRPr="0063103D" w:rsidRDefault="0063103D" w:rsidP="0063103D">
            <w:pPr>
              <w:widowControl/>
              <w:suppressAutoHyphens w:val="0"/>
              <w:spacing w:line="360" w:lineRule="auto"/>
              <w:jc w:val="center"/>
              <w:rPr>
                <w:b/>
                <w:bCs/>
                <w:kern w:val="0"/>
                <w:lang w:eastAsia="en-GB"/>
              </w:rPr>
            </w:pPr>
            <w:r w:rsidRPr="0063103D">
              <w:rPr>
                <w:b/>
                <w:bCs/>
                <w:kern w:val="0"/>
                <w:lang w:eastAsia="en-GB"/>
              </w:rPr>
              <w:t>Макроикономически индикатор</w:t>
            </w:r>
          </w:p>
        </w:tc>
        <w:tc>
          <w:tcPr>
            <w:tcW w:w="0" w:type="auto"/>
            <w:hideMark/>
          </w:tcPr>
          <w:p w14:paraId="147AE6AE" w14:textId="77777777" w:rsidR="0063103D" w:rsidRPr="0063103D" w:rsidRDefault="0063103D" w:rsidP="0063103D">
            <w:pPr>
              <w:widowControl/>
              <w:suppressAutoHyphens w:val="0"/>
              <w:spacing w:line="360" w:lineRule="auto"/>
              <w:jc w:val="center"/>
              <w:rPr>
                <w:b/>
                <w:bCs/>
                <w:kern w:val="0"/>
                <w:lang w:eastAsia="en-GB"/>
              </w:rPr>
            </w:pPr>
            <w:r w:rsidRPr="0063103D">
              <w:rPr>
                <w:b/>
                <w:bCs/>
                <w:kern w:val="0"/>
                <w:lang w:eastAsia="en-GB"/>
              </w:rPr>
              <w:t>Основно влияние върху акциите</w:t>
            </w:r>
          </w:p>
        </w:tc>
        <w:tc>
          <w:tcPr>
            <w:tcW w:w="0" w:type="auto"/>
            <w:hideMark/>
          </w:tcPr>
          <w:p w14:paraId="49F04B9F" w14:textId="77777777" w:rsidR="0063103D" w:rsidRPr="0063103D" w:rsidRDefault="0063103D" w:rsidP="0063103D">
            <w:pPr>
              <w:widowControl/>
              <w:suppressAutoHyphens w:val="0"/>
              <w:spacing w:line="360" w:lineRule="auto"/>
              <w:jc w:val="center"/>
              <w:rPr>
                <w:b/>
                <w:bCs/>
                <w:kern w:val="0"/>
                <w:lang w:eastAsia="en-GB"/>
              </w:rPr>
            </w:pPr>
            <w:r w:rsidRPr="0063103D">
              <w:rPr>
                <w:b/>
                <w:bCs/>
                <w:kern w:val="0"/>
                <w:lang w:eastAsia="en-GB"/>
              </w:rPr>
              <w:t>Основно влияние върху облигациите</w:t>
            </w:r>
          </w:p>
        </w:tc>
      </w:tr>
      <w:tr w:rsidR="0063103D" w:rsidRPr="0063103D" w14:paraId="5655FC43" w14:textId="77777777" w:rsidTr="0063103D">
        <w:tc>
          <w:tcPr>
            <w:tcW w:w="0" w:type="auto"/>
            <w:hideMark/>
          </w:tcPr>
          <w:p w14:paraId="5214EE4A" w14:textId="77777777" w:rsidR="0063103D" w:rsidRPr="0063103D" w:rsidRDefault="0063103D" w:rsidP="0063103D">
            <w:pPr>
              <w:widowControl/>
              <w:suppressAutoHyphens w:val="0"/>
              <w:spacing w:line="360" w:lineRule="auto"/>
              <w:rPr>
                <w:kern w:val="0"/>
                <w:lang w:eastAsia="en-GB"/>
              </w:rPr>
            </w:pPr>
            <w:r w:rsidRPr="0063103D">
              <w:rPr>
                <w:kern w:val="0"/>
                <w:lang w:eastAsia="en-GB"/>
              </w:rPr>
              <w:t>Растящ брутен вътрешен продукт</w:t>
            </w:r>
          </w:p>
        </w:tc>
        <w:tc>
          <w:tcPr>
            <w:tcW w:w="0" w:type="auto"/>
            <w:hideMark/>
          </w:tcPr>
          <w:p w14:paraId="08067A82" w14:textId="77777777" w:rsidR="0063103D" w:rsidRPr="0063103D" w:rsidRDefault="0063103D" w:rsidP="0063103D">
            <w:pPr>
              <w:widowControl/>
              <w:suppressAutoHyphens w:val="0"/>
              <w:spacing w:line="360" w:lineRule="auto"/>
              <w:rPr>
                <w:kern w:val="0"/>
                <w:lang w:eastAsia="en-GB"/>
              </w:rPr>
            </w:pPr>
            <w:r w:rsidRPr="0063103D">
              <w:rPr>
                <w:kern w:val="0"/>
                <w:lang w:eastAsia="en-GB"/>
              </w:rPr>
              <w:t>Положително (по-високи печалби)</w:t>
            </w:r>
          </w:p>
        </w:tc>
        <w:tc>
          <w:tcPr>
            <w:tcW w:w="0" w:type="auto"/>
            <w:hideMark/>
          </w:tcPr>
          <w:p w14:paraId="7B9676BC" w14:textId="77777777" w:rsidR="0063103D" w:rsidRPr="0063103D" w:rsidRDefault="0063103D" w:rsidP="0063103D">
            <w:pPr>
              <w:widowControl/>
              <w:suppressAutoHyphens w:val="0"/>
              <w:spacing w:line="360" w:lineRule="auto"/>
              <w:rPr>
                <w:kern w:val="0"/>
                <w:lang w:eastAsia="en-GB"/>
              </w:rPr>
            </w:pPr>
            <w:r w:rsidRPr="0063103D">
              <w:rPr>
                <w:kern w:val="0"/>
                <w:lang w:eastAsia="en-GB"/>
              </w:rPr>
              <w:t>Отрицателно (очаквания за по-високи лихвени проценти)</w:t>
            </w:r>
          </w:p>
        </w:tc>
      </w:tr>
      <w:tr w:rsidR="0063103D" w:rsidRPr="0063103D" w14:paraId="62B8D94A" w14:textId="77777777" w:rsidTr="0063103D">
        <w:tc>
          <w:tcPr>
            <w:tcW w:w="0" w:type="auto"/>
            <w:hideMark/>
          </w:tcPr>
          <w:p w14:paraId="3BBB7AD2" w14:textId="77777777" w:rsidR="0063103D" w:rsidRPr="0063103D" w:rsidRDefault="0063103D" w:rsidP="0063103D">
            <w:pPr>
              <w:widowControl/>
              <w:suppressAutoHyphens w:val="0"/>
              <w:spacing w:line="360" w:lineRule="auto"/>
              <w:rPr>
                <w:kern w:val="0"/>
                <w:lang w:eastAsia="en-GB"/>
              </w:rPr>
            </w:pPr>
            <w:r w:rsidRPr="0063103D">
              <w:rPr>
                <w:kern w:val="0"/>
                <w:lang w:eastAsia="en-GB"/>
              </w:rPr>
              <w:t>Нарастваща инфлация</w:t>
            </w:r>
          </w:p>
        </w:tc>
        <w:tc>
          <w:tcPr>
            <w:tcW w:w="0" w:type="auto"/>
            <w:hideMark/>
          </w:tcPr>
          <w:p w14:paraId="22639405" w14:textId="77777777" w:rsidR="0063103D" w:rsidRPr="0063103D" w:rsidRDefault="0063103D" w:rsidP="0063103D">
            <w:pPr>
              <w:widowControl/>
              <w:suppressAutoHyphens w:val="0"/>
              <w:spacing w:line="360" w:lineRule="auto"/>
              <w:rPr>
                <w:kern w:val="0"/>
                <w:lang w:eastAsia="en-GB"/>
              </w:rPr>
            </w:pPr>
            <w:r w:rsidRPr="0063103D">
              <w:rPr>
                <w:kern w:val="0"/>
                <w:lang w:eastAsia="en-GB"/>
              </w:rPr>
              <w:t>Отрицателно (намаляване на реалните доходи и печалби)</w:t>
            </w:r>
          </w:p>
        </w:tc>
        <w:tc>
          <w:tcPr>
            <w:tcW w:w="0" w:type="auto"/>
            <w:hideMark/>
          </w:tcPr>
          <w:p w14:paraId="61325377" w14:textId="77777777" w:rsidR="0063103D" w:rsidRPr="0063103D" w:rsidRDefault="0063103D" w:rsidP="0063103D">
            <w:pPr>
              <w:widowControl/>
              <w:suppressAutoHyphens w:val="0"/>
              <w:spacing w:line="360" w:lineRule="auto"/>
              <w:rPr>
                <w:kern w:val="0"/>
                <w:lang w:eastAsia="en-GB"/>
              </w:rPr>
            </w:pPr>
            <w:r w:rsidRPr="0063103D">
              <w:rPr>
                <w:kern w:val="0"/>
                <w:lang w:eastAsia="en-GB"/>
              </w:rPr>
              <w:t>Отрицателно (спад на цените при повишаване на доходността)</w:t>
            </w:r>
          </w:p>
        </w:tc>
      </w:tr>
      <w:tr w:rsidR="0063103D" w:rsidRPr="0063103D" w14:paraId="2FA07E43" w14:textId="77777777" w:rsidTr="0063103D">
        <w:tc>
          <w:tcPr>
            <w:tcW w:w="0" w:type="auto"/>
            <w:hideMark/>
          </w:tcPr>
          <w:p w14:paraId="6874DCA6" w14:textId="77777777" w:rsidR="0063103D" w:rsidRPr="0063103D" w:rsidRDefault="0063103D" w:rsidP="0063103D">
            <w:pPr>
              <w:widowControl/>
              <w:suppressAutoHyphens w:val="0"/>
              <w:spacing w:line="360" w:lineRule="auto"/>
              <w:rPr>
                <w:kern w:val="0"/>
                <w:lang w:eastAsia="en-GB"/>
              </w:rPr>
            </w:pPr>
            <w:r w:rsidRPr="0063103D">
              <w:rPr>
                <w:kern w:val="0"/>
                <w:lang w:eastAsia="en-GB"/>
              </w:rPr>
              <w:t>Повишаващи се лихвени проценти</w:t>
            </w:r>
          </w:p>
        </w:tc>
        <w:tc>
          <w:tcPr>
            <w:tcW w:w="0" w:type="auto"/>
            <w:hideMark/>
          </w:tcPr>
          <w:p w14:paraId="6641B44E" w14:textId="77777777" w:rsidR="0063103D" w:rsidRPr="0063103D" w:rsidRDefault="0063103D" w:rsidP="0063103D">
            <w:pPr>
              <w:widowControl/>
              <w:suppressAutoHyphens w:val="0"/>
              <w:spacing w:line="360" w:lineRule="auto"/>
              <w:rPr>
                <w:kern w:val="0"/>
                <w:lang w:eastAsia="en-GB"/>
              </w:rPr>
            </w:pPr>
            <w:r w:rsidRPr="0063103D">
              <w:rPr>
                <w:kern w:val="0"/>
                <w:lang w:eastAsia="en-GB"/>
              </w:rPr>
              <w:t>Отрицателно (по-високи разходи и по-силно дисконтиране)</w:t>
            </w:r>
          </w:p>
        </w:tc>
        <w:tc>
          <w:tcPr>
            <w:tcW w:w="0" w:type="auto"/>
            <w:hideMark/>
          </w:tcPr>
          <w:p w14:paraId="01AEF2AD" w14:textId="77777777" w:rsidR="0063103D" w:rsidRPr="0063103D" w:rsidRDefault="0063103D" w:rsidP="0063103D">
            <w:pPr>
              <w:widowControl/>
              <w:suppressAutoHyphens w:val="0"/>
              <w:spacing w:line="360" w:lineRule="auto"/>
              <w:rPr>
                <w:kern w:val="0"/>
                <w:lang w:eastAsia="en-GB"/>
              </w:rPr>
            </w:pPr>
            <w:r w:rsidRPr="0063103D">
              <w:rPr>
                <w:kern w:val="0"/>
                <w:lang w:eastAsia="en-GB"/>
              </w:rPr>
              <w:t>Отрицателно (понижение на цените на съществуващите облигации)</w:t>
            </w:r>
          </w:p>
        </w:tc>
      </w:tr>
      <w:tr w:rsidR="0063103D" w:rsidRPr="0063103D" w14:paraId="69362B7C" w14:textId="77777777" w:rsidTr="0063103D">
        <w:tc>
          <w:tcPr>
            <w:tcW w:w="0" w:type="auto"/>
            <w:hideMark/>
          </w:tcPr>
          <w:p w14:paraId="3B1898A6" w14:textId="77777777" w:rsidR="0063103D" w:rsidRPr="0063103D" w:rsidRDefault="0063103D" w:rsidP="0063103D">
            <w:pPr>
              <w:widowControl/>
              <w:suppressAutoHyphens w:val="0"/>
              <w:spacing w:line="360" w:lineRule="auto"/>
              <w:rPr>
                <w:kern w:val="0"/>
                <w:lang w:eastAsia="en-GB"/>
              </w:rPr>
            </w:pPr>
            <w:r w:rsidRPr="0063103D">
              <w:rPr>
                <w:kern w:val="0"/>
                <w:lang w:eastAsia="en-GB"/>
              </w:rPr>
              <w:t>Нарастваща безработица</w:t>
            </w:r>
          </w:p>
        </w:tc>
        <w:tc>
          <w:tcPr>
            <w:tcW w:w="0" w:type="auto"/>
            <w:hideMark/>
          </w:tcPr>
          <w:p w14:paraId="39A4EDA6" w14:textId="77777777" w:rsidR="0063103D" w:rsidRPr="0063103D" w:rsidRDefault="0063103D" w:rsidP="0063103D">
            <w:pPr>
              <w:widowControl/>
              <w:suppressAutoHyphens w:val="0"/>
              <w:spacing w:line="360" w:lineRule="auto"/>
              <w:rPr>
                <w:kern w:val="0"/>
                <w:lang w:eastAsia="en-GB"/>
              </w:rPr>
            </w:pPr>
            <w:r w:rsidRPr="0063103D">
              <w:rPr>
                <w:kern w:val="0"/>
                <w:lang w:eastAsia="en-GB"/>
              </w:rPr>
              <w:t>Отрицателно (намалено потребление и търсене)</w:t>
            </w:r>
          </w:p>
        </w:tc>
        <w:tc>
          <w:tcPr>
            <w:tcW w:w="0" w:type="auto"/>
            <w:hideMark/>
          </w:tcPr>
          <w:p w14:paraId="073DCEE0" w14:textId="77777777" w:rsidR="0063103D" w:rsidRPr="0063103D" w:rsidRDefault="0063103D" w:rsidP="0063103D">
            <w:pPr>
              <w:widowControl/>
              <w:suppressAutoHyphens w:val="0"/>
              <w:spacing w:line="360" w:lineRule="auto"/>
              <w:rPr>
                <w:kern w:val="0"/>
                <w:lang w:eastAsia="en-GB"/>
              </w:rPr>
            </w:pPr>
            <w:r w:rsidRPr="0063103D">
              <w:rPr>
                <w:kern w:val="0"/>
                <w:lang w:eastAsia="en-GB"/>
              </w:rPr>
              <w:t>Положително (очаквания за намаляване на лихвените проценти)</w:t>
            </w:r>
          </w:p>
        </w:tc>
      </w:tr>
    </w:tbl>
    <w:p w14:paraId="2C30ACF0" w14:textId="14522578" w:rsidR="0063103D" w:rsidRPr="0063103D" w:rsidRDefault="0063103D" w:rsidP="0063103D">
      <w:pPr>
        <w:spacing w:line="360" w:lineRule="auto"/>
        <w:ind w:firstLine="709"/>
        <w:jc w:val="center"/>
      </w:pPr>
    </w:p>
    <w:p w14:paraId="19DCC8E4" w14:textId="30CF581D" w:rsidR="0063103D" w:rsidRPr="0063103D" w:rsidRDefault="0063103D" w:rsidP="0063103D">
      <w:pPr>
        <w:spacing w:line="360" w:lineRule="auto"/>
        <w:ind w:firstLine="709"/>
        <w:jc w:val="both"/>
      </w:pPr>
      <w:r w:rsidRPr="0063103D">
        <w:lastRenderedPageBreak/>
        <w:t>Сред най-значимите макроикономически показатели се откроява брутният вътрешен продукт, който измерва общата стойност на произведените стоки и услуги в дадена икономика за определен период. Този индикатор се разглежда като основен измерител на икономическата активност и растеж. При устойчиво нарастване на брутния вътрешен продукт се създават условия за увеличаване на корпоративните приходи, повишаване на потребителското търсене и разширяване на инвестиционната дейност, което обикновено води до положителна динамика на финансовите пазари. О</w:t>
      </w:r>
      <w:r w:rsidRPr="006040D3">
        <w:t>т своя страна</w:t>
      </w:r>
      <w:r w:rsidRPr="0063103D">
        <w:t>, забавянето на икономическия растеж или рецесионните процеси са свързани с понижение на печалбите, намаляване на инвестициите и влошаване на пазарните очаквания</w:t>
      </w:r>
      <w:r w:rsidRPr="006040D3">
        <w:rPr>
          <w:rStyle w:val="FootnoteReference"/>
        </w:rPr>
        <w:footnoteReference w:id="28"/>
      </w:r>
      <w:r w:rsidRPr="0063103D">
        <w:t>.</w:t>
      </w:r>
    </w:p>
    <w:p w14:paraId="46138149" w14:textId="0FC8CAD9" w:rsidR="0063103D" w:rsidRPr="0063103D" w:rsidRDefault="0063103D" w:rsidP="0063103D">
      <w:pPr>
        <w:spacing w:line="360" w:lineRule="auto"/>
        <w:ind w:firstLine="709"/>
        <w:jc w:val="both"/>
      </w:pPr>
      <w:r w:rsidRPr="0063103D">
        <w:t>Друг ключов индикатор е инфлацията, която отразява темпа на нарастване на цените в икономиката. Тя оказва съществено влияние върху реалната покупателна способност на домакинствата и върху разходите на предприятията. В условия на висока инфлация се наблюдава ерозия на реалните доходи, увеличаване на производствените разходи и натиск върху печалбите на компаниите. Това често води до негативна реакция на финансовите пазари, особено когато инфлационният натиск е съпроводен с очаквания за рестриктивна парична политика. В същото време умерената инфлация може да бъде индикатор за икономическа активност и растеж, което показва, че нейното въздействие върху пазарите е контекстуално обусловено</w:t>
      </w:r>
      <w:r w:rsidRPr="006040D3">
        <w:rPr>
          <w:rStyle w:val="FootnoteReference"/>
        </w:rPr>
        <w:footnoteReference w:id="29"/>
      </w:r>
      <w:r w:rsidRPr="0063103D">
        <w:t>.</w:t>
      </w:r>
    </w:p>
    <w:p w14:paraId="755398AB" w14:textId="29E6BAC5" w:rsidR="0063103D" w:rsidRPr="0063103D" w:rsidRDefault="0063103D" w:rsidP="0063103D">
      <w:pPr>
        <w:spacing w:line="360" w:lineRule="auto"/>
        <w:ind w:firstLine="709"/>
        <w:jc w:val="both"/>
      </w:pPr>
      <w:r w:rsidRPr="0063103D">
        <w:t xml:space="preserve">Лихвените проценти, определяни от централните банки, представляват друг основен инструмент за регулиране на икономическите цикли. Те влияят върху цената на капитала, достъпа до финансиране и оценката на финансовите активи. Повишаването на лихвените проценти води до увеличаване на разходите по заеми за домакинствата и предприятията, което ограничава инвестициите и потреблението. Освен това по-високите лихвени равнища намаляват настоящата стойност на бъдещите парични потоци, което оказва натиск върху цените на акциите и облигациите. Обратно, намаляването на лихвените проценти стимулира икономическата активност чрез по-евтино финансиране и </w:t>
      </w:r>
      <w:r w:rsidRPr="0063103D">
        <w:lastRenderedPageBreak/>
        <w:t>увеличава привлекателността на рисковите активи</w:t>
      </w:r>
      <w:r w:rsidRPr="006040D3">
        <w:rPr>
          <w:rStyle w:val="FootnoteReference"/>
        </w:rPr>
        <w:footnoteReference w:id="30"/>
      </w:r>
      <w:r w:rsidRPr="0063103D">
        <w:t>.</w:t>
      </w:r>
    </w:p>
    <w:p w14:paraId="2314DF72" w14:textId="77777777" w:rsidR="0063103D" w:rsidRPr="0063103D" w:rsidRDefault="0063103D" w:rsidP="0063103D">
      <w:pPr>
        <w:spacing w:line="360" w:lineRule="auto"/>
        <w:ind w:firstLine="709"/>
        <w:jc w:val="both"/>
      </w:pPr>
      <w:r w:rsidRPr="0063103D">
        <w:t>Нивото на безработица също играе съществена роля като индикатор за състоянието на трудовия пазар и икономиката като цяло. Високата безработица обикновено сигнализира за икономически затруднения, намалено потребителско търсене и по-ниска производствена активност, което се отразява негативно върху финансовите пазари. Ниската безработица, от друга страна, е признак за стабилен икономически растеж и висока икономическа активност, но в определени случаи може да доведе до инфлационен натиск, ако търсенето надвишава предлагането на труд.</w:t>
      </w:r>
    </w:p>
    <w:p w14:paraId="72CCCDAF" w14:textId="502E4FC9" w:rsidR="0063103D" w:rsidRPr="0063103D" w:rsidRDefault="0063103D" w:rsidP="0063103D">
      <w:pPr>
        <w:spacing w:line="360" w:lineRule="auto"/>
        <w:ind w:firstLine="709"/>
        <w:jc w:val="both"/>
      </w:pPr>
      <w:r w:rsidRPr="0063103D">
        <w:t>Влиянието на макроикономическите индикатори върху финансовите пазари се осъществява чрез няколко основни механизма на предаване. Един от най-важните е механизмът на дисконтираните парични потоци, който лежи в основата на оценката на финансовите активи. Според този подход стойността на даден актив се определя като настоящата стойност на очакваните бъдещи доходи. Когато лихвените проценти се повишават, дисконтовият процент също се увеличава, което води до намаляване на настоящата стойност на бъдещите приходи и съответно до спад в цените на активите. Обратно, по-ниските лихвени проценти увеличават оценката на активите чрез намаляване на дисконтовия фактор</w:t>
      </w:r>
      <w:r w:rsidRPr="006040D3">
        <w:rPr>
          <w:rStyle w:val="FootnoteReference"/>
        </w:rPr>
        <w:footnoteReference w:id="31"/>
      </w:r>
      <w:r w:rsidRPr="0063103D">
        <w:t>.</w:t>
      </w:r>
    </w:p>
    <w:p w14:paraId="35FBB866" w14:textId="15AE48F2" w:rsidR="0063103D" w:rsidRPr="0063103D" w:rsidRDefault="0063103D" w:rsidP="0063103D">
      <w:pPr>
        <w:spacing w:line="360" w:lineRule="auto"/>
        <w:ind w:firstLine="709"/>
        <w:jc w:val="both"/>
      </w:pPr>
      <w:r w:rsidRPr="0063103D">
        <w:t>Друг ключов канал е този на паричната политика, чрез който централните банки използват макроикономическите индикатори за вземане на решения относно лихвените проценти и паричното предлагане. Промените в лихвените равнища влияят директно върху разходите за финансиране, инвестиционната активност и корпоративната рентабилност. Освен това те оказват влияние върху цените на активите и богатството на домакинствата, което от своя страна се отразява върху потреблението и икономическия растеж</w:t>
      </w:r>
      <w:r w:rsidRPr="006040D3">
        <w:rPr>
          <w:rStyle w:val="FootnoteReference"/>
        </w:rPr>
        <w:footnoteReference w:id="32"/>
      </w:r>
      <w:r w:rsidRPr="0063103D">
        <w:t>.</w:t>
      </w:r>
    </w:p>
    <w:p w14:paraId="14DDE46B" w14:textId="74A33720" w:rsidR="0063103D" w:rsidRPr="0063103D" w:rsidRDefault="0063103D" w:rsidP="0063103D">
      <w:pPr>
        <w:spacing w:line="360" w:lineRule="auto"/>
        <w:ind w:firstLine="709"/>
        <w:jc w:val="both"/>
      </w:pPr>
      <w:r w:rsidRPr="0063103D">
        <w:t xml:space="preserve">Съществено значение има и каналът на очакванията и пазарните нагласи. Финансовите пазари често реагират не толкова на самите макроикономически данни, </w:t>
      </w:r>
      <w:r w:rsidRPr="0063103D">
        <w:lastRenderedPageBreak/>
        <w:t>колкото на отклоненията им от предварително формираните очаквания. Когато публикуваните стойности се различават съществено от прогнозите, това води до бързи корекции в цените на активите и до повишена волатилност. В този смисъл ролята на очакванията е ключова за разбирането на краткосрочните пазарни движения</w:t>
      </w:r>
      <w:r w:rsidRPr="006040D3">
        <w:rPr>
          <w:rStyle w:val="FootnoteReference"/>
        </w:rPr>
        <w:footnoteReference w:id="33"/>
      </w:r>
      <w:r w:rsidRPr="0063103D">
        <w:t>.</w:t>
      </w:r>
    </w:p>
    <w:p w14:paraId="1F909BAA" w14:textId="197282BE" w:rsidR="0063103D" w:rsidRPr="0063103D" w:rsidRDefault="0063103D" w:rsidP="0063103D">
      <w:pPr>
        <w:spacing w:line="360" w:lineRule="auto"/>
        <w:ind w:firstLine="709"/>
        <w:jc w:val="both"/>
      </w:pPr>
      <w:r w:rsidRPr="0063103D">
        <w:t>Допълнителен механизъм на въздействие е валутният канал, който отразява взаимодействието между макроикономическите показатели, лихвените проценти и обменните курсове. Силният икономически растеж и по-високите лихвени проценти обикновено водят до поскъпване на националната валута, тъй като привличат чуждестранни инвестиции. Това оказва влияние върху конкурентоспособността на износа и върху доходността на компании, опериращи на международните пазари. Отслабването на валутата, от своя страна, може да стимулира износа, но увеличава разходите за внос</w:t>
      </w:r>
      <w:r w:rsidRPr="006040D3">
        <w:rPr>
          <w:rStyle w:val="FootnoteReference"/>
        </w:rPr>
        <w:footnoteReference w:id="34"/>
      </w:r>
      <w:r w:rsidRPr="0063103D">
        <w:t>.</w:t>
      </w:r>
    </w:p>
    <w:p w14:paraId="0A93DB36" w14:textId="77777777" w:rsidR="00F9181B" w:rsidRPr="006040D3" w:rsidRDefault="00F9181B" w:rsidP="00F9181B">
      <w:pPr>
        <w:spacing w:line="360" w:lineRule="auto"/>
        <w:ind w:firstLine="709"/>
        <w:jc w:val="both"/>
      </w:pPr>
      <w:r w:rsidRPr="00F9181B">
        <w:rPr>
          <w:b/>
          <w:bCs/>
        </w:rPr>
        <w:t>2.2. Влияние на инфлацията, лихвените проценти и валутния курс върху криптоактивите</w:t>
      </w:r>
    </w:p>
    <w:p w14:paraId="48DD6BCE" w14:textId="77777777" w:rsidR="006040D3" w:rsidRPr="006040D3" w:rsidRDefault="006040D3" w:rsidP="006040D3">
      <w:pPr>
        <w:spacing w:line="360" w:lineRule="auto"/>
        <w:ind w:firstLine="709"/>
        <w:jc w:val="both"/>
      </w:pPr>
      <w:r w:rsidRPr="006040D3">
        <w:t>Влиянието на макроикономическите фактори като инфлация, лихвени проценти и валутни курсове върху пазара на криптоактиви е съществено и многопластово, като се проявява чрез тяхното въздействие върху инвестиционните нагласи, ликвидността на финансовите пазари и стратегиите за защита на капитала. Тези индикатори формират икономическата среда, в която функционират криптоактивите, и определят както краткосрочната им динамика, така и дългосрочните тенденции в тяхното развитие.</w:t>
      </w:r>
    </w:p>
    <w:p w14:paraId="717DA7B5" w14:textId="742C4F51" w:rsidR="006040D3" w:rsidRPr="006040D3" w:rsidRDefault="006040D3" w:rsidP="006040D3">
      <w:pPr>
        <w:spacing w:line="360" w:lineRule="auto"/>
        <w:ind w:firstLine="709"/>
        <w:jc w:val="both"/>
      </w:pPr>
      <w:r w:rsidRPr="006040D3">
        <w:t xml:space="preserve">Инфлацията оказва двойствено влияние върху криптоактивите, което я прави особено сложен фактор за анализ. От една страна, повишаването на ценовото равнище води до намаляване на покупателната способност на традиционните валути, което стимулира търсенето на алтернативни активи, възприемани като средство за съхраняване на стойност. В този контекст биткойн често се разглежда като „дигитален аналог“ на златото, поради ограниченото му предлагане и независимостта от централни институции. </w:t>
      </w:r>
      <w:r w:rsidRPr="006040D3">
        <w:lastRenderedPageBreak/>
        <w:t>Това обяснява засиления интерес към криптоактивите в периоди на нарастваща инфлация, особено когато инвеститорите търсят защита срещу обезценяване на парите</w:t>
      </w:r>
      <w:r w:rsidRPr="006040D3">
        <w:rPr>
          <w:rStyle w:val="FootnoteReference"/>
        </w:rPr>
        <w:footnoteReference w:id="35"/>
      </w:r>
      <w:r w:rsidRPr="006040D3">
        <w:t>.</w:t>
      </w:r>
    </w:p>
    <w:p w14:paraId="6F72A5AF" w14:textId="1897984F" w:rsidR="006040D3" w:rsidRPr="006040D3" w:rsidRDefault="006040D3" w:rsidP="006040D3">
      <w:pPr>
        <w:spacing w:line="360" w:lineRule="auto"/>
        <w:ind w:firstLine="709"/>
        <w:jc w:val="both"/>
      </w:pPr>
      <w:r w:rsidRPr="006040D3">
        <w:t>Един от най-</w:t>
      </w:r>
      <w:r>
        <w:t xml:space="preserve">показателните </w:t>
      </w:r>
      <w:r w:rsidRPr="006040D3">
        <w:t>примери</w:t>
      </w:r>
      <w:r>
        <w:t xml:space="preserve"> в това отношение</w:t>
      </w:r>
      <w:r w:rsidRPr="006040D3">
        <w:t xml:space="preserve"> се наблюдава в периода 2020–2021 г., когато в резултат на пандемичната криза и последвалите стимулиращи мерки се увеличава паричното предлагане в глобален мащаб. В този контекст инфлационните очаквания започват да нарастват, което води до засилен интерес към биткойн като потенциален инструмент за защита срещу обезценяване на валутите. През този период цената на биткойн нараства многократно, като достига исторически върхове през 2021 г. Това развитие често се обяснява с възприемането му като актив с ограничено предлагане, който може да съхранява стойност в условия на инфлационен натиск</w:t>
      </w:r>
      <w:r>
        <w:rPr>
          <w:rStyle w:val="FootnoteReference"/>
        </w:rPr>
        <w:footnoteReference w:id="36"/>
      </w:r>
      <w:r w:rsidRPr="006040D3">
        <w:t>.</w:t>
      </w:r>
    </w:p>
    <w:p w14:paraId="1C4B2FA6" w14:textId="6E65C4CC" w:rsidR="006040D3" w:rsidRPr="006040D3" w:rsidRDefault="006040D3" w:rsidP="006040D3">
      <w:pPr>
        <w:spacing w:line="360" w:lineRule="auto"/>
        <w:ind w:firstLine="709"/>
        <w:jc w:val="both"/>
      </w:pPr>
      <w:r w:rsidRPr="006040D3">
        <w:t>Друг показателен пример е свързан с икономики, характеризиращи се с висока или хиперинфлация. В страни като Аржентина се наблюдава значително нарастване на използването на криптоактиви като средство за съхраняване на стойност и защита срещу обезценяване на националната валута. При високи темпове на инфлация и ограничения върху достъпа до чуждестранна валута, домакинствата и предприятията се насочват към криптоактиви като алтернатива на местната валута. Това води до увеличаване на обема на търговия и до по-широко разпространение на дигиталните активи в ежедневните финансови практики</w:t>
      </w:r>
      <w:r>
        <w:rPr>
          <w:rStyle w:val="FootnoteReference"/>
        </w:rPr>
        <w:footnoteReference w:id="37"/>
      </w:r>
      <w:r w:rsidRPr="006040D3">
        <w:t>.</w:t>
      </w:r>
    </w:p>
    <w:p w14:paraId="0B6FBD90" w14:textId="74BE0A8E" w:rsidR="006040D3" w:rsidRPr="006040D3" w:rsidRDefault="006040D3" w:rsidP="006040D3">
      <w:pPr>
        <w:spacing w:line="360" w:lineRule="auto"/>
        <w:ind w:firstLine="709"/>
        <w:jc w:val="both"/>
      </w:pPr>
      <w:r w:rsidRPr="006040D3">
        <w:t xml:space="preserve">Подобна тенденция се наблюдава и в Турция, където значителното обезценяване на националната валута и високата инфлация през периода 2021–2023 г. стимулират търсенето на криптоактиви. В този случай те се използват както за съхраняване на стойност, така и като средство за диверсификация на спестяванията. Повишената активност на местните криптопазари показва, че инвеститорите възприемат тези активи </w:t>
      </w:r>
      <w:r w:rsidRPr="006040D3">
        <w:lastRenderedPageBreak/>
        <w:t>като възможност за защита срещу макроикономическа нестабилност</w:t>
      </w:r>
      <w:r>
        <w:rPr>
          <w:rStyle w:val="FootnoteReference"/>
        </w:rPr>
        <w:footnoteReference w:id="38"/>
      </w:r>
      <w:r w:rsidRPr="006040D3">
        <w:t>.</w:t>
      </w:r>
    </w:p>
    <w:p w14:paraId="58C7F103" w14:textId="1789DC9B" w:rsidR="006040D3" w:rsidRPr="006040D3" w:rsidRDefault="006040D3" w:rsidP="006040D3">
      <w:pPr>
        <w:spacing w:line="360" w:lineRule="auto"/>
        <w:ind w:firstLine="709"/>
        <w:jc w:val="both"/>
      </w:pPr>
      <w:r>
        <w:t>Подобен</w:t>
      </w:r>
      <w:r w:rsidRPr="006040D3">
        <w:t xml:space="preserve"> пример може да се открие в страни като Венецуела, където продължителната икономическа криза и хиперинфлацията водят до масово използване на криптоактиви. В този контекст те изпълняват не само функция на средство за съхраняване на стойност, но и на инструмент за извършване на трансакции, особено в условия на ограничен достъп до стабилни валути и банкови услуги</w:t>
      </w:r>
      <w:r>
        <w:rPr>
          <w:rStyle w:val="FootnoteReference"/>
        </w:rPr>
        <w:footnoteReference w:id="39"/>
      </w:r>
      <w:r w:rsidRPr="006040D3">
        <w:t>.</w:t>
      </w:r>
    </w:p>
    <w:p w14:paraId="0975E6AC" w14:textId="77777777" w:rsidR="006040D3" w:rsidRPr="006040D3" w:rsidRDefault="006040D3" w:rsidP="006040D3">
      <w:pPr>
        <w:spacing w:line="360" w:lineRule="auto"/>
        <w:ind w:firstLine="709"/>
        <w:jc w:val="both"/>
      </w:pPr>
      <w:r w:rsidRPr="006040D3">
        <w:t>Засилен интерес към криптоактивите се наблюдава и сред институционалните инвеститори в развити икономики. В периода на нарастваща инфлация след 2020 г. редица компании започват да включват биткойн в своите баланси като част от стратегия за защита срещу обезценяване на паричните резерви. Това показва, че възприемането на криптоактивите като средство за съхраняване на стойност не е ограничено само до индивидуалните инвеститори, а се разширява и към корпоративния сектор.</w:t>
      </w:r>
    </w:p>
    <w:p w14:paraId="7C97BDD7" w14:textId="77777777" w:rsidR="006040D3" w:rsidRPr="006040D3" w:rsidRDefault="006040D3" w:rsidP="006040D3">
      <w:pPr>
        <w:spacing w:line="360" w:lineRule="auto"/>
        <w:ind w:firstLine="709"/>
        <w:jc w:val="both"/>
      </w:pPr>
      <w:r w:rsidRPr="006040D3">
        <w:t xml:space="preserve">От друга страна обаче, високата инфлация обикновено провокира реакция от страна на централните банки под формата на затягане на паричната политика и повишаване на лихвените проценти. Именно този вторичен ефект често се оказва по-силен от първоначалния стимулиращ ефект на инфлацията върху криптоактивите. Повишаването на лихвените равнища води до ограничаване на ликвидността, повишаване на разходите за финансиране и пренасочване на капитали към по-сигурни финансови инструменти. Това обяснява наблюдаваните спадове в цените на криптоактивите в условия на висока инфлация, когато тя е съпроводена с агресивна парична политика. Следователно влиянието на инфлацията не е пряко и еднозначно, а е опосредствано от реакцията на финансовите </w:t>
      </w:r>
      <w:r w:rsidRPr="006040D3">
        <w:lastRenderedPageBreak/>
        <w:t>институции и от общата макроикономическа среда.</w:t>
      </w:r>
    </w:p>
    <w:p w14:paraId="645AE14E" w14:textId="0FB4E5DE" w:rsidR="006040D3" w:rsidRPr="006040D3" w:rsidRDefault="006040D3" w:rsidP="006040D3">
      <w:pPr>
        <w:spacing w:line="360" w:lineRule="auto"/>
        <w:ind w:firstLine="709"/>
        <w:jc w:val="both"/>
      </w:pPr>
      <w:r w:rsidRPr="006040D3">
        <w:t>Особено ясно се проявява ролята на инфлацията в икономики с нестабилни валути и висока степен на обезценяване. В такива условия криптоактивите се използват като инструмент за съхраняване на стойност и защита на спестяванията, тъй като предоставят възможност за избягване на загубите, свързани с девалвацията на националната валута. Това води до повишено търсене и по-висока степен на приемане на криптоактивите в развиващи се икономики, където финансовата нестабилност е по-изразена</w:t>
      </w:r>
      <w:r w:rsidR="00D8449B">
        <w:rPr>
          <w:rStyle w:val="FootnoteReference"/>
        </w:rPr>
        <w:footnoteReference w:id="40"/>
      </w:r>
      <w:r w:rsidRPr="006040D3">
        <w:t>.</w:t>
      </w:r>
    </w:p>
    <w:p w14:paraId="632FA40E" w14:textId="56BB0FB3" w:rsidR="00D8449B" w:rsidRPr="00D8449B" w:rsidRDefault="00D8449B" w:rsidP="00D8449B">
      <w:pPr>
        <w:spacing w:line="360" w:lineRule="auto"/>
        <w:ind w:firstLine="709"/>
        <w:jc w:val="both"/>
        <w:rPr>
          <w:lang w:val="en-GB"/>
        </w:rPr>
      </w:pPr>
      <w:proofErr w:type="spellStart"/>
      <w:r w:rsidRPr="00D8449B">
        <w:rPr>
          <w:lang w:val="en-GB"/>
        </w:rPr>
        <w:t>Лихвените</w:t>
      </w:r>
      <w:proofErr w:type="spellEnd"/>
      <w:r w:rsidRPr="00D8449B">
        <w:rPr>
          <w:lang w:val="en-GB"/>
        </w:rPr>
        <w:t xml:space="preserve"> </w:t>
      </w:r>
      <w:proofErr w:type="spellStart"/>
      <w:r w:rsidRPr="00D8449B">
        <w:rPr>
          <w:lang w:val="en-GB"/>
        </w:rPr>
        <w:t>проценти</w:t>
      </w:r>
      <w:proofErr w:type="spellEnd"/>
      <w:r w:rsidRPr="00D8449B">
        <w:rPr>
          <w:lang w:val="en-GB"/>
        </w:rPr>
        <w:t xml:space="preserve"> </w:t>
      </w:r>
      <w:proofErr w:type="spellStart"/>
      <w:r w:rsidRPr="00D8449B">
        <w:rPr>
          <w:lang w:val="en-GB"/>
        </w:rPr>
        <w:t>представляват</w:t>
      </w:r>
      <w:proofErr w:type="spellEnd"/>
      <w:r w:rsidRPr="00D8449B">
        <w:rPr>
          <w:lang w:val="en-GB"/>
        </w:rPr>
        <w:t xml:space="preserve"> </w:t>
      </w:r>
      <w:proofErr w:type="spellStart"/>
      <w:r w:rsidRPr="00D8449B">
        <w:rPr>
          <w:lang w:val="en-GB"/>
        </w:rPr>
        <w:t>един</w:t>
      </w:r>
      <w:proofErr w:type="spellEnd"/>
      <w:r w:rsidRPr="00D8449B">
        <w:rPr>
          <w:lang w:val="en-GB"/>
        </w:rPr>
        <w:t xml:space="preserve"> </w:t>
      </w:r>
      <w:proofErr w:type="spellStart"/>
      <w:r w:rsidRPr="00D8449B">
        <w:rPr>
          <w:lang w:val="en-GB"/>
        </w:rPr>
        <w:t>от</w:t>
      </w:r>
      <w:proofErr w:type="spellEnd"/>
      <w:r w:rsidRPr="00D8449B">
        <w:rPr>
          <w:lang w:val="en-GB"/>
        </w:rPr>
        <w:t xml:space="preserve"> </w:t>
      </w:r>
      <w:proofErr w:type="spellStart"/>
      <w:r w:rsidRPr="00D8449B">
        <w:rPr>
          <w:lang w:val="en-GB"/>
        </w:rPr>
        <w:t>най-преките</w:t>
      </w:r>
      <w:proofErr w:type="spellEnd"/>
      <w:r w:rsidRPr="00D8449B">
        <w:rPr>
          <w:lang w:val="en-GB"/>
        </w:rPr>
        <w:t xml:space="preserve"> и </w:t>
      </w:r>
      <w:proofErr w:type="spellStart"/>
      <w:r w:rsidRPr="00D8449B">
        <w:rPr>
          <w:lang w:val="en-GB"/>
        </w:rPr>
        <w:t>значими</w:t>
      </w:r>
      <w:proofErr w:type="spellEnd"/>
      <w:r w:rsidRPr="00D8449B">
        <w:rPr>
          <w:lang w:val="en-GB"/>
        </w:rPr>
        <w:t xml:space="preserve"> </w:t>
      </w:r>
      <w:proofErr w:type="spellStart"/>
      <w:r w:rsidRPr="00D8449B">
        <w:rPr>
          <w:lang w:val="en-GB"/>
        </w:rPr>
        <w:t>фактори</w:t>
      </w:r>
      <w:proofErr w:type="spellEnd"/>
      <w:r w:rsidRPr="00D8449B">
        <w:rPr>
          <w:lang w:val="en-GB"/>
        </w:rPr>
        <w:t xml:space="preserve">, </w:t>
      </w:r>
      <w:proofErr w:type="spellStart"/>
      <w:r w:rsidRPr="00D8449B">
        <w:rPr>
          <w:lang w:val="en-GB"/>
        </w:rPr>
        <w:t>влияещи</w:t>
      </w:r>
      <w:proofErr w:type="spellEnd"/>
      <w:r w:rsidRPr="00D8449B">
        <w:rPr>
          <w:lang w:val="en-GB"/>
        </w:rPr>
        <w:t xml:space="preserve"> </w:t>
      </w:r>
      <w:proofErr w:type="spellStart"/>
      <w:r w:rsidRPr="00D8449B">
        <w:rPr>
          <w:lang w:val="en-GB"/>
        </w:rPr>
        <w:t>върху</w:t>
      </w:r>
      <w:proofErr w:type="spellEnd"/>
      <w:r w:rsidRPr="00D8449B">
        <w:rPr>
          <w:lang w:val="en-GB"/>
        </w:rPr>
        <w:t xml:space="preserve"> </w:t>
      </w:r>
      <w:proofErr w:type="spellStart"/>
      <w:r w:rsidRPr="00D8449B">
        <w:rPr>
          <w:lang w:val="en-GB"/>
        </w:rPr>
        <w:t>доходността</w:t>
      </w:r>
      <w:proofErr w:type="spellEnd"/>
      <w:r w:rsidRPr="00D8449B">
        <w:rPr>
          <w:lang w:val="en-GB"/>
        </w:rPr>
        <w:t xml:space="preserve"> и </w:t>
      </w:r>
      <w:proofErr w:type="spellStart"/>
      <w:r w:rsidRPr="00D8449B">
        <w:rPr>
          <w:lang w:val="en-GB"/>
        </w:rPr>
        <w:t>цените</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криптоактивите</w:t>
      </w:r>
      <w:proofErr w:type="spellEnd"/>
      <w:r w:rsidRPr="00D8449B">
        <w:rPr>
          <w:lang w:val="en-GB"/>
        </w:rPr>
        <w:t xml:space="preserve">, </w:t>
      </w:r>
      <w:proofErr w:type="spellStart"/>
      <w:r w:rsidRPr="00D8449B">
        <w:rPr>
          <w:lang w:val="en-GB"/>
        </w:rPr>
        <w:t>тъй</w:t>
      </w:r>
      <w:proofErr w:type="spellEnd"/>
      <w:r w:rsidRPr="00D8449B">
        <w:rPr>
          <w:lang w:val="en-GB"/>
        </w:rPr>
        <w:t xml:space="preserve"> </w:t>
      </w:r>
      <w:proofErr w:type="spellStart"/>
      <w:r w:rsidRPr="00D8449B">
        <w:rPr>
          <w:lang w:val="en-GB"/>
        </w:rPr>
        <w:t>като</w:t>
      </w:r>
      <w:proofErr w:type="spellEnd"/>
      <w:r w:rsidRPr="00D8449B">
        <w:rPr>
          <w:lang w:val="en-GB"/>
        </w:rPr>
        <w:t xml:space="preserve"> </w:t>
      </w:r>
      <w:proofErr w:type="spellStart"/>
      <w:r w:rsidRPr="00D8449B">
        <w:rPr>
          <w:lang w:val="en-GB"/>
        </w:rPr>
        <w:t>те</w:t>
      </w:r>
      <w:proofErr w:type="spellEnd"/>
      <w:r w:rsidRPr="00D8449B">
        <w:rPr>
          <w:lang w:val="en-GB"/>
        </w:rPr>
        <w:t xml:space="preserve"> </w:t>
      </w:r>
      <w:proofErr w:type="spellStart"/>
      <w:r w:rsidRPr="00D8449B">
        <w:rPr>
          <w:lang w:val="en-GB"/>
        </w:rPr>
        <w:t>определят</w:t>
      </w:r>
      <w:proofErr w:type="spellEnd"/>
      <w:r w:rsidRPr="00D8449B">
        <w:rPr>
          <w:lang w:val="en-GB"/>
        </w:rPr>
        <w:t xml:space="preserve"> </w:t>
      </w:r>
      <w:proofErr w:type="spellStart"/>
      <w:r w:rsidRPr="00D8449B">
        <w:rPr>
          <w:lang w:val="en-GB"/>
        </w:rPr>
        <w:t>цената</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капитала</w:t>
      </w:r>
      <w:proofErr w:type="spellEnd"/>
      <w:r w:rsidRPr="00D8449B">
        <w:rPr>
          <w:lang w:val="en-GB"/>
        </w:rPr>
        <w:t xml:space="preserve"> и </w:t>
      </w:r>
      <w:proofErr w:type="spellStart"/>
      <w:r w:rsidRPr="00D8449B">
        <w:rPr>
          <w:lang w:val="en-GB"/>
        </w:rPr>
        <w:t>формират</w:t>
      </w:r>
      <w:proofErr w:type="spellEnd"/>
      <w:r w:rsidRPr="00D8449B">
        <w:rPr>
          <w:lang w:val="en-GB"/>
        </w:rPr>
        <w:t xml:space="preserve"> </w:t>
      </w:r>
      <w:proofErr w:type="spellStart"/>
      <w:r w:rsidRPr="00D8449B">
        <w:rPr>
          <w:lang w:val="en-GB"/>
        </w:rPr>
        <w:t>базовата</w:t>
      </w:r>
      <w:proofErr w:type="spellEnd"/>
      <w:r w:rsidRPr="00D8449B">
        <w:rPr>
          <w:lang w:val="en-GB"/>
        </w:rPr>
        <w:t xml:space="preserve"> </w:t>
      </w:r>
      <w:proofErr w:type="spellStart"/>
      <w:r w:rsidRPr="00D8449B">
        <w:rPr>
          <w:lang w:val="en-GB"/>
        </w:rPr>
        <w:t>доходност</w:t>
      </w:r>
      <w:proofErr w:type="spellEnd"/>
      <w:r w:rsidRPr="00D8449B">
        <w:rPr>
          <w:lang w:val="en-GB"/>
        </w:rPr>
        <w:t xml:space="preserve"> в </w:t>
      </w:r>
      <w:proofErr w:type="spellStart"/>
      <w:r w:rsidRPr="00D8449B">
        <w:rPr>
          <w:lang w:val="en-GB"/>
        </w:rPr>
        <w:t>икономиката</w:t>
      </w:r>
      <w:proofErr w:type="spellEnd"/>
      <w:r w:rsidRPr="00D8449B">
        <w:rPr>
          <w:lang w:val="en-GB"/>
        </w:rPr>
        <w:t xml:space="preserve">. </w:t>
      </w:r>
      <w:proofErr w:type="spellStart"/>
      <w:r w:rsidRPr="00D8449B">
        <w:rPr>
          <w:lang w:val="en-GB"/>
        </w:rPr>
        <w:t>Като</w:t>
      </w:r>
      <w:proofErr w:type="spellEnd"/>
      <w:r w:rsidRPr="00D8449B">
        <w:rPr>
          <w:lang w:val="en-GB"/>
        </w:rPr>
        <w:t xml:space="preserve"> </w:t>
      </w:r>
      <w:proofErr w:type="spellStart"/>
      <w:r w:rsidRPr="00D8449B">
        <w:rPr>
          <w:lang w:val="en-GB"/>
        </w:rPr>
        <w:t>основен</w:t>
      </w:r>
      <w:proofErr w:type="spellEnd"/>
      <w:r w:rsidRPr="00D8449B">
        <w:rPr>
          <w:lang w:val="en-GB"/>
        </w:rPr>
        <w:t xml:space="preserve"> </w:t>
      </w:r>
      <w:proofErr w:type="spellStart"/>
      <w:r w:rsidRPr="00D8449B">
        <w:rPr>
          <w:lang w:val="en-GB"/>
        </w:rPr>
        <w:t>инструмент</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паричната</w:t>
      </w:r>
      <w:proofErr w:type="spellEnd"/>
      <w:r w:rsidRPr="00D8449B">
        <w:rPr>
          <w:lang w:val="en-GB"/>
        </w:rPr>
        <w:t xml:space="preserve"> </w:t>
      </w:r>
      <w:proofErr w:type="spellStart"/>
      <w:r w:rsidRPr="00D8449B">
        <w:rPr>
          <w:lang w:val="en-GB"/>
        </w:rPr>
        <w:t>политика</w:t>
      </w:r>
      <w:proofErr w:type="spellEnd"/>
      <w:r w:rsidRPr="00D8449B">
        <w:rPr>
          <w:lang w:val="en-GB"/>
        </w:rPr>
        <w:t xml:space="preserve">, </w:t>
      </w:r>
      <w:proofErr w:type="spellStart"/>
      <w:r w:rsidRPr="00D8449B">
        <w:rPr>
          <w:lang w:val="en-GB"/>
        </w:rPr>
        <w:t>лихвените</w:t>
      </w:r>
      <w:proofErr w:type="spellEnd"/>
      <w:r w:rsidRPr="00D8449B">
        <w:rPr>
          <w:lang w:val="en-GB"/>
        </w:rPr>
        <w:t xml:space="preserve"> </w:t>
      </w:r>
      <w:proofErr w:type="spellStart"/>
      <w:r w:rsidRPr="00D8449B">
        <w:rPr>
          <w:lang w:val="en-GB"/>
        </w:rPr>
        <w:t>проценти</w:t>
      </w:r>
      <w:proofErr w:type="spellEnd"/>
      <w:r w:rsidRPr="00D8449B">
        <w:rPr>
          <w:lang w:val="en-GB"/>
        </w:rPr>
        <w:t xml:space="preserve"> </w:t>
      </w:r>
      <w:proofErr w:type="spellStart"/>
      <w:r w:rsidRPr="00D8449B">
        <w:rPr>
          <w:lang w:val="en-GB"/>
        </w:rPr>
        <w:t>оказват</w:t>
      </w:r>
      <w:proofErr w:type="spellEnd"/>
      <w:r w:rsidRPr="00D8449B">
        <w:rPr>
          <w:lang w:val="en-GB"/>
        </w:rPr>
        <w:t xml:space="preserve"> </w:t>
      </w:r>
      <w:proofErr w:type="spellStart"/>
      <w:r w:rsidRPr="00D8449B">
        <w:rPr>
          <w:lang w:val="en-GB"/>
        </w:rPr>
        <w:t>влияние</w:t>
      </w:r>
      <w:proofErr w:type="spellEnd"/>
      <w:r w:rsidRPr="00D8449B">
        <w:rPr>
          <w:lang w:val="en-GB"/>
        </w:rPr>
        <w:t xml:space="preserve"> </w:t>
      </w:r>
      <w:proofErr w:type="spellStart"/>
      <w:r w:rsidRPr="00D8449B">
        <w:rPr>
          <w:lang w:val="en-GB"/>
        </w:rPr>
        <w:t>върху</w:t>
      </w:r>
      <w:proofErr w:type="spellEnd"/>
      <w:r w:rsidRPr="00D8449B">
        <w:rPr>
          <w:lang w:val="en-GB"/>
        </w:rPr>
        <w:t xml:space="preserve"> </w:t>
      </w:r>
      <w:proofErr w:type="spellStart"/>
      <w:r w:rsidRPr="00D8449B">
        <w:rPr>
          <w:lang w:val="en-GB"/>
        </w:rPr>
        <w:t>цялостната</w:t>
      </w:r>
      <w:proofErr w:type="spellEnd"/>
      <w:r w:rsidRPr="00D8449B">
        <w:rPr>
          <w:lang w:val="en-GB"/>
        </w:rPr>
        <w:t xml:space="preserve"> </w:t>
      </w:r>
      <w:proofErr w:type="spellStart"/>
      <w:r w:rsidRPr="00D8449B">
        <w:rPr>
          <w:lang w:val="en-GB"/>
        </w:rPr>
        <w:t>финансова</w:t>
      </w:r>
      <w:proofErr w:type="spellEnd"/>
      <w:r w:rsidRPr="00D8449B">
        <w:rPr>
          <w:lang w:val="en-GB"/>
        </w:rPr>
        <w:t xml:space="preserve"> </w:t>
      </w:r>
      <w:proofErr w:type="spellStart"/>
      <w:r w:rsidRPr="00D8449B">
        <w:rPr>
          <w:lang w:val="en-GB"/>
        </w:rPr>
        <w:t>среда</w:t>
      </w:r>
      <w:proofErr w:type="spellEnd"/>
      <w:r w:rsidRPr="00D8449B">
        <w:rPr>
          <w:lang w:val="en-GB"/>
        </w:rPr>
        <w:t xml:space="preserve">, </w:t>
      </w:r>
      <w:proofErr w:type="spellStart"/>
      <w:r w:rsidRPr="00D8449B">
        <w:rPr>
          <w:lang w:val="en-GB"/>
        </w:rPr>
        <w:t>включително</w:t>
      </w:r>
      <w:proofErr w:type="spellEnd"/>
      <w:r w:rsidRPr="00D8449B">
        <w:rPr>
          <w:lang w:val="en-GB"/>
        </w:rPr>
        <w:t xml:space="preserve"> </w:t>
      </w:r>
      <w:proofErr w:type="spellStart"/>
      <w:r w:rsidRPr="00D8449B">
        <w:rPr>
          <w:lang w:val="en-GB"/>
        </w:rPr>
        <w:t>върху</w:t>
      </w:r>
      <w:proofErr w:type="spellEnd"/>
      <w:r w:rsidRPr="00D8449B">
        <w:rPr>
          <w:lang w:val="en-GB"/>
        </w:rPr>
        <w:t xml:space="preserve"> </w:t>
      </w:r>
      <w:proofErr w:type="spellStart"/>
      <w:r w:rsidRPr="00D8449B">
        <w:rPr>
          <w:lang w:val="en-GB"/>
        </w:rPr>
        <w:t>ликвидността</w:t>
      </w:r>
      <w:proofErr w:type="spellEnd"/>
      <w:r w:rsidRPr="00D8449B">
        <w:rPr>
          <w:lang w:val="en-GB"/>
        </w:rPr>
        <w:t xml:space="preserve">, </w:t>
      </w:r>
      <w:proofErr w:type="spellStart"/>
      <w:r w:rsidRPr="00D8449B">
        <w:rPr>
          <w:lang w:val="en-GB"/>
        </w:rPr>
        <w:t>инвестиционната</w:t>
      </w:r>
      <w:proofErr w:type="spellEnd"/>
      <w:r w:rsidRPr="00D8449B">
        <w:rPr>
          <w:lang w:val="en-GB"/>
        </w:rPr>
        <w:t xml:space="preserve"> </w:t>
      </w:r>
      <w:proofErr w:type="spellStart"/>
      <w:r w:rsidRPr="00D8449B">
        <w:rPr>
          <w:lang w:val="en-GB"/>
        </w:rPr>
        <w:t>активност</w:t>
      </w:r>
      <w:proofErr w:type="spellEnd"/>
      <w:r w:rsidRPr="00D8449B">
        <w:rPr>
          <w:lang w:val="en-GB"/>
        </w:rPr>
        <w:t xml:space="preserve"> и </w:t>
      </w:r>
      <w:proofErr w:type="spellStart"/>
      <w:r w:rsidRPr="00D8449B">
        <w:rPr>
          <w:lang w:val="en-GB"/>
        </w:rPr>
        <w:t>склонността</w:t>
      </w:r>
      <w:proofErr w:type="spellEnd"/>
      <w:r w:rsidRPr="00D8449B">
        <w:rPr>
          <w:lang w:val="en-GB"/>
        </w:rPr>
        <w:t xml:space="preserve"> </w:t>
      </w:r>
      <w:proofErr w:type="spellStart"/>
      <w:r w:rsidRPr="00D8449B">
        <w:rPr>
          <w:lang w:val="en-GB"/>
        </w:rPr>
        <w:t>към</w:t>
      </w:r>
      <w:proofErr w:type="spellEnd"/>
      <w:r w:rsidRPr="00D8449B">
        <w:rPr>
          <w:lang w:val="en-GB"/>
        </w:rPr>
        <w:t xml:space="preserve"> </w:t>
      </w:r>
      <w:proofErr w:type="spellStart"/>
      <w:r w:rsidRPr="00D8449B">
        <w:rPr>
          <w:lang w:val="en-GB"/>
        </w:rPr>
        <w:t>поемане</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риск</w:t>
      </w:r>
      <w:proofErr w:type="spellEnd"/>
      <w:r w:rsidRPr="00D8449B">
        <w:rPr>
          <w:lang w:val="en-GB"/>
        </w:rPr>
        <w:t xml:space="preserve">. </w:t>
      </w:r>
      <w:proofErr w:type="spellStart"/>
      <w:r w:rsidRPr="00D8449B">
        <w:rPr>
          <w:lang w:val="en-GB"/>
        </w:rPr>
        <w:t>Именно</w:t>
      </w:r>
      <w:proofErr w:type="spellEnd"/>
      <w:r w:rsidRPr="00D8449B">
        <w:rPr>
          <w:lang w:val="en-GB"/>
        </w:rPr>
        <w:t xml:space="preserve"> </w:t>
      </w:r>
      <w:proofErr w:type="spellStart"/>
      <w:r w:rsidRPr="00D8449B">
        <w:rPr>
          <w:lang w:val="en-GB"/>
        </w:rPr>
        <w:t>чрез</w:t>
      </w:r>
      <w:proofErr w:type="spellEnd"/>
      <w:r w:rsidRPr="00D8449B">
        <w:rPr>
          <w:lang w:val="en-GB"/>
        </w:rPr>
        <w:t xml:space="preserve"> </w:t>
      </w:r>
      <w:proofErr w:type="spellStart"/>
      <w:r w:rsidRPr="00D8449B">
        <w:rPr>
          <w:lang w:val="en-GB"/>
        </w:rPr>
        <w:t>тези</w:t>
      </w:r>
      <w:proofErr w:type="spellEnd"/>
      <w:r w:rsidRPr="00D8449B">
        <w:rPr>
          <w:lang w:val="en-GB"/>
        </w:rPr>
        <w:t xml:space="preserve"> </w:t>
      </w:r>
      <w:proofErr w:type="spellStart"/>
      <w:r w:rsidRPr="00D8449B">
        <w:rPr>
          <w:lang w:val="en-GB"/>
        </w:rPr>
        <w:t>канали</w:t>
      </w:r>
      <w:proofErr w:type="spellEnd"/>
      <w:r w:rsidRPr="00D8449B">
        <w:rPr>
          <w:lang w:val="en-GB"/>
        </w:rPr>
        <w:t xml:space="preserve"> </w:t>
      </w:r>
      <w:proofErr w:type="spellStart"/>
      <w:r w:rsidRPr="00D8449B">
        <w:rPr>
          <w:lang w:val="en-GB"/>
        </w:rPr>
        <w:t>те</w:t>
      </w:r>
      <w:proofErr w:type="spellEnd"/>
      <w:r w:rsidRPr="00D8449B">
        <w:rPr>
          <w:lang w:val="en-GB"/>
        </w:rPr>
        <w:t xml:space="preserve"> </w:t>
      </w:r>
      <w:proofErr w:type="spellStart"/>
      <w:r w:rsidRPr="00D8449B">
        <w:rPr>
          <w:lang w:val="en-GB"/>
        </w:rPr>
        <w:t>се</w:t>
      </w:r>
      <w:proofErr w:type="spellEnd"/>
      <w:r w:rsidRPr="00D8449B">
        <w:rPr>
          <w:lang w:val="en-GB"/>
        </w:rPr>
        <w:t xml:space="preserve"> </w:t>
      </w:r>
      <w:proofErr w:type="spellStart"/>
      <w:r w:rsidRPr="00D8449B">
        <w:rPr>
          <w:lang w:val="en-GB"/>
        </w:rPr>
        <w:t>превръщат</w:t>
      </w:r>
      <w:proofErr w:type="spellEnd"/>
      <w:r w:rsidRPr="00D8449B">
        <w:rPr>
          <w:lang w:val="en-GB"/>
        </w:rPr>
        <w:t xml:space="preserve"> в </w:t>
      </w:r>
      <w:proofErr w:type="spellStart"/>
      <w:r w:rsidRPr="00D8449B">
        <w:rPr>
          <w:lang w:val="en-GB"/>
        </w:rPr>
        <w:t>ключов</w:t>
      </w:r>
      <w:proofErr w:type="spellEnd"/>
      <w:r w:rsidRPr="00D8449B">
        <w:rPr>
          <w:lang w:val="en-GB"/>
        </w:rPr>
        <w:t xml:space="preserve"> </w:t>
      </w:r>
      <w:proofErr w:type="spellStart"/>
      <w:r w:rsidRPr="00D8449B">
        <w:rPr>
          <w:lang w:val="en-GB"/>
        </w:rPr>
        <w:t>ориентир</w:t>
      </w:r>
      <w:proofErr w:type="spellEnd"/>
      <w:r w:rsidRPr="00D8449B">
        <w:rPr>
          <w:lang w:val="en-GB"/>
        </w:rPr>
        <w:t xml:space="preserve"> </w:t>
      </w:r>
      <w:proofErr w:type="spellStart"/>
      <w:r w:rsidRPr="00D8449B">
        <w:rPr>
          <w:lang w:val="en-GB"/>
        </w:rPr>
        <w:t>за</w:t>
      </w:r>
      <w:proofErr w:type="spellEnd"/>
      <w:r w:rsidRPr="00D8449B">
        <w:rPr>
          <w:lang w:val="en-GB"/>
        </w:rPr>
        <w:t xml:space="preserve"> </w:t>
      </w:r>
      <w:proofErr w:type="spellStart"/>
      <w:r w:rsidRPr="00D8449B">
        <w:rPr>
          <w:lang w:val="en-GB"/>
        </w:rPr>
        <w:t>инвестиционните</w:t>
      </w:r>
      <w:proofErr w:type="spellEnd"/>
      <w:r w:rsidRPr="00D8449B">
        <w:rPr>
          <w:lang w:val="en-GB"/>
        </w:rPr>
        <w:t xml:space="preserve"> </w:t>
      </w:r>
      <w:proofErr w:type="spellStart"/>
      <w:r w:rsidRPr="00D8449B">
        <w:rPr>
          <w:lang w:val="en-GB"/>
        </w:rPr>
        <w:t>решения</w:t>
      </w:r>
      <w:proofErr w:type="spellEnd"/>
      <w:r w:rsidRPr="00D8449B">
        <w:rPr>
          <w:lang w:val="en-GB"/>
        </w:rPr>
        <w:t xml:space="preserve"> </w:t>
      </w:r>
      <w:proofErr w:type="spellStart"/>
      <w:r w:rsidRPr="00D8449B">
        <w:rPr>
          <w:lang w:val="en-GB"/>
        </w:rPr>
        <w:t>както</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индивидуалните</w:t>
      </w:r>
      <w:proofErr w:type="spellEnd"/>
      <w:r w:rsidRPr="00D8449B">
        <w:rPr>
          <w:lang w:val="en-GB"/>
        </w:rPr>
        <w:t xml:space="preserve">, </w:t>
      </w:r>
      <w:proofErr w:type="spellStart"/>
      <w:r w:rsidRPr="00D8449B">
        <w:rPr>
          <w:lang w:val="en-GB"/>
        </w:rPr>
        <w:t>така</w:t>
      </w:r>
      <w:proofErr w:type="spellEnd"/>
      <w:r w:rsidRPr="00D8449B">
        <w:rPr>
          <w:lang w:val="en-GB"/>
        </w:rPr>
        <w:t xml:space="preserve"> и </w:t>
      </w:r>
      <w:proofErr w:type="spellStart"/>
      <w:r w:rsidRPr="00D8449B">
        <w:rPr>
          <w:lang w:val="en-GB"/>
        </w:rPr>
        <w:t>на</w:t>
      </w:r>
      <w:proofErr w:type="spellEnd"/>
      <w:r w:rsidRPr="00D8449B">
        <w:rPr>
          <w:lang w:val="en-GB"/>
        </w:rPr>
        <w:t xml:space="preserve"> </w:t>
      </w:r>
      <w:proofErr w:type="spellStart"/>
      <w:r w:rsidRPr="00D8449B">
        <w:rPr>
          <w:lang w:val="en-GB"/>
        </w:rPr>
        <w:t>институционалните</w:t>
      </w:r>
      <w:proofErr w:type="spellEnd"/>
      <w:r w:rsidRPr="00D8449B">
        <w:rPr>
          <w:lang w:val="en-GB"/>
        </w:rPr>
        <w:t xml:space="preserve"> </w:t>
      </w:r>
      <w:proofErr w:type="spellStart"/>
      <w:r w:rsidRPr="00D8449B">
        <w:rPr>
          <w:lang w:val="en-GB"/>
        </w:rPr>
        <w:t>инвеститори</w:t>
      </w:r>
      <w:proofErr w:type="spellEnd"/>
      <w:r>
        <w:rPr>
          <w:rStyle w:val="FootnoteReference"/>
          <w:lang w:val="en-GB"/>
        </w:rPr>
        <w:footnoteReference w:id="41"/>
      </w:r>
      <w:r w:rsidRPr="00D8449B">
        <w:rPr>
          <w:lang w:val="en-GB"/>
        </w:rPr>
        <w:t>.</w:t>
      </w:r>
    </w:p>
    <w:p w14:paraId="35B592EA" w14:textId="77777777" w:rsidR="00D8449B" w:rsidRPr="00D8449B" w:rsidRDefault="00D8449B" w:rsidP="00D8449B">
      <w:pPr>
        <w:spacing w:line="360" w:lineRule="auto"/>
        <w:ind w:firstLine="709"/>
        <w:jc w:val="both"/>
        <w:rPr>
          <w:lang w:val="en-GB"/>
        </w:rPr>
      </w:pPr>
      <w:proofErr w:type="spellStart"/>
      <w:r w:rsidRPr="00D8449B">
        <w:rPr>
          <w:lang w:val="en-GB"/>
        </w:rPr>
        <w:t>При</w:t>
      </w:r>
      <w:proofErr w:type="spellEnd"/>
      <w:r w:rsidRPr="00D8449B">
        <w:rPr>
          <w:lang w:val="en-GB"/>
        </w:rPr>
        <w:t xml:space="preserve"> </w:t>
      </w:r>
      <w:proofErr w:type="spellStart"/>
      <w:r w:rsidRPr="00D8449B">
        <w:rPr>
          <w:lang w:val="en-GB"/>
        </w:rPr>
        <w:t>повишаване</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лихвените</w:t>
      </w:r>
      <w:proofErr w:type="spellEnd"/>
      <w:r w:rsidRPr="00D8449B">
        <w:rPr>
          <w:lang w:val="en-GB"/>
        </w:rPr>
        <w:t xml:space="preserve"> </w:t>
      </w:r>
      <w:proofErr w:type="spellStart"/>
      <w:r w:rsidRPr="00D8449B">
        <w:rPr>
          <w:lang w:val="en-GB"/>
        </w:rPr>
        <w:t>проценти</w:t>
      </w:r>
      <w:proofErr w:type="spellEnd"/>
      <w:r w:rsidRPr="00D8449B">
        <w:rPr>
          <w:lang w:val="en-GB"/>
        </w:rPr>
        <w:t xml:space="preserve"> </w:t>
      </w:r>
      <w:proofErr w:type="spellStart"/>
      <w:r w:rsidRPr="00D8449B">
        <w:rPr>
          <w:lang w:val="en-GB"/>
        </w:rPr>
        <w:t>се</w:t>
      </w:r>
      <w:proofErr w:type="spellEnd"/>
      <w:r w:rsidRPr="00D8449B">
        <w:rPr>
          <w:lang w:val="en-GB"/>
        </w:rPr>
        <w:t xml:space="preserve"> </w:t>
      </w:r>
      <w:proofErr w:type="spellStart"/>
      <w:r w:rsidRPr="00D8449B">
        <w:rPr>
          <w:lang w:val="en-GB"/>
        </w:rPr>
        <w:t>наблюдава</w:t>
      </w:r>
      <w:proofErr w:type="spellEnd"/>
      <w:r w:rsidRPr="00D8449B">
        <w:rPr>
          <w:lang w:val="en-GB"/>
        </w:rPr>
        <w:t xml:space="preserve"> </w:t>
      </w:r>
      <w:proofErr w:type="spellStart"/>
      <w:r w:rsidRPr="00D8449B">
        <w:rPr>
          <w:lang w:val="en-GB"/>
        </w:rPr>
        <w:t>увеличаване</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възвръщаемостта</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традиционните</w:t>
      </w:r>
      <w:proofErr w:type="spellEnd"/>
      <w:r w:rsidRPr="00D8449B">
        <w:rPr>
          <w:lang w:val="en-GB"/>
        </w:rPr>
        <w:t xml:space="preserve"> </w:t>
      </w:r>
      <w:proofErr w:type="spellStart"/>
      <w:r w:rsidRPr="00D8449B">
        <w:rPr>
          <w:lang w:val="en-GB"/>
        </w:rPr>
        <w:t>финансови</w:t>
      </w:r>
      <w:proofErr w:type="spellEnd"/>
      <w:r w:rsidRPr="00D8449B">
        <w:rPr>
          <w:lang w:val="en-GB"/>
        </w:rPr>
        <w:t xml:space="preserve"> </w:t>
      </w:r>
      <w:proofErr w:type="spellStart"/>
      <w:r w:rsidRPr="00D8449B">
        <w:rPr>
          <w:lang w:val="en-GB"/>
        </w:rPr>
        <w:t>инструменти</w:t>
      </w:r>
      <w:proofErr w:type="spellEnd"/>
      <w:r w:rsidRPr="00D8449B">
        <w:rPr>
          <w:lang w:val="en-GB"/>
        </w:rPr>
        <w:t xml:space="preserve">, </w:t>
      </w:r>
      <w:proofErr w:type="spellStart"/>
      <w:r w:rsidRPr="00D8449B">
        <w:rPr>
          <w:lang w:val="en-GB"/>
        </w:rPr>
        <w:t>като</w:t>
      </w:r>
      <w:proofErr w:type="spellEnd"/>
      <w:r w:rsidRPr="00D8449B">
        <w:rPr>
          <w:lang w:val="en-GB"/>
        </w:rPr>
        <w:t xml:space="preserve"> </w:t>
      </w:r>
      <w:proofErr w:type="spellStart"/>
      <w:r w:rsidRPr="00D8449B">
        <w:rPr>
          <w:lang w:val="en-GB"/>
        </w:rPr>
        <w:t>държавни</w:t>
      </w:r>
      <w:proofErr w:type="spellEnd"/>
      <w:r w:rsidRPr="00D8449B">
        <w:rPr>
          <w:lang w:val="en-GB"/>
        </w:rPr>
        <w:t xml:space="preserve"> </w:t>
      </w:r>
      <w:proofErr w:type="spellStart"/>
      <w:r w:rsidRPr="00D8449B">
        <w:rPr>
          <w:lang w:val="en-GB"/>
        </w:rPr>
        <w:t>облигации</w:t>
      </w:r>
      <w:proofErr w:type="spellEnd"/>
      <w:r w:rsidRPr="00D8449B">
        <w:rPr>
          <w:lang w:val="en-GB"/>
        </w:rPr>
        <w:t xml:space="preserve">, </w:t>
      </w:r>
      <w:proofErr w:type="spellStart"/>
      <w:r w:rsidRPr="00D8449B">
        <w:rPr>
          <w:lang w:val="en-GB"/>
        </w:rPr>
        <w:t>депозити</w:t>
      </w:r>
      <w:proofErr w:type="spellEnd"/>
      <w:r w:rsidRPr="00D8449B">
        <w:rPr>
          <w:lang w:val="en-GB"/>
        </w:rPr>
        <w:t xml:space="preserve"> и </w:t>
      </w:r>
      <w:proofErr w:type="spellStart"/>
      <w:r w:rsidRPr="00D8449B">
        <w:rPr>
          <w:lang w:val="en-GB"/>
        </w:rPr>
        <w:t>други</w:t>
      </w:r>
      <w:proofErr w:type="spellEnd"/>
      <w:r w:rsidRPr="00D8449B">
        <w:rPr>
          <w:lang w:val="en-GB"/>
        </w:rPr>
        <w:t xml:space="preserve"> </w:t>
      </w:r>
      <w:proofErr w:type="spellStart"/>
      <w:r w:rsidRPr="00D8449B">
        <w:rPr>
          <w:lang w:val="en-GB"/>
        </w:rPr>
        <w:t>нискорискови</w:t>
      </w:r>
      <w:proofErr w:type="spellEnd"/>
      <w:r w:rsidRPr="00D8449B">
        <w:rPr>
          <w:lang w:val="en-GB"/>
        </w:rPr>
        <w:t xml:space="preserve"> </w:t>
      </w:r>
      <w:proofErr w:type="spellStart"/>
      <w:r w:rsidRPr="00D8449B">
        <w:rPr>
          <w:lang w:val="en-GB"/>
        </w:rPr>
        <w:t>активи</w:t>
      </w:r>
      <w:proofErr w:type="spellEnd"/>
      <w:r w:rsidRPr="00D8449B">
        <w:rPr>
          <w:lang w:val="en-GB"/>
        </w:rPr>
        <w:t xml:space="preserve">. </w:t>
      </w:r>
      <w:proofErr w:type="spellStart"/>
      <w:r w:rsidRPr="00D8449B">
        <w:rPr>
          <w:lang w:val="en-GB"/>
        </w:rPr>
        <w:t>Това</w:t>
      </w:r>
      <w:proofErr w:type="spellEnd"/>
      <w:r w:rsidRPr="00D8449B">
        <w:rPr>
          <w:lang w:val="en-GB"/>
        </w:rPr>
        <w:t xml:space="preserve"> </w:t>
      </w:r>
      <w:proofErr w:type="spellStart"/>
      <w:r w:rsidRPr="00D8449B">
        <w:rPr>
          <w:lang w:val="en-GB"/>
        </w:rPr>
        <w:t>създава</w:t>
      </w:r>
      <w:proofErr w:type="spellEnd"/>
      <w:r w:rsidRPr="00D8449B">
        <w:rPr>
          <w:lang w:val="en-GB"/>
        </w:rPr>
        <w:t xml:space="preserve"> </w:t>
      </w:r>
      <w:proofErr w:type="spellStart"/>
      <w:r w:rsidRPr="00D8449B">
        <w:rPr>
          <w:lang w:val="en-GB"/>
        </w:rPr>
        <w:t>по-привлекателна</w:t>
      </w:r>
      <w:proofErr w:type="spellEnd"/>
      <w:r w:rsidRPr="00D8449B">
        <w:rPr>
          <w:lang w:val="en-GB"/>
        </w:rPr>
        <w:t xml:space="preserve"> </w:t>
      </w:r>
      <w:proofErr w:type="spellStart"/>
      <w:r w:rsidRPr="00D8449B">
        <w:rPr>
          <w:lang w:val="en-GB"/>
        </w:rPr>
        <w:t>алтернатива</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инвестициите</w:t>
      </w:r>
      <w:proofErr w:type="spellEnd"/>
      <w:r w:rsidRPr="00D8449B">
        <w:rPr>
          <w:lang w:val="en-GB"/>
        </w:rPr>
        <w:t xml:space="preserve"> в </w:t>
      </w:r>
      <w:proofErr w:type="spellStart"/>
      <w:r w:rsidRPr="00D8449B">
        <w:rPr>
          <w:lang w:val="en-GB"/>
        </w:rPr>
        <w:t>криптоактиви</w:t>
      </w:r>
      <w:proofErr w:type="spellEnd"/>
      <w:r w:rsidRPr="00D8449B">
        <w:rPr>
          <w:lang w:val="en-GB"/>
        </w:rPr>
        <w:t xml:space="preserve">, </w:t>
      </w:r>
      <w:proofErr w:type="spellStart"/>
      <w:r w:rsidRPr="00D8449B">
        <w:rPr>
          <w:lang w:val="en-GB"/>
        </w:rPr>
        <w:t>които</w:t>
      </w:r>
      <w:proofErr w:type="spellEnd"/>
      <w:r w:rsidRPr="00D8449B">
        <w:rPr>
          <w:lang w:val="en-GB"/>
        </w:rPr>
        <w:t xml:space="preserve"> </w:t>
      </w:r>
      <w:proofErr w:type="spellStart"/>
      <w:r w:rsidRPr="00D8449B">
        <w:rPr>
          <w:lang w:val="en-GB"/>
        </w:rPr>
        <w:t>се</w:t>
      </w:r>
      <w:proofErr w:type="spellEnd"/>
      <w:r w:rsidRPr="00D8449B">
        <w:rPr>
          <w:lang w:val="en-GB"/>
        </w:rPr>
        <w:t xml:space="preserve"> </w:t>
      </w:r>
      <w:proofErr w:type="spellStart"/>
      <w:r w:rsidRPr="00D8449B">
        <w:rPr>
          <w:lang w:val="en-GB"/>
        </w:rPr>
        <w:t>характеризират</w:t>
      </w:r>
      <w:proofErr w:type="spellEnd"/>
      <w:r w:rsidRPr="00D8449B">
        <w:rPr>
          <w:lang w:val="en-GB"/>
        </w:rPr>
        <w:t xml:space="preserve"> с </w:t>
      </w:r>
      <w:proofErr w:type="spellStart"/>
      <w:r w:rsidRPr="00D8449B">
        <w:rPr>
          <w:lang w:val="en-GB"/>
        </w:rPr>
        <w:t>висока</w:t>
      </w:r>
      <w:proofErr w:type="spellEnd"/>
      <w:r w:rsidRPr="00D8449B">
        <w:rPr>
          <w:lang w:val="en-GB"/>
        </w:rPr>
        <w:t xml:space="preserve"> </w:t>
      </w:r>
      <w:proofErr w:type="spellStart"/>
      <w:r w:rsidRPr="00D8449B">
        <w:rPr>
          <w:lang w:val="en-GB"/>
        </w:rPr>
        <w:t>волатилност</w:t>
      </w:r>
      <w:proofErr w:type="spellEnd"/>
      <w:r w:rsidRPr="00D8449B">
        <w:rPr>
          <w:lang w:val="en-GB"/>
        </w:rPr>
        <w:t xml:space="preserve"> и </w:t>
      </w:r>
      <w:proofErr w:type="spellStart"/>
      <w:r w:rsidRPr="00D8449B">
        <w:rPr>
          <w:lang w:val="en-GB"/>
        </w:rPr>
        <w:t>липса</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гарантиран</w:t>
      </w:r>
      <w:proofErr w:type="spellEnd"/>
      <w:r w:rsidRPr="00D8449B">
        <w:rPr>
          <w:lang w:val="en-GB"/>
        </w:rPr>
        <w:t xml:space="preserve"> </w:t>
      </w:r>
      <w:proofErr w:type="spellStart"/>
      <w:r w:rsidRPr="00D8449B">
        <w:rPr>
          <w:lang w:val="en-GB"/>
        </w:rPr>
        <w:t>доход</w:t>
      </w:r>
      <w:proofErr w:type="spellEnd"/>
      <w:r w:rsidRPr="00D8449B">
        <w:rPr>
          <w:lang w:val="en-GB"/>
        </w:rPr>
        <w:t xml:space="preserve">. В </w:t>
      </w:r>
      <w:proofErr w:type="spellStart"/>
      <w:r w:rsidRPr="00D8449B">
        <w:rPr>
          <w:lang w:val="en-GB"/>
        </w:rPr>
        <w:t>резултат</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това</w:t>
      </w:r>
      <w:proofErr w:type="spellEnd"/>
      <w:r w:rsidRPr="00D8449B">
        <w:rPr>
          <w:lang w:val="en-GB"/>
        </w:rPr>
        <w:t xml:space="preserve"> </w:t>
      </w:r>
      <w:proofErr w:type="spellStart"/>
      <w:r w:rsidRPr="00D8449B">
        <w:rPr>
          <w:lang w:val="en-GB"/>
        </w:rPr>
        <w:t>инвеститорите</w:t>
      </w:r>
      <w:proofErr w:type="spellEnd"/>
      <w:r w:rsidRPr="00D8449B">
        <w:rPr>
          <w:lang w:val="en-GB"/>
        </w:rPr>
        <w:t xml:space="preserve"> </w:t>
      </w:r>
      <w:proofErr w:type="spellStart"/>
      <w:r w:rsidRPr="00D8449B">
        <w:rPr>
          <w:lang w:val="en-GB"/>
        </w:rPr>
        <w:t>започват</w:t>
      </w:r>
      <w:proofErr w:type="spellEnd"/>
      <w:r w:rsidRPr="00D8449B">
        <w:rPr>
          <w:lang w:val="en-GB"/>
        </w:rPr>
        <w:t xml:space="preserve"> </w:t>
      </w:r>
      <w:proofErr w:type="spellStart"/>
      <w:r w:rsidRPr="00D8449B">
        <w:rPr>
          <w:lang w:val="en-GB"/>
        </w:rPr>
        <w:t>да</w:t>
      </w:r>
      <w:proofErr w:type="spellEnd"/>
      <w:r w:rsidRPr="00D8449B">
        <w:rPr>
          <w:lang w:val="en-GB"/>
        </w:rPr>
        <w:t xml:space="preserve"> </w:t>
      </w:r>
      <w:proofErr w:type="spellStart"/>
      <w:r w:rsidRPr="00D8449B">
        <w:rPr>
          <w:lang w:val="en-GB"/>
        </w:rPr>
        <w:t>пренасочват</w:t>
      </w:r>
      <w:proofErr w:type="spellEnd"/>
      <w:r w:rsidRPr="00D8449B">
        <w:rPr>
          <w:lang w:val="en-GB"/>
        </w:rPr>
        <w:t xml:space="preserve"> </w:t>
      </w:r>
      <w:proofErr w:type="spellStart"/>
      <w:r w:rsidRPr="00D8449B">
        <w:rPr>
          <w:lang w:val="en-GB"/>
        </w:rPr>
        <w:t>капиталите</w:t>
      </w:r>
      <w:proofErr w:type="spellEnd"/>
      <w:r w:rsidRPr="00D8449B">
        <w:rPr>
          <w:lang w:val="en-GB"/>
        </w:rPr>
        <w:t xml:space="preserve"> </w:t>
      </w:r>
      <w:proofErr w:type="spellStart"/>
      <w:r w:rsidRPr="00D8449B">
        <w:rPr>
          <w:lang w:val="en-GB"/>
        </w:rPr>
        <w:t>си</w:t>
      </w:r>
      <w:proofErr w:type="spellEnd"/>
      <w:r w:rsidRPr="00D8449B">
        <w:rPr>
          <w:lang w:val="en-GB"/>
        </w:rPr>
        <w:t xml:space="preserve"> </w:t>
      </w:r>
      <w:proofErr w:type="spellStart"/>
      <w:r w:rsidRPr="00D8449B">
        <w:rPr>
          <w:lang w:val="en-GB"/>
        </w:rPr>
        <w:t>към</w:t>
      </w:r>
      <w:proofErr w:type="spellEnd"/>
      <w:r w:rsidRPr="00D8449B">
        <w:rPr>
          <w:lang w:val="en-GB"/>
        </w:rPr>
        <w:t xml:space="preserve"> </w:t>
      </w:r>
      <w:proofErr w:type="spellStart"/>
      <w:r w:rsidRPr="00D8449B">
        <w:rPr>
          <w:lang w:val="en-GB"/>
        </w:rPr>
        <w:t>по-сигурни</w:t>
      </w:r>
      <w:proofErr w:type="spellEnd"/>
      <w:r w:rsidRPr="00D8449B">
        <w:rPr>
          <w:lang w:val="en-GB"/>
        </w:rPr>
        <w:t xml:space="preserve"> </w:t>
      </w:r>
      <w:proofErr w:type="spellStart"/>
      <w:r w:rsidRPr="00D8449B">
        <w:rPr>
          <w:lang w:val="en-GB"/>
        </w:rPr>
        <w:t>активи</w:t>
      </w:r>
      <w:proofErr w:type="spellEnd"/>
      <w:r w:rsidRPr="00D8449B">
        <w:rPr>
          <w:lang w:val="en-GB"/>
        </w:rPr>
        <w:t xml:space="preserve">, </w:t>
      </w:r>
      <w:proofErr w:type="spellStart"/>
      <w:r w:rsidRPr="00D8449B">
        <w:rPr>
          <w:lang w:val="en-GB"/>
        </w:rPr>
        <w:t>което</w:t>
      </w:r>
      <w:proofErr w:type="spellEnd"/>
      <w:r w:rsidRPr="00D8449B">
        <w:rPr>
          <w:lang w:val="en-GB"/>
        </w:rPr>
        <w:t xml:space="preserve"> </w:t>
      </w:r>
      <w:proofErr w:type="spellStart"/>
      <w:r w:rsidRPr="00D8449B">
        <w:rPr>
          <w:lang w:val="en-GB"/>
        </w:rPr>
        <w:t>води</w:t>
      </w:r>
      <w:proofErr w:type="spellEnd"/>
      <w:r w:rsidRPr="00D8449B">
        <w:rPr>
          <w:lang w:val="en-GB"/>
        </w:rPr>
        <w:t xml:space="preserve"> </w:t>
      </w:r>
      <w:proofErr w:type="spellStart"/>
      <w:r w:rsidRPr="00D8449B">
        <w:rPr>
          <w:lang w:val="en-GB"/>
        </w:rPr>
        <w:t>до</w:t>
      </w:r>
      <w:proofErr w:type="spellEnd"/>
      <w:r w:rsidRPr="00D8449B">
        <w:rPr>
          <w:lang w:val="en-GB"/>
        </w:rPr>
        <w:t xml:space="preserve"> </w:t>
      </w:r>
      <w:proofErr w:type="spellStart"/>
      <w:r w:rsidRPr="00D8449B">
        <w:rPr>
          <w:lang w:val="en-GB"/>
        </w:rPr>
        <w:t>намаляване</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търсенето</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криптоактиви</w:t>
      </w:r>
      <w:proofErr w:type="spellEnd"/>
      <w:r w:rsidRPr="00D8449B">
        <w:rPr>
          <w:lang w:val="en-GB"/>
        </w:rPr>
        <w:t xml:space="preserve"> и </w:t>
      </w:r>
      <w:proofErr w:type="spellStart"/>
      <w:r w:rsidRPr="00D8449B">
        <w:rPr>
          <w:lang w:val="en-GB"/>
        </w:rPr>
        <w:t>съответно</w:t>
      </w:r>
      <w:proofErr w:type="spellEnd"/>
      <w:r w:rsidRPr="00D8449B">
        <w:rPr>
          <w:lang w:val="en-GB"/>
        </w:rPr>
        <w:t xml:space="preserve"> </w:t>
      </w:r>
      <w:proofErr w:type="spellStart"/>
      <w:r w:rsidRPr="00D8449B">
        <w:rPr>
          <w:lang w:val="en-GB"/>
        </w:rPr>
        <w:t>до</w:t>
      </w:r>
      <w:proofErr w:type="spellEnd"/>
      <w:r w:rsidRPr="00D8449B">
        <w:rPr>
          <w:lang w:val="en-GB"/>
        </w:rPr>
        <w:t xml:space="preserve"> </w:t>
      </w:r>
      <w:proofErr w:type="spellStart"/>
      <w:r w:rsidRPr="00D8449B">
        <w:rPr>
          <w:lang w:val="en-GB"/>
        </w:rPr>
        <w:t>спад</w:t>
      </w:r>
      <w:proofErr w:type="spellEnd"/>
      <w:r w:rsidRPr="00D8449B">
        <w:rPr>
          <w:lang w:val="en-GB"/>
        </w:rPr>
        <w:t xml:space="preserve"> в </w:t>
      </w:r>
      <w:proofErr w:type="spellStart"/>
      <w:r w:rsidRPr="00D8449B">
        <w:rPr>
          <w:lang w:val="en-GB"/>
        </w:rPr>
        <w:t>техните</w:t>
      </w:r>
      <w:proofErr w:type="spellEnd"/>
      <w:r w:rsidRPr="00D8449B">
        <w:rPr>
          <w:lang w:val="en-GB"/>
        </w:rPr>
        <w:t xml:space="preserve"> </w:t>
      </w:r>
      <w:proofErr w:type="spellStart"/>
      <w:r w:rsidRPr="00D8449B">
        <w:rPr>
          <w:lang w:val="en-GB"/>
        </w:rPr>
        <w:t>цени</w:t>
      </w:r>
      <w:proofErr w:type="spellEnd"/>
      <w:r w:rsidRPr="00D8449B">
        <w:rPr>
          <w:lang w:val="en-GB"/>
        </w:rPr>
        <w:t xml:space="preserve">. </w:t>
      </w:r>
      <w:proofErr w:type="spellStart"/>
      <w:r w:rsidRPr="00D8449B">
        <w:rPr>
          <w:lang w:val="en-GB"/>
        </w:rPr>
        <w:t>Този</w:t>
      </w:r>
      <w:proofErr w:type="spellEnd"/>
      <w:r w:rsidRPr="00D8449B">
        <w:rPr>
          <w:lang w:val="en-GB"/>
        </w:rPr>
        <w:t xml:space="preserve"> </w:t>
      </w:r>
      <w:proofErr w:type="spellStart"/>
      <w:r w:rsidRPr="00D8449B">
        <w:rPr>
          <w:lang w:val="en-GB"/>
        </w:rPr>
        <w:t>процес</w:t>
      </w:r>
      <w:proofErr w:type="spellEnd"/>
      <w:r w:rsidRPr="00D8449B">
        <w:rPr>
          <w:lang w:val="en-GB"/>
        </w:rPr>
        <w:t xml:space="preserve"> </w:t>
      </w:r>
      <w:proofErr w:type="spellStart"/>
      <w:r w:rsidRPr="00D8449B">
        <w:rPr>
          <w:lang w:val="en-GB"/>
        </w:rPr>
        <w:t>се</w:t>
      </w:r>
      <w:proofErr w:type="spellEnd"/>
      <w:r w:rsidRPr="00D8449B">
        <w:rPr>
          <w:lang w:val="en-GB"/>
        </w:rPr>
        <w:t xml:space="preserve"> </w:t>
      </w:r>
      <w:proofErr w:type="spellStart"/>
      <w:r w:rsidRPr="00D8449B">
        <w:rPr>
          <w:lang w:val="en-GB"/>
        </w:rPr>
        <w:t>засилва</w:t>
      </w:r>
      <w:proofErr w:type="spellEnd"/>
      <w:r w:rsidRPr="00D8449B">
        <w:rPr>
          <w:lang w:val="en-GB"/>
        </w:rPr>
        <w:t xml:space="preserve"> </w:t>
      </w:r>
      <w:proofErr w:type="spellStart"/>
      <w:r w:rsidRPr="00D8449B">
        <w:rPr>
          <w:lang w:val="en-GB"/>
        </w:rPr>
        <w:t>от</w:t>
      </w:r>
      <w:proofErr w:type="spellEnd"/>
      <w:r w:rsidRPr="00D8449B">
        <w:rPr>
          <w:lang w:val="en-GB"/>
        </w:rPr>
        <w:t xml:space="preserve"> </w:t>
      </w:r>
      <w:proofErr w:type="spellStart"/>
      <w:r w:rsidRPr="00D8449B">
        <w:rPr>
          <w:lang w:val="en-GB"/>
        </w:rPr>
        <w:t>факта</w:t>
      </w:r>
      <w:proofErr w:type="spellEnd"/>
      <w:r w:rsidRPr="00D8449B">
        <w:rPr>
          <w:lang w:val="en-GB"/>
        </w:rPr>
        <w:t xml:space="preserve">, </w:t>
      </w:r>
      <w:proofErr w:type="spellStart"/>
      <w:r w:rsidRPr="00D8449B">
        <w:rPr>
          <w:lang w:val="en-GB"/>
        </w:rPr>
        <w:t>че</w:t>
      </w:r>
      <w:proofErr w:type="spellEnd"/>
      <w:r w:rsidRPr="00D8449B">
        <w:rPr>
          <w:lang w:val="en-GB"/>
        </w:rPr>
        <w:t xml:space="preserve"> </w:t>
      </w:r>
      <w:proofErr w:type="spellStart"/>
      <w:r w:rsidRPr="00D8449B">
        <w:rPr>
          <w:lang w:val="en-GB"/>
        </w:rPr>
        <w:t>повишаването</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лихвените</w:t>
      </w:r>
      <w:proofErr w:type="spellEnd"/>
      <w:r w:rsidRPr="00D8449B">
        <w:rPr>
          <w:lang w:val="en-GB"/>
        </w:rPr>
        <w:t xml:space="preserve"> </w:t>
      </w:r>
      <w:proofErr w:type="spellStart"/>
      <w:r w:rsidRPr="00D8449B">
        <w:rPr>
          <w:lang w:val="en-GB"/>
        </w:rPr>
        <w:t>проценти</w:t>
      </w:r>
      <w:proofErr w:type="spellEnd"/>
      <w:r w:rsidRPr="00D8449B">
        <w:rPr>
          <w:lang w:val="en-GB"/>
        </w:rPr>
        <w:t xml:space="preserve"> </w:t>
      </w:r>
      <w:proofErr w:type="spellStart"/>
      <w:r w:rsidRPr="00D8449B">
        <w:rPr>
          <w:lang w:val="en-GB"/>
        </w:rPr>
        <w:t>обикновено</w:t>
      </w:r>
      <w:proofErr w:type="spellEnd"/>
      <w:r w:rsidRPr="00D8449B">
        <w:rPr>
          <w:lang w:val="en-GB"/>
        </w:rPr>
        <w:t xml:space="preserve"> е </w:t>
      </w:r>
      <w:proofErr w:type="spellStart"/>
      <w:r w:rsidRPr="00D8449B">
        <w:rPr>
          <w:lang w:val="en-GB"/>
        </w:rPr>
        <w:t>съпроводено</w:t>
      </w:r>
      <w:proofErr w:type="spellEnd"/>
      <w:r w:rsidRPr="00D8449B">
        <w:rPr>
          <w:lang w:val="en-GB"/>
        </w:rPr>
        <w:t xml:space="preserve"> с </w:t>
      </w:r>
      <w:proofErr w:type="spellStart"/>
      <w:r w:rsidRPr="00D8449B">
        <w:rPr>
          <w:lang w:val="en-GB"/>
        </w:rPr>
        <w:t>ограничаване</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паричното</w:t>
      </w:r>
      <w:proofErr w:type="spellEnd"/>
      <w:r w:rsidRPr="00D8449B">
        <w:rPr>
          <w:lang w:val="en-GB"/>
        </w:rPr>
        <w:t xml:space="preserve"> </w:t>
      </w:r>
      <w:proofErr w:type="spellStart"/>
      <w:r w:rsidRPr="00D8449B">
        <w:rPr>
          <w:lang w:val="en-GB"/>
        </w:rPr>
        <w:t>предлагане</w:t>
      </w:r>
      <w:proofErr w:type="spellEnd"/>
      <w:r w:rsidRPr="00D8449B">
        <w:rPr>
          <w:lang w:val="en-GB"/>
        </w:rPr>
        <w:t xml:space="preserve"> и </w:t>
      </w:r>
      <w:proofErr w:type="spellStart"/>
      <w:r w:rsidRPr="00D8449B">
        <w:rPr>
          <w:lang w:val="en-GB"/>
        </w:rPr>
        <w:t>намаляване</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ликвидността</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финансовите</w:t>
      </w:r>
      <w:proofErr w:type="spellEnd"/>
      <w:r w:rsidRPr="00D8449B">
        <w:rPr>
          <w:lang w:val="en-GB"/>
        </w:rPr>
        <w:t xml:space="preserve"> </w:t>
      </w:r>
      <w:proofErr w:type="spellStart"/>
      <w:r w:rsidRPr="00D8449B">
        <w:rPr>
          <w:lang w:val="en-GB"/>
        </w:rPr>
        <w:t>пазари</w:t>
      </w:r>
      <w:proofErr w:type="spellEnd"/>
      <w:r w:rsidRPr="00D8449B">
        <w:rPr>
          <w:lang w:val="en-GB"/>
        </w:rPr>
        <w:t xml:space="preserve">, </w:t>
      </w:r>
      <w:proofErr w:type="spellStart"/>
      <w:r w:rsidRPr="00D8449B">
        <w:rPr>
          <w:lang w:val="en-GB"/>
        </w:rPr>
        <w:t>което</w:t>
      </w:r>
      <w:proofErr w:type="spellEnd"/>
      <w:r w:rsidRPr="00D8449B">
        <w:rPr>
          <w:lang w:val="en-GB"/>
        </w:rPr>
        <w:t xml:space="preserve"> </w:t>
      </w:r>
      <w:proofErr w:type="spellStart"/>
      <w:r w:rsidRPr="00D8449B">
        <w:rPr>
          <w:lang w:val="en-GB"/>
        </w:rPr>
        <w:t>допълнително</w:t>
      </w:r>
      <w:proofErr w:type="spellEnd"/>
      <w:r w:rsidRPr="00D8449B">
        <w:rPr>
          <w:lang w:val="en-GB"/>
        </w:rPr>
        <w:t xml:space="preserve"> </w:t>
      </w:r>
      <w:proofErr w:type="spellStart"/>
      <w:r w:rsidRPr="00D8449B">
        <w:rPr>
          <w:lang w:val="en-GB"/>
        </w:rPr>
        <w:t>ограничава</w:t>
      </w:r>
      <w:proofErr w:type="spellEnd"/>
      <w:r w:rsidRPr="00D8449B">
        <w:rPr>
          <w:lang w:val="en-GB"/>
        </w:rPr>
        <w:t xml:space="preserve"> </w:t>
      </w:r>
      <w:proofErr w:type="spellStart"/>
      <w:r w:rsidRPr="00D8449B">
        <w:rPr>
          <w:lang w:val="en-GB"/>
        </w:rPr>
        <w:lastRenderedPageBreak/>
        <w:t>инвестициите</w:t>
      </w:r>
      <w:proofErr w:type="spellEnd"/>
      <w:r w:rsidRPr="00D8449B">
        <w:rPr>
          <w:lang w:val="en-GB"/>
        </w:rPr>
        <w:t xml:space="preserve"> в </w:t>
      </w:r>
      <w:proofErr w:type="spellStart"/>
      <w:r w:rsidRPr="00D8449B">
        <w:rPr>
          <w:lang w:val="en-GB"/>
        </w:rPr>
        <w:t>рискови</w:t>
      </w:r>
      <w:proofErr w:type="spellEnd"/>
      <w:r w:rsidRPr="00D8449B">
        <w:rPr>
          <w:lang w:val="en-GB"/>
        </w:rPr>
        <w:t xml:space="preserve"> </w:t>
      </w:r>
      <w:proofErr w:type="spellStart"/>
      <w:r w:rsidRPr="00D8449B">
        <w:rPr>
          <w:lang w:val="en-GB"/>
        </w:rPr>
        <w:t>активи</w:t>
      </w:r>
      <w:proofErr w:type="spellEnd"/>
      <w:r w:rsidRPr="00D8449B">
        <w:rPr>
          <w:lang w:val="en-GB"/>
        </w:rPr>
        <w:t>.</w:t>
      </w:r>
    </w:p>
    <w:p w14:paraId="11D1EF15" w14:textId="77777777" w:rsidR="00D8449B" w:rsidRPr="00D8449B" w:rsidRDefault="00D8449B" w:rsidP="00D8449B">
      <w:pPr>
        <w:spacing w:line="360" w:lineRule="auto"/>
        <w:ind w:firstLine="709"/>
        <w:jc w:val="both"/>
        <w:rPr>
          <w:lang w:val="en-GB"/>
        </w:rPr>
      </w:pPr>
      <w:proofErr w:type="spellStart"/>
      <w:r w:rsidRPr="00D8449B">
        <w:rPr>
          <w:lang w:val="en-GB"/>
        </w:rPr>
        <w:t>Допълнителен</w:t>
      </w:r>
      <w:proofErr w:type="spellEnd"/>
      <w:r w:rsidRPr="00D8449B">
        <w:rPr>
          <w:lang w:val="en-GB"/>
        </w:rPr>
        <w:t xml:space="preserve"> </w:t>
      </w:r>
      <w:proofErr w:type="spellStart"/>
      <w:r w:rsidRPr="00D8449B">
        <w:rPr>
          <w:lang w:val="en-GB"/>
        </w:rPr>
        <w:t>аспект</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влиянието</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лихвените</w:t>
      </w:r>
      <w:proofErr w:type="spellEnd"/>
      <w:r w:rsidRPr="00D8449B">
        <w:rPr>
          <w:lang w:val="en-GB"/>
        </w:rPr>
        <w:t xml:space="preserve"> </w:t>
      </w:r>
      <w:proofErr w:type="spellStart"/>
      <w:r w:rsidRPr="00D8449B">
        <w:rPr>
          <w:lang w:val="en-GB"/>
        </w:rPr>
        <w:t>проценти</w:t>
      </w:r>
      <w:proofErr w:type="spellEnd"/>
      <w:r w:rsidRPr="00D8449B">
        <w:rPr>
          <w:lang w:val="en-GB"/>
        </w:rPr>
        <w:t xml:space="preserve"> е </w:t>
      </w:r>
      <w:proofErr w:type="spellStart"/>
      <w:r w:rsidRPr="00D8449B">
        <w:rPr>
          <w:lang w:val="en-GB"/>
        </w:rPr>
        <w:t>свързан</w:t>
      </w:r>
      <w:proofErr w:type="spellEnd"/>
      <w:r w:rsidRPr="00D8449B">
        <w:rPr>
          <w:lang w:val="en-GB"/>
        </w:rPr>
        <w:t xml:space="preserve"> с </w:t>
      </w:r>
      <w:proofErr w:type="spellStart"/>
      <w:r w:rsidRPr="00D8449B">
        <w:rPr>
          <w:lang w:val="en-GB"/>
        </w:rPr>
        <w:t>механизма</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алтернативните</w:t>
      </w:r>
      <w:proofErr w:type="spellEnd"/>
      <w:r w:rsidRPr="00D8449B">
        <w:rPr>
          <w:lang w:val="en-GB"/>
        </w:rPr>
        <w:t xml:space="preserve"> </w:t>
      </w:r>
      <w:proofErr w:type="spellStart"/>
      <w:r w:rsidRPr="00D8449B">
        <w:rPr>
          <w:lang w:val="en-GB"/>
        </w:rPr>
        <w:t>разходи</w:t>
      </w:r>
      <w:proofErr w:type="spellEnd"/>
      <w:r w:rsidRPr="00D8449B">
        <w:rPr>
          <w:lang w:val="en-GB"/>
        </w:rPr>
        <w:t xml:space="preserve">. </w:t>
      </w:r>
      <w:proofErr w:type="spellStart"/>
      <w:r w:rsidRPr="00D8449B">
        <w:rPr>
          <w:lang w:val="en-GB"/>
        </w:rPr>
        <w:t>Криптоактивите</w:t>
      </w:r>
      <w:proofErr w:type="spellEnd"/>
      <w:r w:rsidRPr="00D8449B">
        <w:rPr>
          <w:lang w:val="en-GB"/>
        </w:rPr>
        <w:t xml:space="preserve">, </w:t>
      </w:r>
      <w:proofErr w:type="spellStart"/>
      <w:r w:rsidRPr="00D8449B">
        <w:rPr>
          <w:lang w:val="en-GB"/>
        </w:rPr>
        <w:t>включително</w:t>
      </w:r>
      <w:proofErr w:type="spellEnd"/>
      <w:r w:rsidRPr="00D8449B">
        <w:rPr>
          <w:lang w:val="en-GB"/>
        </w:rPr>
        <w:t xml:space="preserve"> </w:t>
      </w:r>
      <w:proofErr w:type="spellStart"/>
      <w:r w:rsidRPr="00D8449B">
        <w:rPr>
          <w:lang w:val="en-GB"/>
        </w:rPr>
        <w:t>биткойн</w:t>
      </w:r>
      <w:proofErr w:type="spellEnd"/>
      <w:r w:rsidRPr="00D8449B">
        <w:rPr>
          <w:lang w:val="en-GB"/>
        </w:rPr>
        <w:t xml:space="preserve">, </w:t>
      </w:r>
      <w:proofErr w:type="spellStart"/>
      <w:r w:rsidRPr="00D8449B">
        <w:rPr>
          <w:lang w:val="en-GB"/>
        </w:rPr>
        <w:t>по</w:t>
      </w:r>
      <w:proofErr w:type="spellEnd"/>
      <w:r w:rsidRPr="00D8449B">
        <w:rPr>
          <w:lang w:val="en-GB"/>
        </w:rPr>
        <w:t xml:space="preserve"> </w:t>
      </w:r>
      <w:proofErr w:type="spellStart"/>
      <w:r w:rsidRPr="00D8449B">
        <w:rPr>
          <w:lang w:val="en-GB"/>
        </w:rPr>
        <w:t>своята</w:t>
      </w:r>
      <w:proofErr w:type="spellEnd"/>
      <w:r w:rsidRPr="00D8449B">
        <w:rPr>
          <w:lang w:val="en-GB"/>
        </w:rPr>
        <w:t xml:space="preserve"> </w:t>
      </w:r>
      <w:proofErr w:type="spellStart"/>
      <w:r w:rsidRPr="00D8449B">
        <w:rPr>
          <w:lang w:val="en-GB"/>
        </w:rPr>
        <w:t>същност</w:t>
      </w:r>
      <w:proofErr w:type="spellEnd"/>
      <w:r w:rsidRPr="00D8449B">
        <w:rPr>
          <w:lang w:val="en-GB"/>
        </w:rPr>
        <w:t xml:space="preserve"> </w:t>
      </w:r>
      <w:proofErr w:type="spellStart"/>
      <w:r w:rsidRPr="00D8449B">
        <w:rPr>
          <w:lang w:val="en-GB"/>
        </w:rPr>
        <w:t>не</w:t>
      </w:r>
      <w:proofErr w:type="spellEnd"/>
      <w:r w:rsidRPr="00D8449B">
        <w:rPr>
          <w:lang w:val="en-GB"/>
        </w:rPr>
        <w:t xml:space="preserve"> </w:t>
      </w:r>
      <w:proofErr w:type="spellStart"/>
      <w:r w:rsidRPr="00D8449B">
        <w:rPr>
          <w:lang w:val="en-GB"/>
        </w:rPr>
        <w:t>генерират</w:t>
      </w:r>
      <w:proofErr w:type="spellEnd"/>
      <w:r w:rsidRPr="00D8449B">
        <w:rPr>
          <w:lang w:val="en-GB"/>
        </w:rPr>
        <w:t xml:space="preserve"> </w:t>
      </w:r>
      <w:proofErr w:type="spellStart"/>
      <w:r w:rsidRPr="00D8449B">
        <w:rPr>
          <w:lang w:val="en-GB"/>
        </w:rPr>
        <w:t>фиксиран</w:t>
      </w:r>
      <w:proofErr w:type="spellEnd"/>
      <w:r w:rsidRPr="00D8449B">
        <w:rPr>
          <w:lang w:val="en-GB"/>
        </w:rPr>
        <w:t xml:space="preserve"> </w:t>
      </w:r>
      <w:proofErr w:type="spellStart"/>
      <w:r w:rsidRPr="00D8449B">
        <w:rPr>
          <w:lang w:val="en-GB"/>
        </w:rPr>
        <w:t>доход</w:t>
      </w:r>
      <w:proofErr w:type="spellEnd"/>
      <w:r w:rsidRPr="00D8449B">
        <w:rPr>
          <w:lang w:val="en-GB"/>
        </w:rPr>
        <w:t xml:space="preserve">, </w:t>
      </w:r>
      <w:proofErr w:type="spellStart"/>
      <w:r w:rsidRPr="00D8449B">
        <w:rPr>
          <w:lang w:val="en-GB"/>
        </w:rPr>
        <w:t>като</w:t>
      </w:r>
      <w:proofErr w:type="spellEnd"/>
      <w:r w:rsidRPr="00D8449B">
        <w:rPr>
          <w:lang w:val="en-GB"/>
        </w:rPr>
        <w:t xml:space="preserve"> </w:t>
      </w:r>
      <w:proofErr w:type="spellStart"/>
      <w:r w:rsidRPr="00D8449B">
        <w:rPr>
          <w:lang w:val="en-GB"/>
        </w:rPr>
        <w:t>лихва</w:t>
      </w:r>
      <w:proofErr w:type="spellEnd"/>
      <w:r w:rsidRPr="00D8449B">
        <w:rPr>
          <w:lang w:val="en-GB"/>
        </w:rPr>
        <w:t xml:space="preserve"> </w:t>
      </w:r>
      <w:proofErr w:type="spellStart"/>
      <w:r w:rsidRPr="00D8449B">
        <w:rPr>
          <w:lang w:val="en-GB"/>
        </w:rPr>
        <w:t>или</w:t>
      </w:r>
      <w:proofErr w:type="spellEnd"/>
      <w:r w:rsidRPr="00D8449B">
        <w:rPr>
          <w:lang w:val="en-GB"/>
        </w:rPr>
        <w:t xml:space="preserve"> </w:t>
      </w:r>
      <w:proofErr w:type="spellStart"/>
      <w:r w:rsidRPr="00D8449B">
        <w:rPr>
          <w:lang w:val="en-GB"/>
        </w:rPr>
        <w:t>дивидент</w:t>
      </w:r>
      <w:proofErr w:type="spellEnd"/>
      <w:r w:rsidRPr="00D8449B">
        <w:rPr>
          <w:lang w:val="en-GB"/>
        </w:rPr>
        <w:t xml:space="preserve">. </w:t>
      </w:r>
      <w:proofErr w:type="spellStart"/>
      <w:r w:rsidRPr="00D8449B">
        <w:rPr>
          <w:lang w:val="en-GB"/>
        </w:rPr>
        <w:t>Това</w:t>
      </w:r>
      <w:proofErr w:type="spellEnd"/>
      <w:r w:rsidRPr="00D8449B">
        <w:rPr>
          <w:lang w:val="en-GB"/>
        </w:rPr>
        <w:t xml:space="preserve"> </w:t>
      </w:r>
      <w:proofErr w:type="spellStart"/>
      <w:r w:rsidRPr="00D8449B">
        <w:rPr>
          <w:lang w:val="en-GB"/>
        </w:rPr>
        <w:t>означава</w:t>
      </w:r>
      <w:proofErr w:type="spellEnd"/>
      <w:r w:rsidRPr="00D8449B">
        <w:rPr>
          <w:lang w:val="en-GB"/>
        </w:rPr>
        <w:t xml:space="preserve">, </w:t>
      </w:r>
      <w:proofErr w:type="spellStart"/>
      <w:r w:rsidRPr="00D8449B">
        <w:rPr>
          <w:lang w:val="en-GB"/>
        </w:rPr>
        <w:t>че</w:t>
      </w:r>
      <w:proofErr w:type="spellEnd"/>
      <w:r w:rsidRPr="00D8449B">
        <w:rPr>
          <w:lang w:val="en-GB"/>
        </w:rPr>
        <w:t xml:space="preserve"> </w:t>
      </w:r>
      <w:proofErr w:type="spellStart"/>
      <w:r w:rsidRPr="00D8449B">
        <w:rPr>
          <w:lang w:val="en-GB"/>
        </w:rPr>
        <w:t>тяхната</w:t>
      </w:r>
      <w:proofErr w:type="spellEnd"/>
      <w:r w:rsidRPr="00D8449B">
        <w:rPr>
          <w:lang w:val="en-GB"/>
        </w:rPr>
        <w:t xml:space="preserve"> </w:t>
      </w:r>
      <w:proofErr w:type="spellStart"/>
      <w:r w:rsidRPr="00D8449B">
        <w:rPr>
          <w:lang w:val="en-GB"/>
        </w:rPr>
        <w:t>привлекателност</w:t>
      </w:r>
      <w:proofErr w:type="spellEnd"/>
      <w:r w:rsidRPr="00D8449B">
        <w:rPr>
          <w:lang w:val="en-GB"/>
        </w:rPr>
        <w:t xml:space="preserve"> </w:t>
      </w:r>
      <w:proofErr w:type="spellStart"/>
      <w:r w:rsidRPr="00D8449B">
        <w:rPr>
          <w:lang w:val="en-GB"/>
        </w:rPr>
        <w:t>зависи</w:t>
      </w:r>
      <w:proofErr w:type="spellEnd"/>
      <w:r w:rsidRPr="00D8449B">
        <w:rPr>
          <w:lang w:val="en-GB"/>
        </w:rPr>
        <w:t xml:space="preserve"> в </w:t>
      </w:r>
      <w:proofErr w:type="spellStart"/>
      <w:r w:rsidRPr="00D8449B">
        <w:rPr>
          <w:lang w:val="en-GB"/>
        </w:rPr>
        <w:t>голяма</w:t>
      </w:r>
      <w:proofErr w:type="spellEnd"/>
      <w:r w:rsidRPr="00D8449B">
        <w:rPr>
          <w:lang w:val="en-GB"/>
        </w:rPr>
        <w:t xml:space="preserve"> </w:t>
      </w:r>
      <w:proofErr w:type="spellStart"/>
      <w:r w:rsidRPr="00D8449B">
        <w:rPr>
          <w:lang w:val="en-GB"/>
        </w:rPr>
        <w:t>степен</w:t>
      </w:r>
      <w:proofErr w:type="spellEnd"/>
      <w:r w:rsidRPr="00D8449B">
        <w:rPr>
          <w:lang w:val="en-GB"/>
        </w:rPr>
        <w:t xml:space="preserve"> </w:t>
      </w:r>
      <w:proofErr w:type="spellStart"/>
      <w:r w:rsidRPr="00D8449B">
        <w:rPr>
          <w:lang w:val="en-GB"/>
        </w:rPr>
        <w:t>от</w:t>
      </w:r>
      <w:proofErr w:type="spellEnd"/>
      <w:r w:rsidRPr="00D8449B">
        <w:rPr>
          <w:lang w:val="en-GB"/>
        </w:rPr>
        <w:t xml:space="preserve"> </w:t>
      </w:r>
      <w:proofErr w:type="spellStart"/>
      <w:r w:rsidRPr="00D8449B">
        <w:rPr>
          <w:lang w:val="en-GB"/>
        </w:rPr>
        <w:t>сравнението</w:t>
      </w:r>
      <w:proofErr w:type="spellEnd"/>
      <w:r w:rsidRPr="00D8449B">
        <w:rPr>
          <w:lang w:val="en-GB"/>
        </w:rPr>
        <w:t xml:space="preserve"> с </w:t>
      </w:r>
      <w:proofErr w:type="spellStart"/>
      <w:r w:rsidRPr="00D8449B">
        <w:rPr>
          <w:lang w:val="en-GB"/>
        </w:rPr>
        <w:t>други</w:t>
      </w:r>
      <w:proofErr w:type="spellEnd"/>
      <w:r w:rsidRPr="00D8449B">
        <w:rPr>
          <w:lang w:val="en-GB"/>
        </w:rPr>
        <w:t xml:space="preserve"> </w:t>
      </w:r>
      <w:proofErr w:type="spellStart"/>
      <w:r w:rsidRPr="00D8449B">
        <w:rPr>
          <w:lang w:val="en-GB"/>
        </w:rPr>
        <w:t>инвестиционни</w:t>
      </w:r>
      <w:proofErr w:type="spellEnd"/>
      <w:r w:rsidRPr="00D8449B">
        <w:rPr>
          <w:lang w:val="en-GB"/>
        </w:rPr>
        <w:t xml:space="preserve"> </w:t>
      </w:r>
      <w:proofErr w:type="spellStart"/>
      <w:r w:rsidRPr="00D8449B">
        <w:rPr>
          <w:lang w:val="en-GB"/>
        </w:rPr>
        <w:t>възможности</w:t>
      </w:r>
      <w:proofErr w:type="spellEnd"/>
      <w:r w:rsidRPr="00D8449B">
        <w:rPr>
          <w:lang w:val="en-GB"/>
        </w:rPr>
        <w:t xml:space="preserve">. В </w:t>
      </w:r>
      <w:proofErr w:type="spellStart"/>
      <w:r w:rsidRPr="00D8449B">
        <w:rPr>
          <w:lang w:val="en-GB"/>
        </w:rPr>
        <w:t>условия</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високи</w:t>
      </w:r>
      <w:proofErr w:type="spellEnd"/>
      <w:r w:rsidRPr="00D8449B">
        <w:rPr>
          <w:lang w:val="en-GB"/>
        </w:rPr>
        <w:t xml:space="preserve"> </w:t>
      </w:r>
      <w:proofErr w:type="spellStart"/>
      <w:r w:rsidRPr="00D8449B">
        <w:rPr>
          <w:lang w:val="en-GB"/>
        </w:rPr>
        <w:t>лихвени</w:t>
      </w:r>
      <w:proofErr w:type="spellEnd"/>
      <w:r w:rsidRPr="00D8449B">
        <w:rPr>
          <w:lang w:val="en-GB"/>
        </w:rPr>
        <w:t xml:space="preserve"> </w:t>
      </w:r>
      <w:proofErr w:type="spellStart"/>
      <w:r w:rsidRPr="00D8449B">
        <w:rPr>
          <w:lang w:val="en-GB"/>
        </w:rPr>
        <w:t>проценти</w:t>
      </w:r>
      <w:proofErr w:type="spellEnd"/>
      <w:r w:rsidRPr="00D8449B">
        <w:rPr>
          <w:lang w:val="en-GB"/>
        </w:rPr>
        <w:t xml:space="preserve"> </w:t>
      </w:r>
      <w:proofErr w:type="spellStart"/>
      <w:r w:rsidRPr="00D8449B">
        <w:rPr>
          <w:lang w:val="en-GB"/>
        </w:rPr>
        <w:t>алтернативните</w:t>
      </w:r>
      <w:proofErr w:type="spellEnd"/>
      <w:r w:rsidRPr="00D8449B">
        <w:rPr>
          <w:lang w:val="en-GB"/>
        </w:rPr>
        <w:t xml:space="preserve"> </w:t>
      </w:r>
      <w:proofErr w:type="spellStart"/>
      <w:r w:rsidRPr="00D8449B">
        <w:rPr>
          <w:lang w:val="en-GB"/>
        </w:rPr>
        <w:t>разходи</w:t>
      </w:r>
      <w:proofErr w:type="spellEnd"/>
      <w:r w:rsidRPr="00D8449B">
        <w:rPr>
          <w:lang w:val="en-GB"/>
        </w:rPr>
        <w:t xml:space="preserve"> </w:t>
      </w:r>
      <w:proofErr w:type="spellStart"/>
      <w:r w:rsidRPr="00D8449B">
        <w:rPr>
          <w:lang w:val="en-GB"/>
        </w:rPr>
        <w:t>за</w:t>
      </w:r>
      <w:proofErr w:type="spellEnd"/>
      <w:r w:rsidRPr="00D8449B">
        <w:rPr>
          <w:lang w:val="en-GB"/>
        </w:rPr>
        <w:t xml:space="preserve"> </w:t>
      </w:r>
      <w:proofErr w:type="spellStart"/>
      <w:r w:rsidRPr="00D8449B">
        <w:rPr>
          <w:lang w:val="en-GB"/>
        </w:rPr>
        <w:t>държане</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криптоактиви</w:t>
      </w:r>
      <w:proofErr w:type="spellEnd"/>
      <w:r w:rsidRPr="00D8449B">
        <w:rPr>
          <w:lang w:val="en-GB"/>
        </w:rPr>
        <w:t xml:space="preserve"> </w:t>
      </w:r>
      <w:proofErr w:type="spellStart"/>
      <w:r w:rsidRPr="00D8449B">
        <w:rPr>
          <w:lang w:val="en-GB"/>
        </w:rPr>
        <w:t>се</w:t>
      </w:r>
      <w:proofErr w:type="spellEnd"/>
      <w:r w:rsidRPr="00D8449B">
        <w:rPr>
          <w:lang w:val="en-GB"/>
        </w:rPr>
        <w:t xml:space="preserve"> </w:t>
      </w:r>
      <w:proofErr w:type="spellStart"/>
      <w:r w:rsidRPr="00D8449B">
        <w:rPr>
          <w:lang w:val="en-GB"/>
        </w:rPr>
        <w:t>увеличават</w:t>
      </w:r>
      <w:proofErr w:type="spellEnd"/>
      <w:r w:rsidRPr="00D8449B">
        <w:rPr>
          <w:lang w:val="en-GB"/>
        </w:rPr>
        <w:t xml:space="preserve">, </w:t>
      </w:r>
      <w:proofErr w:type="spellStart"/>
      <w:r w:rsidRPr="00D8449B">
        <w:rPr>
          <w:lang w:val="en-GB"/>
        </w:rPr>
        <w:t>тъй</w:t>
      </w:r>
      <w:proofErr w:type="spellEnd"/>
      <w:r w:rsidRPr="00D8449B">
        <w:rPr>
          <w:lang w:val="en-GB"/>
        </w:rPr>
        <w:t xml:space="preserve"> </w:t>
      </w:r>
      <w:proofErr w:type="spellStart"/>
      <w:r w:rsidRPr="00D8449B">
        <w:rPr>
          <w:lang w:val="en-GB"/>
        </w:rPr>
        <w:t>като</w:t>
      </w:r>
      <w:proofErr w:type="spellEnd"/>
      <w:r w:rsidRPr="00D8449B">
        <w:rPr>
          <w:lang w:val="en-GB"/>
        </w:rPr>
        <w:t xml:space="preserve"> </w:t>
      </w:r>
      <w:proofErr w:type="spellStart"/>
      <w:r w:rsidRPr="00D8449B">
        <w:rPr>
          <w:lang w:val="en-GB"/>
        </w:rPr>
        <w:t>инвеститорите</w:t>
      </w:r>
      <w:proofErr w:type="spellEnd"/>
      <w:r w:rsidRPr="00D8449B">
        <w:rPr>
          <w:lang w:val="en-GB"/>
        </w:rPr>
        <w:t xml:space="preserve"> </w:t>
      </w:r>
      <w:proofErr w:type="spellStart"/>
      <w:r w:rsidRPr="00D8449B">
        <w:rPr>
          <w:lang w:val="en-GB"/>
        </w:rPr>
        <w:t>се</w:t>
      </w:r>
      <w:proofErr w:type="spellEnd"/>
      <w:r w:rsidRPr="00D8449B">
        <w:rPr>
          <w:lang w:val="en-GB"/>
        </w:rPr>
        <w:t xml:space="preserve"> </w:t>
      </w:r>
      <w:proofErr w:type="spellStart"/>
      <w:r w:rsidRPr="00D8449B">
        <w:rPr>
          <w:lang w:val="en-GB"/>
        </w:rPr>
        <w:t>отказват</w:t>
      </w:r>
      <w:proofErr w:type="spellEnd"/>
      <w:r w:rsidRPr="00D8449B">
        <w:rPr>
          <w:lang w:val="en-GB"/>
        </w:rPr>
        <w:t xml:space="preserve"> </w:t>
      </w:r>
      <w:proofErr w:type="spellStart"/>
      <w:r w:rsidRPr="00D8449B">
        <w:rPr>
          <w:lang w:val="en-GB"/>
        </w:rPr>
        <w:t>от</w:t>
      </w:r>
      <w:proofErr w:type="spellEnd"/>
      <w:r w:rsidRPr="00D8449B">
        <w:rPr>
          <w:lang w:val="en-GB"/>
        </w:rPr>
        <w:t xml:space="preserve"> </w:t>
      </w:r>
      <w:proofErr w:type="spellStart"/>
      <w:r w:rsidRPr="00D8449B">
        <w:rPr>
          <w:lang w:val="en-GB"/>
        </w:rPr>
        <w:t>сигурна</w:t>
      </w:r>
      <w:proofErr w:type="spellEnd"/>
      <w:r w:rsidRPr="00D8449B">
        <w:rPr>
          <w:lang w:val="en-GB"/>
        </w:rPr>
        <w:t xml:space="preserve"> </w:t>
      </w:r>
      <w:proofErr w:type="spellStart"/>
      <w:r w:rsidRPr="00D8449B">
        <w:rPr>
          <w:lang w:val="en-GB"/>
        </w:rPr>
        <w:t>доходност</w:t>
      </w:r>
      <w:proofErr w:type="spellEnd"/>
      <w:r w:rsidRPr="00D8449B">
        <w:rPr>
          <w:lang w:val="en-GB"/>
        </w:rPr>
        <w:t xml:space="preserve"> в </w:t>
      </w:r>
      <w:proofErr w:type="spellStart"/>
      <w:r w:rsidRPr="00D8449B">
        <w:rPr>
          <w:lang w:val="en-GB"/>
        </w:rPr>
        <w:t>полза</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по-несигурна</w:t>
      </w:r>
      <w:proofErr w:type="spellEnd"/>
      <w:r w:rsidRPr="00D8449B">
        <w:rPr>
          <w:lang w:val="en-GB"/>
        </w:rPr>
        <w:t xml:space="preserve">. </w:t>
      </w:r>
      <w:proofErr w:type="spellStart"/>
      <w:r w:rsidRPr="00D8449B">
        <w:rPr>
          <w:lang w:val="en-GB"/>
        </w:rPr>
        <w:t>Това</w:t>
      </w:r>
      <w:proofErr w:type="spellEnd"/>
      <w:r w:rsidRPr="00D8449B">
        <w:rPr>
          <w:lang w:val="en-GB"/>
        </w:rPr>
        <w:t xml:space="preserve"> </w:t>
      </w:r>
      <w:proofErr w:type="spellStart"/>
      <w:r w:rsidRPr="00D8449B">
        <w:rPr>
          <w:lang w:val="en-GB"/>
        </w:rPr>
        <w:t>прави</w:t>
      </w:r>
      <w:proofErr w:type="spellEnd"/>
      <w:r w:rsidRPr="00D8449B">
        <w:rPr>
          <w:lang w:val="en-GB"/>
        </w:rPr>
        <w:t xml:space="preserve"> </w:t>
      </w:r>
      <w:proofErr w:type="spellStart"/>
      <w:r w:rsidRPr="00D8449B">
        <w:rPr>
          <w:lang w:val="en-GB"/>
        </w:rPr>
        <w:t>криптоактивите</w:t>
      </w:r>
      <w:proofErr w:type="spellEnd"/>
      <w:r w:rsidRPr="00D8449B">
        <w:rPr>
          <w:lang w:val="en-GB"/>
        </w:rPr>
        <w:t xml:space="preserve"> </w:t>
      </w:r>
      <w:proofErr w:type="spellStart"/>
      <w:r w:rsidRPr="00D8449B">
        <w:rPr>
          <w:lang w:val="en-GB"/>
        </w:rPr>
        <w:t>по-малко</w:t>
      </w:r>
      <w:proofErr w:type="spellEnd"/>
      <w:r w:rsidRPr="00D8449B">
        <w:rPr>
          <w:lang w:val="en-GB"/>
        </w:rPr>
        <w:t xml:space="preserve"> </w:t>
      </w:r>
      <w:proofErr w:type="spellStart"/>
      <w:r w:rsidRPr="00D8449B">
        <w:rPr>
          <w:lang w:val="en-GB"/>
        </w:rPr>
        <w:t>конкурентоспособни</w:t>
      </w:r>
      <w:proofErr w:type="spellEnd"/>
      <w:r w:rsidRPr="00D8449B">
        <w:rPr>
          <w:lang w:val="en-GB"/>
        </w:rPr>
        <w:t xml:space="preserve"> и </w:t>
      </w:r>
      <w:proofErr w:type="spellStart"/>
      <w:r w:rsidRPr="00D8449B">
        <w:rPr>
          <w:lang w:val="en-GB"/>
        </w:rPr>
        <w:t>води</w:t>
      </w:r>
      <w:proofErr w:type="spellEnd"/>
      <w:r w:rsidRPr="00D8449B">
        <w:rPr>
          <w:lang w:val="en-GB"/>
        </w:rPr>
        <w:t xml:space="preserve"> </w:t>
      </w:r>
      <w:proofErr w:type="spellStart"/>
      <w:r w:rsidRPr="00D8449B">
        <w:rPr>
          <w:lang w:val="en-GB"/>
        </w:rPr>
        <w:t>до</w:t>
      </w:r>
      <w:proofErr w:type="spellEnd"/>
      <w:r w:rsidRPr="00D8449B">
        <w:rPr>
          <w:lang w:val="en-GB"/>
        </w:rPr>
        <w:t xml:space="preserve"> </w:t>
      </w:r>
      <w:proofErr w:type="spellStart"/>
      <w:r w:rsidRPr="00D8449B">
        <w:rPr>
          <w:lang w:val="en-GB"/>
        </w:rPr>
        <w:t>намаляване</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инвестиционния</w:t>
      </w:r>
      <w:proofErr w:type="spellEnd"/>
      <w:r w:rsidRPr="00D8449B">
        <w:rPr>
          <w:lang w:val="en-GB"/>
        </w:rPr>
        <w:t xml:space="preserve"> </w:t>
      </w:r>
      <w:proofErr w:type="spellStart"/>
      <w:r w:rsidRPr="00D8449B">
        <w:rPr>
          <w:lang w:val="en-GB"/>
        </w:rPr>
        <w:t>интерес</w:t>
      </w:r>
      <w:proofErr w:type="spellEnd"/>
      <w:r w:rsidRPr="00D8449B">
        <w:rPr>
          <w:lang w:val="en-GB"/>
        </w:rPr>
        <w:t xml:space="preserve"> </w:t>
      </w:r>
      <w:proofErr w:type="spellStart"/>
      <w:r w:rsidRPr="00D8449B">
        <w:rPr>
          <w:lang w:val="en-GB"/>
        </w:rPr>
        <w:t>към</w:t>
      </w:r>
      <w:proofErr w:type="spellEnd"/>
      <w:r w:rsidRPr="00D8449B">
        <w:rPr>
          <w:lang w:val="en-GB"/>
        </w:rPr>
        <w:t xml:space="preserve"> </w:t>
      </w:r>
      <w:proofErr w:type="spellStart"/>
      <w:r w:rsidRPr="00D8449B">
        <w:rPr>
          <w:lang w:val="en-GB"/>
        </w:rPr>
        <w:t>тях</w:t>
      </w:r>
      <w:proofErr w:type="spellEnd"/>
      <w:r w:rsidRPr="00D8449B">
        <w:rPr>
          <w:lang w:val="en-GB"/>
        </w:rPr>
        <w:t>.</w:t>
      </w:r>
    </w:p>
    <w:p w14:paraId="3DCDA476" w14:textId="77777777" w:rsidR="00D8449B" w:rsidRPr="00D8449B" w:rsidRDefault="00D8449B" w:rsidP="00D8449B">
      <w:pPr>
        <w:spacing w:line="360" w:lineRule="auto"/>
        <w:ind w:firstLine="709"/>
        <w:jc w:val="both"/>
        <w:rPr>
          <w:lang w:val="en-GB"/>
        </w:rPr>
      </w:pPr>
      <w:r w:rsidRPr="00D8449B">
        <w:rPr>
          <w:lang w:val="en-GB"/>
        </w:rPr>
        <w:t xml:space="preserve">В </w:t>
      </w:r>
      <w:proofErr w:type="spellStart"/>
      <w:r w:rsidRPr="00D8449B">
        <w:rPr>
          <w:lang w:val="en-GB"/>
        </w:rPr>
        <w:t>обратната</w:t>
      </w:r>
      <w:proofErr w:type="spellEnd"/>
      <w:r w:rsidRPr="00D8449B">
        <w:rPr>
          <w:lang w:val="en-GB"/>
        </w:rPr>
        <w:t xml:space="preserve"> </w:t>
      </w:r>
      <w:proofErr w:type="spellStart"/>
      <w:r w:rsidRPr="00D8449B">
        <w:rPr>
          <w:lang w:val="en-GB"/>
        </w:rPr>
        <w:t>ситуация</w:t>
      </w:r>
      <w:proofErr w:type="spellEnd"/>
      <w:r w:rsidRPr="00D8449B">
        <w:rPr>
          <w:lang w:val="en-GB"/>
        </w:rPr>
        <w:t xml:space="preserve">, </w:t>
      </w:r>
      <w:proofErr w:type="spellStart"/>
      <w:r w:rsidRPr="00D8449B">
        <w:rPr>
          <w:lang w:val="en-GB"/>
        </w:rPr>
        <w:t>когато</w:t>
      </w:r>
      <w:proofErr w:type="spellEnd"/>
      <w:r w:rsidRPr="00D8449B">
        <w:rPr>
          <w:lang w:val="en-GB"/>
        </w:rPr>
        <w:t xml:space="preserve"> </w:t>
      </w:r>
      <w:proofErr w:type="spellStart"/>
      <w:r w:rsidRPr="00D8449B">
        <w:rPr>
          <w:lang w:val="en-GB"/>
        </w:rPr>
        <w:t>лихвените</w:t>
      </w:r>
      <w:proofErr w:type="spellEnd"/>
      <w:r w:rsidRPr="00D8449B">
        <w:rPr>
          <w:lang w:val="en-GB"/>
        </w:rPr>
        <w:t xml:space="preserve"> </w:t>
      </w:r>
      <w:proofErr w:type="spellStart"/>
      <w:r w:rsidRPr="00D8449B">
        <w:rPr>
          <w:lang w:val="en-GB"/>
        </w:rPr>
        <w:t>проценти</w:t>
      </w:r>
      <w:proofErr w:type="spellEnd"/>
      <w:r w:rsidRPr="00D8449B">
        <w:rPr>
          <w:lang w:val="en-GB"/>
        </w:rPr>
        <w:t xml:space="preserve"> </w:t>
      </w:r>
      <w:proofErr w:type="spellStart"/>
      <w:r w:rsidRPr="00D8449B">
        <w:rPr>
          <w:lang w:val="en-GB"/>
        </w:rPr>
        <w:t>са</w:t>
      </w:r>
      <w:proofErr w:type="spellEnd"/>
      <w:r w:rsidRPr="00D8449B">
        <w:rPr>
          <w:lang w:val="en-GB"/>
        </w:rPr>
        <w:t xml:space="preserve"> </w:t>
      </w:r>
      <w:proofErr w:type="spellStart"/>
      <w:r w:rsidRPr="00D8449B">
        <w:rPr>
          <w:lang w:val="en-GB"/>
        </w:rPr>
        <w:t>ниски</w:t>
      </w:r>
      <w:proofErr w:type="spellEnd"/>
      <w:r w:rsidRPr="00D8449B">
        <w:rPr>
          <w:lang w:val="en-GB"/>
        </w:rPr>
        <w:t xml:space="preserve">, </w:t>
      </w:r>
      <w:proofErr w:type="spellStart"/>
      <w:r w:rsidRPr="00D8449B">
        <w:rPr>
          <w:lang w:val="en-GB"/>
        </w:rPr>
        <w:t>се</w:t>
      </w:r>
      <w:proofErr w:type="spellEnd"/>
      <w:r w:rsidRPr="00D8449B">
        <w:rPr>
          <w:lang w:val="en-GB"/>
        </w:rPr>
        <w:t xml:space="preserve"> </w:t>
      </w:r>
      <w:proofErr w:type="spellStart"/>
      <w:r w:rsidRPr="00D8449B">
        <w:rPr>
          <w:lang w:val="en-GB"/>
        </w:rPr>
        <w:t>наблюдава</w:t>
      </w:r>
      <w:proofErr w:type="spellEnd"/>
      <w:r w:rsidRPr="00D8449B">
        <w:rPr>
          <w:lang w:val="en-GB"/>
        </w:rPr>
        <w:t xml:space="preserve"> </w:t>
      </w:r>
      <w:proofErr w:type="spellStart"/>
      <w:r w:rsidRPr="00D8449B">
        <w:rPr>
          <w:lang w:val="en-GB"/>
        </w:rPr>
        <w:t>съществена</w:t>
      </w:r>
      <w:proofErr w:type="spellEnd"/>
      <w:r w:rsidRPr="00D8449B">
        <w:rPr>
          <w:lang w:val="en-GB"/>
        </w:rPr>
        <w:t xml:space="preserve"> </w:t>
      </w:r>
      <w:proofErr w:type="spellStart"/>
      <w:r w:rsidRPr="00D8449B">
        <w:rPr>
          <w:lang w:val="en-GB"/>
        </w:rPr>
        <w:t>промяна</w:t>
      </w:r>
      <w:proofErr w:type="spellEnd"/>
      <w:r w:rsidRPr="00D8449B">
        <w:rPr>
          <w:lang w:val="en-GB"/>
        </w:rPr>
        <w:t xml:space="preserve"> в </w:t>
      </w:r>
      <w:proofErr w:type="spellStart"/>
      <w:r w:rsidRPr="00D8449B">
        <w:rPr>
          <w:lang w:val="en-GB"/>
        </w:rPr>
        <w:t>инвестиционното</w:t>
      </w:r>
      <w:proofErr w:type="spellEnd"/>
      <w:r w:rsidRPr="00D8449B">
        <w:rPr>
          <w:lang w:val="en-GB"/>
        </w:rPr>
        <w:t xml:space="preserve"> </w:t>
      </w:r>
      <w:proofErr w:type="spellStart"/>
      <w:r w:rsidRPr="00D8449B">
        <w:rPr>
          <w:lang w:val="en-GB"/>
        </w:rPr>
        <w:t>поведение</w:t>
      </w:r>
      <w:proofErr w:type="spellEnd"/>
      <w:r w:rsidRPr="00D8449B">
        <w:rPr>
          <w:lang w:val="en-GB"/>
        </w:rPr>
        <w:t xml:space="preserve">. </w:t>
      </w:r>
      <w:proofErr w:type="spellStart"/>
      <w:r w:rsidRPr="00D8449B">
        <w:rPr>
          <w:lang w:val="en-GB"/>
        </w:rPr>
        <w:t>Намалената</w:t>
      </w:r>
      <w:proofErr w:type="spellEnd"/>
      <w:r w:rsidRPr="00D8449B">
        <w:rPr>
          <w:lang w:val="en-GB"/>
        </w:rPr>
        <w:t xml:space="preserve"> </w:t>
      </w:r>
      <w:proofErr w:type="spellStart"/>
      <w:r w:rsidRPr="00D8449B">
        <w:rPr>
          <w:lang w:val="en-GB"/>
        </w:rPr>
        <w:t>доходност</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традиционните</w:t>
      </w:r>
      <w:proofErr w:type="spellEnd"/>
      <w:r w:rsidRPr="00D8449B">
        <w:rPr>
          <w:lang w:val="en-GB"/>
        </w:rPr>
        <w:t xml:space="preserve"> </w:t>
      </w:r>
      <w:proofErr w:type="spellStart"/>
      <w:r w:rsidRPr="00D8449B">
        <w:rPr>
          <w:lang w:val="en-GB"/>
        </w:rPr>
        <w:t>инструменти</w:t>
      </w:r>
      <w:proofErr w:type="spellEnd"/>
      <w:r w:rsidRPr="00D8449B">
        <w:rPr>
          <w:lang w:val="en-GB"/>
        </w:rPr>
        <w:t xml:space="preserve"> </w:t>
      </w:r>
      <w:proofErr w:type="spellStart"/>
      <w:r w:rsidRPr="00D8449B">
        <w:rPr>
          <w:lang w:val="en-GB"/>
        </w:rPr>
        <w:t>стимулира</w:t>
      </w:r>
      <w:proofErr w:type="spellEnd"/>
      <w:r w:rsidRPr="00D8449B">
        <w:rPr>
          <w:lang w:val="en-GB"/>
        </w:rPr>
        <w:t xml:space="preserve"> </w:t>
      </w:r>
      <w:proofErr w:type="spellStart"/>
      <w:r w:rsidRPr="00D8449B">
        <w:rPr>
          <w:lang w:val="en-GB"/>
        </w:rPr>
        <w:t>търсенето</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алтернативни</w:t>
      </w:r>
      <w:proofErr w:type="spellEnd"/>
      <w:r w:rsidRPr="00D8449B">
        <w:rPr>
          <w:lang w:val="en-GB"/>
        </w:rPr>
        <w:t xml:space="preserve"> </w:t>
      </w:r>
      <w:proofErr w:type="spellStart"/>
      <w:r w:rsidRPr="00D8449B">
        <w:rPr>
          <w:lang w:val="en-GB"/>
        </w:rPr>
        <w:t>активи</w:t>
      </w:r>
      <w:proofErr w:type="spellEnd"/>
      <w:r w:rsidRPr="00D8449B">
        <w:rPr>
          <w:lang w:val="en-GB"/>
        </w:rPr>
        <w:t xml:space="preserve"> с </w:t>
      </w:r>
      <w:proofErr w:type="spellStart"/>
      <w:r w:rsidRPr="00D8449B">
        <w:rPr>
          <w:lang w:val="en-GB"/>
        </w:rPr>
        <w:t>по-висок</w:t>
      </w:r>
      <w:proofErr w:type="spellEnd"/>
      <w:r w:rsidRPr="00D8449B">
        <w:rPr>
          <w:lang w:val="en-GB"/>
        </w:rPr>
        <w:t xml:space="preserve"> </w:t>
      </w:r>
      <w:proofErr w:type="spellStart"/>
      <w:r w:rsidRPr="00D8449B">
        <w:rPr>
          <w:lang w:val="en-GB"/>
        </w:rPr>
        <w:t>потенциал</w:t>
      </w:r>
      <w:proofErr w:type="spellEnd"/>
      <w:r w:rsidRPr="00D8449B">
        <w:rPr>
          <w:lang w:val="en-GB"/>
        </w:rPr>
        <w:t xml:space="preserve"> </w:t>
      </w:r>
      <w:proofErr w:type="spellStart"/>
      <w:r w:rsidRPr="00D8449B">
        <w:rPr>
          <w:lang w:val="en-GB"/>
        </w:rPr>
        <w:t>за</w:t>
      </w:r>
      <w:proofErr w:type="spellEnd"/>
      <w:r w:rsidRPr="00D8449B">
        <w:rPr>
          <w:lang w:val="en-GB"/>
        </w:rPr>
        <w:t xml:space="preserve"> </w:t>
      </w:r>
      <w:proofErr w:type="spellStart"/>
      <w:r w:rsidRPr="00D8449B">
        <w:rPr>
          <w:lang w:val="en-GB"/>
        </w:rPr>
        <w:t>възвръщаемост</w:t>
      </w:r>
      <w:proofErr w:type="spellEnd"/>
      <w:r w:rsidRPr="00D8449B">
        <w:rPr>
          <w:lang w:val="en-GB"/>
        </w:rPr>
        <w:t xml:space="preserve">. </w:t>
      </w:r>
      <w:proofErr w:type="spellStart"/>
      <w:r w:rsidRPr="00D8449B">
        <w:rPr>
          <w:lang w:val="en-GB"/>
        </w:rPr>
        <w:t>Това</w:t>
      </w:r>
      <w:proofErr w:type="spellEnd"/>
      <w:r w:rsidRPr="00D8449B">
        <w:rPr>
          <w:lang w:val="en-GB"/>
        </w:rPr>
        <w:t xml:space="preserve"> </w:t>
      </w:r>
      <w:proofErr w:type="spellStart"/>
      <w:r w:rsidRPr="00D8449B">
        <w:rPr>
          <w:lang w:val="en-GB"/>
        </w:rPr>
        <w:t>води</w:t>
      </w:r>
      <w:proofErr w:type="spellEnd"/>
      <w:r w:rsidRPr="00D8449B">
        <w:rPr>
          <w:lang w:val="en-GB"/>
        </w:rPr>
        <w:t xml:space="preserve"> </w:t>
      </w:r>
      <w:proofErr w:type="spellStart"/>
      <w:r w:rsidRPr="00D8449B">
        <w:rPr>
          <w:lang w:val="en-GB"/>
        </w:rPr>
        <w:t>до</w:t>
      </w:r>
      <w:proofErr w:type="spellEnd"/>
      <w:r w:rsidRPr="00D8449B">
        <w:rPr>
          <w:lang w:val="en-GB"/>
        </w:rPr>
        <w:t xml:space="preserve"> </w:t>
      </w:r>
      <w:proofErr w:type="spellStart"/>
      <w:r w:rsidRPr="00D8449B">
        <w:rPr>
          <w:lang w:val="en-GB"/>
        </w:rPr>
        <w:t>увеличаване</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инвестициите</w:t>
      </w:r>
      <w:proofErr w:type="spellEnd"/>
      <w:r w:rsidRPr="00D8449B">
        <w:rPr>
          <w:lang w:val="en-GB"/>
        </w:rPr>
        <w:t xml:space="preserve"> в </w:t>
      </w:r>
      <w:proofErr w:type="spellStart"/>
      <w:r w:rsidRPr="00D8449B">
        <w:rPr>
          <w:lang w:val="en-GB"/>
        </w:rPr>
        <w:t>криптоактиви</w:t>
      </w:r>
      <w:proofErr w:type="spellEnd"/>
      <w:r w:rsidRPr="00D8449B">
        <w:rPr>
          <w:lang w:val="en-GB"/>
        </w:rPr>
        <w:t xml:space="preserve">, </w:t>
      </w:r>
      <w:proofErr w:type="spellStart"/>
      <w:r w:rsidRPr="00D8449B">
        <w:rPr>
          <w:lang w:val="en-GB"/>
        </w:rPr>
        <w:t>които</w:t>
      </w:r>
      <w:proofErr w:type="spellEnd"/>
      <w:r w:rsidRPr="00D8449B">
        <w:rPr>
          <w:lang w:val="en-GB"/>
        </w:rPr>
        <w:t xml:space="preserve"> </w:t>
      </w:r>
      <w:proofErr w:type="spellStart"/>
      <w:r w:rsidRPr="00D8449B">
        <w:rPr>
          <w:lang w:val="en-GB"/>
        </w:rPr>
        <w:t>се</w:t>
      </w:r>
      <w:proofErr w:type="spellEnd"/>
      <w:r w:rsidRPr="00D8449B">
        <w:rPr>
          <w:lang w:val="en-GB"/>
        </w:rPr>
        <w:t xml:space="preserve"> </w:t>
      </w:r>
      <w:proofErr w:type="spellStart"/>
      <w:r w:rsidRPr="00D8449B">
        <w:rPr>
          <w:lang w:val="en-GB"/>
        </w:rPr>
        <w:t>възприемат</w:t>
      </w:r>
      <w:proofErr w:type="spellEnd"/>
      <w:r w:rsidRPr="00D8449B">
        <w:rPr>
          <w:lang w:val="en-GB"/>
        </w:rPr>
        <w:t xml:space="preserve"> </w:t>
      </w:r>
      <w:proofErr w:type="spellStart"/>
      <w:r w:rsidRPr="00D8449B">
        <w:rPr>
          <w:lang w:val="en-GB"/>
        </w:rPr>
        <w:t>като</w:t>
      </w:r>
      <w:proofErr w:type="spellEnd"/>
      <w:r w:rsidRPr="00D8449B">
        <w:rPr>
          <w:lang w:val="en-GB"/>
        </w:rPr>
        <w:t xml:space="preserve"> </w:t>
      </w:r>
      <w:proofErr w:type="spellStart"/>
      <w:r w:rsidRPr="00D8449B">
        <w:rPr>
          <w:lang w:val="en-GB"/>
        </w:rPr>
        <w:t>възможност</w:t>
      </w:r>
      <w:proofErr w:type="spellEnd"/>
      <w:r w:rsidRPr="00D8449B">
        <w:rPr>
          <w:lang w:val="en-GB"/>
        </w:rPr>
        <w:t xml:space="preserve"> </w:t>
      </w:r>
      <w:proofErr w:type="spellStart"/>
      <w:r w:rsidRPr="00D8449B">
        <w:rPr>
          <w:lang w:val="en-GB"/>
        </w:rPr>
        <w:t>за</w:t>
      </w:r>
      <w:proofErr w:type="spellEnd"/>
      <w:r w:rsidRPr="00D8449B">
        <w:rPr>
          <w:lang w:val="en-GB"/>
        </w:rPr>
        <w:t xml:space="preserve"> </w:t>
      </w:r>
      <w:proofErr w:type="spellStart"/>
      <w:r w:rsidRPr="00D8449B">
        <w:rPr>
          <w:lang w:val="en-GB"/>
        </w:rPr>
        <w:t>реализиране</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по-висока</w:t>
      </w:r>
      <w:proofErr w:type="spellEnd"/>
      <w:r w:rsidRPr="00D8449B">
        <w:rPr>
          <w:lang w:val="en-GB"/>
        </w:rPr>
        <w:t xml:space="preserve"> </w:t>
      </w:r>
      <w:proofErr w:type="spellStart"/>
      <w:r w:rsidRPr="00D8449B">
        <w:rPr>
          <w:lang w:val="en-GB"/>
        </w:rPr>
        <w:t>доходност</w:t>
      </w:r>
      <w:proofErr w:type="spellEnd"/>
      <w:r w:rsidRPr="00D8449B">
        <w:rPr>
          <w:lang w:val="en-GB"/>
        </w:rPr>
        <w:t xml:space="preserve"> в </w:t>
      </w:r>
      <w:proofErr w:type="spellStart"/>
      <w:r w:rsidRPr="00D8449B">
        <w:rPr>
          <w:lang w:val="en-GB"/>
        </w:rPr>
        <w:t>среда</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евтин</w:t>
      </w:r>
      <w:proofErr w:type="spellEnd"/>
      <w:r w:rsidRPr="00D8449B">
        <w:rPr>
          <w:lang w:val="en-GB"/>
        </w:rPr>
        <w:t xml:space="preserve"> </w:t>
      </w:r>
      <w:proofErr w:type="spellStart"/>
      <w:r w:rsidRPr="00D8449B">
        <w:rPr>
          <w:lang w:val="en-GB"/>
        </w:rPr>
        <w:t>капитал</w:t>
      </w:r>
      <w:proofErr w:type="spellEnd"/>
      <w:r w:rsidRPr="00D8449B">
        <w:rPr>
          <w:lang w:val="en-GB"/>
        </w:rPr>
        <w:t xml:space="preserve">. </w:t>
      </w:r>
      <w:proofErr w:type="spellStart"/>
      <w:r w:rsidRPr="00D8449B">
        <w:rPr>
          <w:lang w:val="en-GB"/>
        </w:rPr>
        <w:t>Ниските</w:t>
      </w:r>
      <w:proofErr w:type="spellEnd"/>
      <w:r w:rsidRPr="00D8449B">
        <w:rPr>
          <w:lang w:val="en-GB"/>
        </w:rPr>
        <w:t xml:space="preserve"> </w:t>
      </w:r>
      <w:proofErr w:type="spellStart"/>
      <w:r w:rsidRPr="00D8449B">
        <w:rPr>
          <w:lang w:val="en-GB"/>
        </w:rPr>
        <w:t>лихвени</w:t>
      </w:r>
      <w:proofErr w:type="spellEnd"/>
      <w:r w:rsidRPr="00D8449B">
        <w:rPr>
          <w:lang w:val="en-GB"/>
        </w:rPr>
        <w:t xml:space="preserve"> </w:t>
      </w:r>
      <w:proofErr w:type="spellStart"/>
      <w:r w:rsidRPr="00D8449B">
        <w:rPr>
          <w:lang w:val="en-GB"/>
        </w:rPr>
        <w:t>проценти</w:t>
      </w:r>
      <w:proofErr w:type="spellEnd"/>
      <w:r w:rsidRPr="00D8449B">
        <w:rPr>
          <w:lang w:val="en-GB"/>
        </w:rPr>
        <w:t xml:space="preserve"> </w:t>
      </w:r>
      <w:proofErr w:type="spellStart"/>
      <w:r w:rsidRPr="00D8449B">
        <w:rPr>
          <w:lang w:val="en-GB"/>
        </w:rPr>
        <w:t>също</w:t>
      </w:r>
      <w:proofErr w:type="spellEnd"/>
      <w:r w:rsidRPr="00D8449B">
        <w:rPr>
          <w:lang w:val="en-GB"/>
        </w:rPr>
        <w:t xml:space="preserve"> </w:t>
      </w:r>
      <w:proofErr w:type="spellStart"/>
      <w:r w:rsidRPr="00D8449B">
        <w:rPr>
          <w:lang w:val="en-GB"/>
        </w:rPr>
        <w:t>така</w:t>
      </w:r>
      <w:proofErr w:type="spellEnd"/>
      <w:r w:rsidRPr="00D8449B">
        <w:rPr>
          <w:lang w:val="en-GB"/>
        </w:rPr>
        <w:t xml:space="preserve"> </w:t>
      </w:r>
      <w:proofErr w:type="spellStart"/>
      <w:r w:rsidRPr="00D8449B">
        <w:rPr>
          <w:lang w:val="en-GB"/>
        </w:rPr>
        <w:t>насърчават</w:t>
      </w:r>
      <w:proofErr w:type="spellEnd"/>
      <w:r w:rsidRPr="00D8449B">
        <w:rPr>
          <w:lang w:val="en-GB"/>
        </w:rPr>
        <w:t xml:space="preserve"> </w:t>
      </w:r>
      <w:proofErr w:type="spellStart"/>
      <w:r w:rsidRPr="00D8449B">
        <w:rPr>
          <w:lang w:val="en-GB"/>
        </w:rPr>
        <w:t>поемането</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риск</w:t>
      </w:r>
      <w:proofErr w:type="spellEnd"/>
      <w:r w:rsidRPr="00D8449B">
        <w:rPr>
          <w:lang w:val="en-GB"/>
        </w:rPr>
        <w:t xml:space="preserve">, </w:t>
      </w:r>
      <w:proofErr w:type="spellStart"/>
      <w:r w:rsidRPr="00D8449B">
        <w:rPr>
          <w:lang w:val="en-GB"/>
        </w:rPr>
        <w:t>тъй</w:t>
      </w:r>
      <w:proofErr w:type="spellEnd"/>
      <w:r w:rsidRPr="00D8449B">
        <w:rPr>
          <w:lang w:val="en-GB"/>
        </w:rPr>
        <w:t xml:space="preserve"> </w:t>
      </w:r>
      <w:proofErr w:type="spellStart"/>
      <w:r w:rsidRPr="00D8449B">
        <w:rPr>
          <w:lang w:val="en-GB"/>
        </w:rPr>
        <w:t>като</w:t>
      </w:r>
      <w:proofErr w:type="spellEnd"/>
      <w:r w:rsidRPr="00D8449B">
        <w:rPr>
          <w:lang w:val="en-GB"/>
        </w:rPr>
        <w:t xml:space="preserve"> </w:t>
      </w:r>
      <w:proofErr w:type="spellStart"/>
      <w:r w:rsidRPr="00D8449B">
        <w:rPr>
          <w:lang w:val="en-GB"/>
        </w:rPr>
        <w:t>достъпът</w:t>
      </w:r>
      <w:proofErr w:type="spellEnd"/>
      <w:r w:rsidRPr="00D8449B">
        <w:rPr>
          <w:lang w:val="en-GB"/>
        </w:rPr>
        <w:t xml:space="preserve"> </w:t>
      </w:r>
      <w:proofErr w:type="spellStart"/>
      <w:r w:rsidRPr="00D8449B">
        <w:rPr>
          <w:lang w:val="en-GB"/>
        </w:rPr>
        <w:t>до</w:t>
      </w:r>
      <w:proofErr w:type="spellEnd"/>
      <w:r w:rsidRPr="00D8449B">
        <w:rPr>
          <w:lang w:val="en-GB"/>
        </w:rPr>
        <w:t xml:space="preserve"> </w:t>
      </w:r>
      <w:proofErr w:type="spellStart"/>
      <w:r w:rsidRPr="00D8449B">
        <w:rPr>
          <w:lang w:val="en-GB"/>
        </w:rPr>
        <w:t>финансиране</w:t>
      </w:r>
      <w:proofErr w:type="spellEnd"/>
      <w:r w:rsidRPr="00D8449B">
        <w:rPr>
          <w:lang w:val="en-GB"/>
        </w:rPr>
        <w:t xml:space="preserve"> е </w:t>
      </w:r>
      <w:proofErr w:type="spellStart"/>
      <w:r w:rsidRPr="00D8449B">
        <w:rPr>
          <w:lang w:val="en-GB"/>
        </w:rPr>
        <w:t>по-лесен</w:t>
      </w:r>
      <w:proofErr w:type="spellEnd"/>
      <w:r w:rsidRPr="00D8449B">
        <w:rPr>
          <w:lang w:val="en-GB"/>
        </w:rPr>
        <w:t xml:space="preserve">, а </w:t>
      </w:r>
      <w:proofErr w:type="spellStart"/>
      <w:r w:rsidRPr="00D8449B">
        <w:rPr>
          <w:lang w:val="en-GB"/>
        </w:rPr>
        <w:t>разходите</w:t>
      </w:r>
      <w:proofErr w:type="spellEnd"/>
      <w:r w:rsidRPr="00D8449B">
        <w:rPr>
          <w:lang w:val="en-GB"/>
        </w:rPr>
        <w:t xml:space="preserve"> </w:t>
      </w:r>
      <w:proofErr w:type="spellStart"/>
      <w:r w:rsidRPr="00D8449B">
        <w:rPr>
          <w:lang w:val="en-GB"/>
        </w:rPr>
        <w:t>за</w:t>
      </w:r>
      <w:proofErr w:type="spellEnd"/>
      <w:r w:rsidRPr="00D8449B">
        <w:rPr>
          <w:lang w:val="en-GB"/>
        </w:rPr>
        <w:t xml:space="preserve"> </w:t>
      </w:r>
      <w:proofErr w:type="spellStart"/>
      <w:r w:rsidRPr="00D8449B">
        <w:rPr>
          <w:lang w:val="en-GB"/>
        </w:rPr>
        <w:t>заемане</w:t>
      </w:r>
      <w:proofErr w:type="spellEnd"/>
      <w:r w:rsidRPr="00D8449B">
        <w:rPr>
          <w:lang w:val="en-GB"/>
        </w:rPr>
        <w:t xml:space="preserve"> </w:t>
      </w:r>
      <w:proofErr w:type="spellStart"/>
      <w:r w:rsidRPr="00D8449B">
        <w:rPr>
          <w:lang w:val="en-GB"/>
        </w:rPr>
        <w:t>са</w:t>
      </w:r>
      <w:proofErr w:type="spellEnd"/>
      <w:r w:rsidRPr="00D8449B">
        <w:rPr>
          <w:lang w:val="en-GB"/>
        </w:rPr>
        <w:t xml:space="preserve"> </w:t>
      </w:r>
      <w:proofErr w:type="spellStart"/>
      <w:r w:rsidRPr="00D8449B">
        <w:rPr>
          <w:lang w:val="en-GB"/>
        </w:rPr>
        <w:t>по-ниски</w:t>
      </w:r>
      <w:proofErr w:type="spellEnd"/>
      <w:r w:rsidRPr="00D8449B">
        <w:rPr>
          <w:lang w:val="en-GB"/>
        </w:rPr>
        <w:t xml:space="preserve">. В </w:t>
      </w:r>
      <w:proofErr w:type="spellStart"/>
      <w:r w:rsidRPr="00D8449B">
        <w:rPr>
          <w:lang w:val="en-GB"/>
        </w:rPr>
        <w:t>резултат</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това</w:t>
      </w:r>
      <w:proofErr w:type="spellEnd"/>
      <w:r w:rsidRPr="00D8449B">
        <w:rPr>
          <w:lang w:val="en-GB"/>
        </w:rPr>
        <w:t xml:space="preserve"> </w:t>
      </w:r>
      <w:proofErr w:type="spellStart"/>
      <w:r w:rsidRPr="00D8449B">
        <w:rPr>
          <w:lang w:val="en-GB"/>
        </w:rPr>
        <w:t>се</w:t>
      </w:r>
      <w:proofErr w:type="spellEnd"/>
      <w:r w:rsidRPr="00D8449B">
        <w:rPr>
          <w:lang w:val="en-GB"/>
        </w:rPr>
        <w:t xml:space="preserve"> </w:t>
      </w:r>
      <w:proofErr w:type="spellStart"/>
      <w:r w:rsidRPr="00D8449B">
        <w:rPr>
          <w:lang w:val="en-GB"/>
        </w:rPr>
        <w:t>увеличава</w:t>
      </w:r>
      <w:proofErr w:type="spellEnd"/>
      <w:r w:rsidRPr="00D8449B">
        <w:rPr>
          <w:lang w:val="en-GB"/>
        </w:rPr>
        <w:t xml:space="preserve"> </w:t>
      </w:r>
      <w:proofErr w:type="spellStart"/>
      <w:r w:rsidRPr="00D8449B">
        <w:rPr>
          <w:lang w:val="en-GB"/>
        </w:rPr>
        <w:t>ликвидността</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пазара</w:t>
      </w:r>
      <w:proofErr w:type="spellEnd"/>
      <w:r w:rsidRPr="00D8449B">
        <w:rPr>
          <w:lang w:val="en-GB"/>
        </w:rPr>
        <w:t xml:space="preserve"> и </w:t>
      </w:r>
      <w:proofErr w:type="spellStart"/>
      <w:r w:rsidRPr="00D8449B">
        <w:rPr>
          <w:lang w:val="en-GB"/>
        </w:rPr>
        <w:t>се</w:t>
      </w:r>
      <w:proofErr w:type="spellEnd"/>
      <w:r w:rsidRPr="00D8449B">
        <w:rPr>
          <w:lang w:val="en-GB"/>
        </w:rPr>
        <w:t xml:space="preserve"> </w:t>
      </w:r>
      <w:proofErr w:type="spellStart"/>
      <w:r w:rsidRPr="00D8449B">
        <w:rPr>
          <w:lang w:val="en-GB"/>
        </w:rPr>
        <w:t>създават</w:t>
      </w:r>
      <w:proofErr w:type="spellEnd"/>
      <w:r w:rsidRPr="00D8449B">
        <w:rPr>
          <w:lang w:val="en-GB"/>
        </w:rPr>
        <w:t xml:space="preserve"> </w:t>
      </w:r>
      <w:proofErr w:type="spellStart"/>
      <w:r w:rsidRPr="00D8449B">
        <w:rPr>
          <w:lang w:val="en-GB"/>
        </w:rPr>
        <w:t>условия</w:t>
      </w:r>
      <w:proofErr w:type="spellEnd"/>
      <w:r w:rsidRPr="00D8449B">
        <w:rPr>
          <w:lang w:val="en-GB"/>
        </w:rPr>
        <w:t xml:space="preserve"> </w:t>
      </w:r>
      <w:proofErr w:type="spellStart"/>
      <w:r w:rsidRPr="00D8449B">
        <w:rPr>
          <w:lang w:val="en-GB"/>
        </w:rPr>
        <w:t>за</w:t>
      </w:r>
      <w:proofErr w:type="spellEnd"/>
      <w:r w:rsidRPr="00D8449B">
        <w:rPr>
          <w:lang w:val="en-GB"/>
        </w:rPr>
        <w:t xml:space="preserve"> </w:t>
      </w:r>
      <w:proofErr w:type="spellStart"/>
      <w:r w:rsidRPr="00D8449B">
        <w:rPr>
          <w:lang w:val="en-GB"/>
        </w:rPr>
        <w:t>ръст</w:t>
      </w:r>
      <w:proofErr w:type="spellEnd"/>
      <w:r w:rsidRPr="00D8449B">
        <w:rPr>
          <w:lang w:val="en-GB"/>
        </w:rPr>
        <w:t xml:space="preserve"> в </w:t>
      </w:r>
      <w:proofErr w:type="spellStart"/>
      <w:r w:rsidRPr="00D8449B">
        <w:rPr>
          <w:lang w:val="en-GB"/>
        </w:rPr>
        <w:t>цените</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криптоактивите</w:t>
      </w:r>
      <w:proofErr w:type="spellEnd"/>
      <w:r w:rsidRPr="00D8449B">
        <w:rPr>
          <w:lang w:val="en-GB"/>
        </w:rPr>
        <w:t>.</w:t>
      </w:r>
    </w:p>
    <w:p w14:paraId="152B26AD" w14:textId="77777777" w:rsidR="00D8449B" w:rsidRPr="00D8449B" w:rsidRDefault="00D8449B" w:rsidP="00D8449B">
      <w:pPr>
        <w:spacing w:line="360" w:lineRule="auto"/>
        <w:ind w:firstLine="709"/>
        <w:jc w:val="both"/>
        <w:rPr>
          <w:lang w:val="en-GB"/>
        </w:rPr>
      </w:pPr>
      <w:proofErr w:type="spellStart"/>
      <w:r w:rsidRPr="00D8449B">
        <w:rPr>
          <w:lang w:val="en-GB"/>
        </w:rPr>
        <w:t>Лихвените</w:t>
      </w:r>
      <w:proofErr w:type="spellEnd"/>
      <w:r w:rsidRPr="00D8449B">
        <w:rPr>
          <w:lang w:val="en-GB"/>
        </w:rPr>
        <w:t xml:space="preserve"> </w:t>
      </w:r>
      <w:proofErr w:type="spellStart"/>
      <w:r w:rsidRPr="00D8449B">
        <w:rPr>
          <w:lang w:val="en-GB"/>
        </w:rPr>
        <w:t>проценти</w:t>
      </w:r>
      <w:proofErr w:type="spellEnd"/>
      <w:r w:rsidRPr="00D8449B">
        <w:rPr>
          <w:lang w:val="en-GB"/>
        </w:rPr>
        <w:t xml:space="preserve"> </w:t>
      </w:r>
      <w:proofErr w:type="spellStart"/>
      <w:r w:rsidRPr="00D8449B">
        <w:rPr>
          <w:lang w:val="en-GB"/>
        </w:rPr>
        <w:t>оказват</w:t>
      </w:r>
      <w:proofErr w:type="spellEnd"/>
      <w:r w:rsidRPr="00D8449B">
        <w:rPr>
          <w:lang w:val="en-GB"/>
        </w:rPr>
        <w:t xml:space="preserve"> </w:t>
      </w:r>
      <w:proofErr w:type="spellStart"/>
      <w:r w:rsidRPr="00D8449B">
        <w:rPr>
          <w:lang w:val="en-GB"/>
        </w:rPr>
        <w:t>влияние</w:t>
      </w:r>
      <w:proofErr w:type="spellEnd"/>
      <w:r w:rsidRPr="00D8449B">
        <w:rPr>
          <w:lang w:val="en-GB"/>
        </w:rPr>
        <w:t xml:space="preserve"> и </w:t>
      </w:r>
      <w:proofErr w:type="spellStart"/>
      <w:r w:rsidRPr="00D8449B">
        <w:rPr>
          <w:lang w:val="en-GB"/>
        </w:rPr>
        <w:t>чрез</w:t>
      </w:r>
      <w:proofErr w:type="spellEnd"/>
      <w:r w:rsidRPr="00D8449B">
        <w:rPr>
          <w:lang w:val="en-GB"/>
        </w:rPr>
        <w:t xml:space="preserve"> </w:t>
      </w:r>
      <w:proofErr w:type="spellStart"/>
      <w:r w:rsidRPr="00D8449B">
        <w:rPr>
          <w:lang w:val="en-GB"/>
        </w:rPr>
        <w:t>очакванията</w:t>
      </w:r>
      <w:proofErr w:type="spellEnd"/>
      <w:r w:rsidRPr="00D8449B">
        <w:rPr>
          <w:lang w:val="en-GB"/>
        </w:rPr>
        <w:t xml:space="preserve"> </w:t>
      </w:r>
      <w:proofErr w:type="spellStart"/>
      <w:r w:rsidRPr="00D8449B">
        <w:rPr>
          <w:lang w:val="en-GB"/>
        </w:rPr>
        <w:t>за</w:t>
      </w:r>
      <w:proofErr w:type="spellEnd"/>
      <w:r w:rsidRPr="00D8449B">
        <w:rPr>
          <w:lang w:val="en-GB"/>
        </w:rPr>
        <w:t xml:space="preserve"> </w:t>
      </w:r>
      <w:proofErr w:type="spellStart"/>
      <w:r w:rsidRPr="00D8449B">
        <w:rPr>
          <w:lang w:val="en-GB"/>
        </w:rPr>
        <w:t>бъдеща</w:t>
      </w:r>
      <w:proofErr w:type="spellEnd"/>
      <w:r w:rsidRPr="00D8449B">
        <w:rPr>
          <w:lang w:val="en-GB"/>
        </w:rPr>
        <w:t xml:space="preserve"> </w:t>
      </w:r>
      <w:proofErr w:type="spellStart"/>
      <w:r w:rsidRPr="00D8449B">
        <w:rPr>
          <w:lang w:val="en-GB"/>
        </w:rPr>
        <w:t>парична</w:t>
      </w:r>
      <w:proofErr w:type="spellEnd"/>
      <w:r w:rsidRPr="00D8449B">
        <w:rPr>
          <w:lang w:val="en-GB"/>
        </w:rPr>
        <w:t xml:space="preserve"> </w:t>
      </w:r>
      <w:proofErr w:type="spellStart"/>
      <w:r w:rsidRPr="00D8449B">
        <w:rPr>
          <w:lang w:val="en-GB"/>
        </w:rPr>
        <w:t>политика</w:t>
      </w:r>
      <w:proofErr w:type="spellEnd"/>
      <w:r w:rsidRPr="00D8449B">
        <w:rPr>
          <w:lang w:val="en-GB"/>
        </w:rPr>
        <w:t xml:space="preserve">. </w:t>
      </w:r>
      <w:proofErr w:type="spellStart"/>
      <w:r w:rsidRPr="00D8449B">
        <w:rPr>
          <w:lang w:val="en-GB"/>
        </w:rPr>
        <w:t>Финансовите</w:t>
      </w:r>
      <w:proofErr w:type="spellEnd"/>
      <w:r w:rsidRPr="00D8449B">
        <w:rPr>
          <w:lang w:val="en-GB"/>
        </w:rPr>
        <w:t xml:space="preserve"> </w:t>
      </w:r>
      <w:proofErr w:type="spellStart"/>
      <w:r w:rsidRPr="00D8449B">
        <w:rPr>
          <w:lang w:val="en-GB"/>
        </w:rPr>
        <w:t>пазари</w:t>
      </w:r>
      <w:proofErr w:type="spellEnd"/>
      <w:r w:rsidRPr="00D8449B">
        <w:rPr>
          <w:lang w:val="en-GB"/>
        </w:rPr>
        <w:t xml:space="preserve"> </w:t>
      </w:r>
      <w:proofErr w:type="spellStart"/>
      <w:r w:rsidRPr="00D8449B">
        <w:rPr>
          <w:lang w:val="en-GB"/>
        </w:rPr>
        <w:t>реагират</w:t>
      </w:r>
      <w:proofErr w:type="spellEnd"/>
      <w:r w:rsidRPr="00D8449B">
        <w:rPr>
          <w:lang w:val="en-GB"/>
        </w:rPr>
        <w:t xml:space="preserve"> </w:t>
      </w:r>
      <w:proofErr w:type="spellStart"/>
      <w:r w:rsidRPr="00D8449B">
        <w:rPr>
          <w:lang w:val="en-GB"/>
        </w:rPr>
        <w:t>не</w:t>
      </w:r>
      <w:proofErr w:type="spellEnd"/>
      <w:r w:rsidRPr="00D8449B">
        <w:rPr>
          <w:lang w:val="en-GB"/>
        </w:rPr>
        <w:t xml:space="preserve"> </w:t>
      </w:r>
      <w:proofErr w:type="spellStart"/>
      <w:r w:rsidRPr="00D8449B">
        <w:rPr>
          <w:lang w:val="en-GB"/>
        </w:rPr>
        <w:t>само</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текущите</w:t>
      </w:r>
      <w:proofErr w:type="spellEnd"/>
      <w:r w:rsidRPr="00D8449B">
        <w:rPr>
          <w:lang w:val="en-GB"/>
        </w:rPr>
        <w:t xml:space="preserve"> </w:t>
      </w:r>
      <w:proofErr w:type="spellStart"/>
      <w:r w:rsidRPr="00D8449B">
        <w:rPr>
          <w:lang w:val="en-GB"/>
        </w:rPr>
        <w:t>стойности</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лихвените</w:t>
      </w:r>
      <w:proofErr w:type="spellEnd"/>
      <w:r w:rsidRPr="00D8449B">
        <w:rPr>
          <w:lang w:val="en-GB"/>
        </w:rPr>
        <w:t xml:space="preserve"> </w:t>
      </w:r>
      <w:proofErr w:type="spellStart"/>
      <w:r w:rsidRPr="00D8449B">
        <w:rPr>
          <w:lang w:val="en-GB"/>
        </w:rPr>
        <w:t>проценти</w:t>
      </w:r>
      <w:proofErr w:type="spellEnd"/>
      <w:r w:rsidRPr="00D8449B">
        <w:rPr>
          <w:lang w:val="en-GB"/>
        </w:rPr>
        <w:t xml:space="preserve">, </w:t>
      </w:r>
      <w:proofErr w:type="spellStart"/>
      <w:r w:rsidRPr="00D8449B">
        <w:rPr>
          <w:lang w:val="en-GB"/>
        </w:rPr>
        <w:t>но</w:t>
      </w:r>
      <w:proofErr w:type="spellEnd"/>
      <w:r w:rsidRPr="00D8449B">
        <w:rPr>
          <w:lang w:val="en-GB"/>
        </w:rPr>
        <w:t xml:space="preserve"> и </w:t>
      </w:r>
      <w:proofErr w:type="spellStart"/>
      <w:r w:rsidRPr="00D8449B">
        <w:rPr>
          <w:lang w:val="en-GB"/>
        </w:rPr>
        <w:t>на</w:t>
      </w:r>
      <w:proofErr w:type="spellEnd"/>
      <w:r w:rsidRPr="00D8449B">
        <w:rPr>
          <w:lang w:val="en-GB"/>
        </w:rPr>
        <w:t xml:space="preserve"> </w:t>
      </w:r>
      <w:proofErr w:type="spellStart"/>
      <w:r w:rsidRPr="00D8449B">
        <w:rPr>
          <w:lang w:val="en-GB"/>
        </w:rPr>
        <w:t>сигналите</w:t>
      </w:r>
      <w:proofErr w:type="spellEnd"/>
      <w:r w:rsidRPr="00D8449B">
        <w:rPr>
          <w:lang w:val="en-GB"/>
        </w:rPr>
        <w:t xml:space="preserve">, </w:t>
      </w:r>
      <w:proofErr w:type="spellStart"/>
      <w:r w:rsidRPr="00D8449B">
        <w:rPr>
          <w:lang w:val="en-GB"/>
        </w:rPr>
        <w:t>които</w:t>
      </w:r>
      <w:proofErr w:type="spellEnd"/>
      <w:r w:rsidRPr="00D8449B">
        <w:rPr>
          <w:lang w:val="en-GB"/>
        </w:rPr>
        <w:t xml:space="preserve"> </w:t>
      </w:r>
      <w:proofErr w:type="spellStart"/>
      <w:r w:rsidRPr="00D8449B">
        <w:rPr>
          <w:lang w:val="en-GB"/>
        </w:rPr>
        <w:t>централните</w:t>
      </w:r>
      <w:proofErr w:type="spellEnd"/>
      <w:r w:rsidRPr="00D8449B">
        <w:rPr>
          <w:lang w:val="en-GB"/>
        </w:rPr>
        <w:t xml:space="preserve"> </w:t>
      </w:r>
      <w:proofErr w:type="spellStart"/>
      <w:r w:rsidRPr="00D8449B">
        <w:rPr>
          <w:lang w:val="en-GB"/>
        </w:rPr>
        <w:t>банки</w:t>
      </w:r>
      <w:proofErr w:type="spellEnd"/>
      <w:r w:rsidRPr="00D8449B">
        <w:rPr>
          <w:lang w:val="en-GB"/>
        </w:rPr>
        <w:t xml:space="preserve"> </w:t>
      </w:r>
      <w:proofErr w:type="spellStart"/>
      <w:r w:rsidRPr="00D8449B">
        <w:rPr>
          <w:lang w:val="en-GB"/>
        </w:rPr>
        <w:t>дават</w:t>
      </w:r>
      <w:proofErr w:type="spellEnd"/>
      <w:r w:rsidRPr="00D8449B">
        <w:rPr>
          <w:lang w:val="en-GB"/>
        </w:rPr>
        <w:t xml:space="preserve"> </w:t>
      </w:r>
      <w:proofErr w:type="spellStart"/>
      <w:r w:rsidRPr="00D8449B">
        <w:rPr>
          <w:lang w:val="en-GB"/>
        </w:rPr>
        <w:t>относно</w:t>
      </w:r>
      <w:proofErr w:type="spellEnd"/>
      <w:r w:rsidRPr="00D8449B">
        <w:rPr>
          <w:lang w:val="en-GB"/>
        </w:rPr>
        <w:t xml:space="preserve"> </w:t>
      </w:r>
      <w:proofErr w:type="spellStart"/>
      <w:r w:rsidRPr="00D8449B">
        <w:rPr>
          <w:lang w:val="en-GB"/>
        </w:rPr>
        <w:t>бъдещите</w:t>
      </w:r>
      <w:proofErr w:type="spellEnd"/>
      <w:r w:rsidRPr="00D8449B">
        <w:rPr>
          <w:lang w:val="en-GB"/>
        </w:rPr>
        <w:t xml:space="preserve"> </w:t>
      </w:r>
      <w:proofErr w:type="spellStart"/>
      <w:r w:rsidRPr="00D8449B">
        <w:rPr>
          <w:lang w:val="en-GB"/>
        </w:rPr>
        <w:t>си</w:t>
      </w:r>
      <w:proofErr w:type="spellEnd"/>
      <w:r w:rsidRPr="00D8449B">
        <w:rPr>
          <w:lang w:val="en-GB"/>
        </w:rPr>
        <w:t xml:space="preserve"> </w:t>
      </w:r>
      <w:proofErr w:type="spellStart"/>
      <w:r w:rsidRPr="00D8449B">
        <w:rPr>
          <w:lang w:val="en-GB"/>
        </w:rPr>
        <w:t>действия</w:t>
      </w:r>
      <w:proofErr w:type="spellEnd"/>
      <w:r w:rsidRPr="00D8449B">
        <w:rPr>
          <w:lang w:val="en-GB"/>
        </w:rPr>
        <w:t xml:space="preserve">. </w:t>
      </w:r>
      <w:proofErr w:type="spellStart"/>
      <w:r w:rsidRPr="00D8449B">
        <w:rPr>
          <w:lang w:val="en-GB"/>
        </w:rPr>
        <w:t>Очакванията</w:t>
      </w:r>
      <w:proofErr w:type="spellEnd"/>
      <w:r w:rsidRPr="00D8449B">
        <w:rPr>
          <w:lang w:val="en-GB"/>
        </w:rPr>
        <w:t xml:space="preserve"> </w:t>
      </w:r>
      <w:proofErr w:type="spellStart"/>
      <w:r w:rsidRPr="00D8449B">
        <w:rPr>
          <w:lang w:val="en-GB"/>
        </w:rPr>
        <w:t>за</w:t>
      </w:r>
      <w:proofErr w:type="spellEnd"/>
      <w:r w:rsidRPr="00D8449B">
        <w:rPr>
          <w:lang w:val="en-GB"/>
        </w:rPr>
        <w:t xml:space="preserve"> </w:t>
      </w:r>
      <w:proofErr w:type="spellStart"/>
      <w:r w:rsidRPr="00D8449B">
        <w:rPr>
          <w:lang w:val="en-GB"/>
        </w:rPr>
        <w:t>повишаване</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лихвените</w:t>
      </w:r>
      <w:proofErr w:type="spellEnd"/>
      <w:r w:rsidRPr="00D8449B">
        <w:rPr>
          <w:lang w:val="en-GB"/>
        </w:rPr>
        <w:t xml:space="preserve"> </w:t>
      </w:r>
      <w:proofErr w:type="spellStart"/>
      <w:r w:rsidRPr="00D8449B">
        <w:rPr>
          <w:lang w:val="en-GB"/>
        </w:rPr>
        <w:t>проценти</w:t>
      </w:r>
      <w:proofErr w:type="spellEnd"/>
      <w:r w:rsidRPr="00D8449B">
        <w:rPr>
          <w:lang w:val="en-GB"/>
        </w:rPr>
        <w:t xml:space="preserve"> </w:t>
      </w:r>
      <w:proofErr w:type="spellStart"/>
      <w:r w:rsidRPr="00D8449B">
        <w:rPr>
          <w:lang w:val="en-GB"/>
        </w:rPr>
        <w:t>могат</w:t>
      </w:r>
      <w:proofErr w:type="spellEnd"/>
      <w:r w:rsidRPr="00D8449B">
        <w:rPr>
          <w:lang w:val="en-GB"/>
        </w:rPr>
        <w:t xml:space="preserve"> </w:t>
      </w:r>
      <w:proofErr w:type="spellStart"/>
      <w:r w:rsidRPr="00D8449B">
        <w:rPr>
          <w:lang w:val="en-GB"/>
        </w:rPr>
        <w:t>да</w:t>
      </w:r>
      <w:proofErr w:type="spellEnd"/>
      <w:r w:rsidRPr="00D8449B">
        <w:rPr>
          <w:lang w:val="en-GB"/>
        </w:rPr>
        <w:t xml:space="preserve"> </w:t>
      </w:r>
      <w:proofErr w:type="spellStart"/>
      <w:r w:rsidRPr="00D8449B">
        <w:rPr>
          <w:lang w:val="en-GB"/>
        </w:rPr>
        <w:t>доведат</w:t>
      </w:r>
      <w:proofErr w:type="spellEnd"/>
      <w:r w:rsidRPr="00D8449B">
        <w:rPr>
          <w:lang w:val="en-GB"/>
        </w:rPr>
        <w:t xml:space="preserve"> </w:t>
      </w:r>
      <w:proofErr w:type="spellStart"/>
      <w:r w:rsidRPr="00D8449B">
        <w:rPr>
          <w:lang w:val="en-GB"/>
        </w:rPr>
        <w:t>до</w:t>
      </w:r>
      <w:proofErr w:type="spellEnd"/>
      <w:r w:rsidRPr="00D8449B">
        <w:rPr>
          <w:lang w:val="en-GB"/>
        </w:rPr>
        <w:t xml:space="preserve"> </w:t>
      </w:r>
      <w:proofErr w:type="spellStart"/>
      <w:r w:rsidRPr="00D8449B">
        <w:rPr>
          <w:lang w:val="en-GB"/>
        </w:rPr>
        <w:t>спад</w:t>
      </w:r>
      <w:proofErr w:type="spellEnd"/>
      <w:r w:rsidRPr="00D8449B">
        <w:rPr>
          <w:lang w:val="en-GB"/>
        </w:rPr>
        <w:t xml:space="preserve"> в </w:t>
      </w:r>
      <w:proofErr w:type="spellStart"/>
      <w:r w:rsidRPr="00D8449B">
        <w:rPr>
          <w:lang w:val="en-GB"/>
        </w:rPr>
        <w:t>цените</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криптоактивите</w:t>
      </w:r>
      <w:proofErr w:type="spellEnd"/>
      <w:r w:rsidRPr="00D8449B">
        <w:rPr>
          <w:lang w:val="en-GB"/>
        </w:rPr>
        <w:t xml:space="preserve"> </w:t>
      </w:r>
      <w:proofErr w:type="spellStart"/>
      <w:r w:rsidRPr="00D8449B">
        <w:rPr>
          <w:lang w:val="en-GB"/>
        </w:rPr>
        <w:t>още</w:t>
      </w:r>
      <w:proofErr w:type="spellEnd"/>
      <w:r w:rsidRPr="00D8449B">
        <w:rPr>
          <w:lang w:val="en-GB"/>
        </w:rPr>
        <w:t xml:space="preserve"> </w:t>
      </w:r>
      <w:proofErr w:type="spellStart"/>
      <w:r w:rsidRPr="00D8449B">
        <w:rPr>
          <w:lang w:val="en-GB"/>
        </w:rPr>
        <w:t>преди</w:t>
      </w:r>
      <w:proofErr w:type="spellEnd"/>
      <w:r w:rsidRPr="00D8449B">
        <w:rPr>
          <w:lang w:val="en-GB"/>
        </w:rPr>
        <w:t xml:space="preserve"> </w:t>
      </w:r>
      <w:proofErr w:type="spellStart"/>
      <w:r w:rsidRPr="00D8449B">
        <w:rPr>
          <w:lang w:val="en-GB"/>
        </w:rPr>
        <w:t>реалното</w:t>
      </w:r>
      <w:proofErr w:type="spellEnd"/>
      <w:r w:rsidRPr="00D8449B">
        <w:rPr>
          <w:lang w:val="en-GB"/>
        </w:rPr>
        <w:t xml:space="preserve"> </w:t>
      </w:r>
      <w:proofErr w:type="spellStart"/>
      <w:r w:rsidRPr="00D8449B">
        <w:rPr>
          <w:lang w:val="en-GB"/>
        </w:rPr>
        <w:t>им</w:t>
      </w:r>
      <w:proofErr w:type="spellEnd"/>
      <w:r w:rsidRPr="00D8449B">
        <w:rPr>
          <w:lang w:val="en-GB"/>
        </w:rPr>
        <w:t xml:space="preserve"> </w:t>
      </w:r>
      <w:proofErr w:type="spellStart"/>
      <w:r w:rsidRPr="00D8449B">
        <w:rPr>
          <w:lang w:val="en-GB"/>
        </w:rPr>
        <w:t>увеличаване</w:t>
      </w:r>
      <w:proofErr w:type="spellEnd"/>
      <w:r w:rsidRPr="00D8449B">
        <w:rPr>
          <w:lang w:val="en-GB"/>
        </w:rPr>
        <w:t xml:space="preserve">, </w:t>
      </w:r>
      <w:proofErr w:type="spellStart"/>
      <w:r w:rsidRPr="00D8449B">
        <w:rPr>
          <w:lang w:val="en-GB"/>
        </w:rPr>
        <w:t>тъй</w:t>
      </w:r>
      <w:proofErr w:type="spellEnd"/>
      <w:r w:rsidRPr="00D8449B">
        <w:rPr>
          <w:lang w:val="en-GB"/>
        </w:rPr>
        <w:t xml:space="preserve"> </w:t>
      </w:r>
      <w:proofErr w:type="spellStart"/>
      <w:r w:rsidRPr="00D8449B">
        <w:rPr>
          <w:lang w:val="en-GB"/>
        </w:rPr>
        <w:t>като</w:t>
      </w:r>
      <w:proofErr w:type="spellEnd"/>
      <w:r w:rsidRPr="00D8449B">
        <w:rPr>
          <w:lang w:val="en-GB"/>
        </w:rPr>
        <w:t xml:space="preserve"> </w:t>
      </w:r>
      <w:proofErr w:type="spellStart"/>
      <w:r w:rsidRPr="00D8449B">
        <w:rPr>
          <w:lang w:val="en-GB"/>
        </w:rPr>
        <w:t>инвеститорите</w:t>
      </w:r>
      <w:proofErr w:type="spellEnd"/>
      <w:r w:rsidRPr="00D8449B">
        <w:rPr>
          <w:lang w:val="en-GB"/>
        </w:rPr>
        <w:t xml:space="preserve"> </w:t>
      </w:r>
      <w:proofErr w:type="spellStart"/>
      <w:r w:rsidRPr="00D8449B">
        <w:rPr>
          <w:lang w:val="en-GB"/>
        </w:rPr>
        <w:t>предварително</w:t>
      </w:r>
      <w:proofErr w:type="spellEnd"/>
      <w:r w:rsidRPr="00D8449B">
        <w:rPr>
          <w:lang w:val="en-GB"/>
        </w:rPr>
        <w:t xml:space="preserve"> </w:t>
      </w:r>
      <w:proofErr w:type="spellStart"/>
      <w:r w:rsidRPr="00D8449B">
        <w:rPr>
          <w:lang w:val="en-GB"/>
        </w:rPr>
        <w:t>коригират</w:t>
      </w:r>
      <w:proofErr w:type="spellEnd"/>
      <w:r w:rsidRPr="00D8449B">
        <w:rPr>
          <w:lang w:val="en-GB"/>
        </w:rPr>
        <w:t xml:space="preserve"> </w:t>
      </w:r>
      <w:proofErr w:type="spellStart"/>
      <w:r w:rsidRPr="00D8449B">
        <w:rPr>
          <w:lang w:val="en-GB"/>
        </w:rPr>
        <w:t>своите</w:t>
      </w:r>
      <w:proofErr w:type="spellEnd"/>
      <w:r w:rsidRPr="00D8449B">
        <w:rPr>
          <w:lang w:val="en-GB"/>
        </w:rPr>
        <w:t xml:space="preserve"> </w:t>
      </w:r>
      <w:proofErr w:type="spellStart"/>
      <w:r w:rsidRPr="00D8449B">
        <w:rPr>
          <w:lang w:val="en-GB"/>
        </w:rPr>
        <w:t>портфейли</w:t>
      </w:r>
      <w:proofErr w:type="spellEnd"/>
      <w:r w:rsidRPr="00D8449B">
        <w:rPr>
          <w:lang w:val="en-GB"/>
        </w:rPr>
        <w:t xml:space="preserve">. </w:t>
      </w:r>
      <w:proofErr w:type="spellStart"/>
      <w:r w:rsidRPr="00D8449B">
        <w:rPr>
          <w:lang w:val="en-GB"/>
        </w:rPr>
        <w:t>По</w:t>
      </w:r>
      <w:proofErr w:type="spellEnd"/>
      <w:r w:rsidRPr="00D8449B">
        <w:rPr>
          <w:lang w:val="en-GB"/>
        </w:rPr>
        <w:t xml:space="preserve"> </w:t>
      </w:r>
      <w:proofErr w:type="spellStart"/>
      <w:r w:rsidRPr="00D8449B">
        <w:rPr>
          <w:lang w:val="en-GB"/>
        </w:rPr>
        <w:t>аналогичен</w:t>
      </w:r>
      <w:proofErr w:type="spellEnd"/>
      <w:r w:rsidRPr="00D8449B">
        <w:rPr>
          <w:lang w:val="en-GB"/>
        </w:rPr>
        <w:t xml:space="preserve"> </w:t>
      </w:r>
      <w:proofErr w:type="spellStart"/>
      <w:r w:rsidRPr="00D8449B">
        <w:rPr>
          <w:lang w:val="en-GB"/>
        </w:rPr>
        <w:t>начин</w:t>
      </w:r>
      <w:proofErr w:type="spellEnd"/>
      <w:r w:rsidRPr="00D8449B">
        <w:rPr>
          <w:lang w:val="en-GB"/>
        </w:rPr>
        <w:t xml:space="preserve">, </w:t>
      </w:r>
      <w:proofErr w:type="spellStart"/>
      <w:r w:rsidRPr="00D8449B">
        <w:rPr>
          <w:lang w:val="en-GB"/>
        </w:rPr>
        <w:t>очакванията</w:t>
      </w:r>
      <w:proofErr w:type="spellEnd"/>
      <w:r w:rsidRPr="00D8449B">
        <w:rPr>
          <w:lang w:val="en-GB"/>
        </w:rPr>
        <w:t xml:space="preserve"> </w:t>
      </w:r>
      <w:proofErr w:type="spellStart"/>
      <w:r w:rsidRPr="00D8449B">
        <w:rPr>
          <w:lang w:val="en-GB"/>
        </w:rPr>
        <w:t>за</w:t>
      </w:r>
      <w:proofErr w:type="spellEnd"/>
      <w:r w:rsidRPr="00D8449B">
        <w:rPr>
          <w:lang w:val="en-GB"/>
        </w:rPr>
        <w:t xml:space="preserve"> </w:t>
      </w:r>
      <w:proofErr w:type="spellStart"/>
      <w:r w:rsidRPr="00D8449B">
        <w:rPr>
          <w:lang w:val="en-GB"/>
        </w:rPr>
        <w:t>понижаване</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лихвените</w:t>
      </w:r>
      <w:proofErr w:type="spellEnd"/>
      <w:r w:rsidRPr="00D8449B">
        <w:rPr>
          <w:lang w:val="en-GB"/>
        </w:rPr>
        <w:t xml:space="preserve"> </w:t>
      </w:r>
      <w:proofErr w:type="spellStart"/>
      <w:r w:rsidRPr="00D8449B">
        <w:rPr>
          <w:lang w:val="en-GB"/>
        </w:rPr>
        <w:t>равнища</w:t>
      </w:r>
      <w:proofErr w:type="spellEnd"/>
      <w:r w:rsidRPr="00D8449B">
        <w:rPr>
          <w:lang w:val="en-GB"/>
        </w:rPr>
        <w:t xml:space="preserve"> </w:t>
      </w:r>
      <w:proofErr w:type="spellStart"/>
      <w:r w:rsidRPr="00D8449B">
        <w:rPr>
          <w:lang w:val="en-GB"/>
        </w:rPr>
        <w:t>могат</w:t>
      </w:r>
      <w:proofErr w:type="spellEnd"/>
      <w:r w:rsidRPr="00D8449B">
        <w:rPr>
          <w:lang w:val="en-GB"/>
        </w:rPr>
        <w:t xml:space="preserve"> </w:t>
      </w:r>
      <w:proofErr w:type="spellStart"/>
      <w:r w:rsidRPr="00D8449B">
        <w:rPr>
          <w:lang w:val="en-GB"/>
        </w:rPr>
        <w:t>да</w:t>
      </w:r>
      <w:proofErr w:type="spellEnd"/>
      <w:r w:rsidRPr="00D8449B">
        <w:rPr>
          <w:lang w:val="en-GB"/>
        </w:rPr>
        <w:t xml:space="preserve"> </w:t>
      </w:r>
      <w:proofErr w:type="spellStart"/>
      <w:r w:rsidRPr="00D8449B">
        <w:rPr>
          <w:lang w:val="en-GB"/>
        </w:rPr>
        <w:t>стимулират</w:t>
      </w:r>
      <w:proofErr w:type="spellEnd"/>
      <w:r w:rsidRPr="00D8449B">
        <w:rPr>
          <w:lang w:val="en-GB"/>
        </w:rPr>
        <w:t xml:space="preserve"> </w:t>
      </w:r>
      <w:proofErr w:type="spellStart"/>
      <w:r w:rsidRPr="00D8449B">
        <w:rPr>
          <w:lang w:val="en-GB"/>
        </w:rPr>
        <w:t>ръст</w:t>
      </w:r>
      <w:proofErr w:type="spellEnd"/>
      <w:r w:rsidRPr="00D8449B">
        <w:rPr>
          <w:lang w:val="en-GB"/>
        </w:rPr>
        <w:t xml:space="preserve"> в </w:t>
      </w:r>
      <w:proofErr w:type="spellStart"/>
      <w:r w:rsidRPr="00D8449B">
        <w:rPr>
          <w:lang w:val="en-GB"/>
        </w:rPr>
        <w:t>цените</w:t>
      </w:r>
      <w:proofErr w:type="spellEnd"/>
      <w:r w:rsidRPr="00D8449B">
        <w:rPr>
          <w:lang w:val="en-GB"/>
        </w:rPr>
        <w:t xml:space="preserve"> </w:t>
      </w:r>
      <w:proofErr w:type="spellStart"/>
      <w:r w:rsidRPr="00D8449B">
        <w:rPr>
          <w:lang w:val="en-GB"/>
        </w:rPr>
        <w:t>чрез</w:t>
      </w:r>
      <w:proofErr w:type="spellEnd"/>
      <w:r w:rsidRPr="00D8449B">
        <w:rPr>
          <w:lang w:val="en-GB"/>
        </w:rPr>
        <w:t xml:space="preserve"> </w:t>
      </w:r>
      <w:proofErr w:type="spellStart"/>
      <w:r w:rsidRPr="00D8449B">
        <w:rPr>
          <w:lang w:val="en-GB"/>
        </w:rPr>
        <w:t>увеличаване</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инвестиционния</w:t>
      </w:r>
      <w:proofErr w:type="spellEnd"/>
      <w:r w:rsidRPr="00D8449B">
        <w:rPr>
          <w:lang w:val="en-GB"/>
        </w:rPr>
        <w:t xml:space="preserve"> </w:t>
      </w:r>
      <w:proofErr w:type="spellStart"/>
      <w:r w:rsidRPr="00D8449B">
        <w:rPr>
          <w:lang w:val="en-GB"/>
        </w:rPr>
        <w:t>интерес</w:t>
      </w:r>
      <w:proofErr w:type="spellEnd"/>
      <w:r w:rsidRPr="00D8449B">
        <w:rPr>
          <w:lang w:val="en-GB"/>
        </w:rPr>
        <w:t>.</w:t>
      </w:r>
    </w:p>
    <w:p w14:paraId="33776C3A" w14:textId="77777777" w:rsidR="00D8449B" w:rsidRPr="00D8449B" w:rsidRDefault="00D8449B" w:rsidP="00D8449B">
      <w:pPr>
        <w:spacing w:line="360" w:lineRule="auto"/>
        <w:ind w:firstLine="709"/>
        <w:jc w:val="both"/>
        <w:rPr>
          <w:lang w:val="en-GB"/>
        </w:rPr>
      </w:pPr>
      <w:proofErr w:type="spellStart"/>
      <w:r w:rsidRPr="00D8449B">
        <w:rPr>
          <w:lang w:val="en-GB"/>
        </w:rPr>
        <w:t>Следва</w:t>
      </w:r>
      <w:proofErr w:type="spellEnd"/>
      <w:r w:rsidRPr="00D8449B">
        <w:rPr>
          <w:lang w:val="en-GB"/>
        </w:rPr>
        <w:t xml:space="preserve"> </w:t>
      </w:r>
      <w:proofErr w:type="spellStart"/>
      <w:r w:rsidRPr="00D8449B">
        <w:rPr>
          <w:lang w:val="en-GB"/>
        </w:rPr>
        <w:t>да</w:t>
      </w:r>
      <w:proofErr w:type="spellEnd"/>
      <w:r w:rsidRPr="00D8449B">
        <w:rPr>
          <w:lang w:val="en-GB"/>
        </w:rPr>
        <w:t xml:space="preserve"> </w:t>
      </w:r>
      <w:proofErr w:type="spellStart"/>
      <w:r w:rsidRPr="00D8449B">
        <w:rPr>
          <w:lang w:val="en-GB"/>
        </w:rPr>
        <w:t>се</w:t>
      </w:r>
      <w:proofErr w:type="spellEnd"/>
      <w:r w:rsidRPr="00D8449B">
        <w:rPr>
          <w:lang w:val="en-GB"/>
        </w:rPr>
        <w:t xml:space="preserve"> </w:t>
      </w:r>
      <w:proofErr w:type="spellStart"/>
      <w:r w:rsidRPr="00D8449B">
        <w:rPr>
          <w:lang w:val="en-GB"/>
        </w:rPr>
        <w:t>отчете</w:t>
      </w:r>
      <w:proofErr w:type="spellEnd"/>
      <w:r w:rsidRPr="00D8449B">
        <w:rPr>
          <w:lang w:val="en-GB"/>
        </w:rPr>
        <w:t xml:space="preserve"> и </w:t>
      </w:r>
      <w:proofErr w:type="spellStart"/>
      <w:r w:rsidRPr="00D8449B">
        <w:rPr>
          <w:lang w:val="en-GB"/>
        </w:rPr>
        <w:t>връзката</w:t>
      </w:r>
      <w:proofErr w:type="spellEnd"/>
      <w:r w:rsidRPr="00D8449B">
        <w:rPr>
          <w:lang w:val="en-GB"/>
        </w:rPr>
        <w:t xml:space="preserve"> </w:t>
      </w:r>
      <w:proofErr w:type="spellStart"/>
      <w:r w:rsidRPr="00D8449B">
        <w:rPr>
          <w:lang w:val="en-GB"/>
        </w:rPr>
        <w:t>между</w:t>
      </w:r>
      <w:proofErr w:type="spellEnd"/>
      <w:r w:rsidRPr="00D8449B">
        <w:rPr>
          <w:lang w:val="en-GB"/>
        </w:rPr>
        <w:t xml:space="preserve"> </w:t>
      </w:r>
      <w:proofErr w:type="spellStart"/>
      <w:r w:rsidRPr="00D8449B">
        <w:rPr>
          <w:lang w:val="en-GB"/>
        </w:rPr>
        <w:t>лихвените</w:t>
      </w:r>
      <w:proofErr w:type="spellEnd"/>
      <w:r w:rsidRPr="00D8449B">
        <w:rPr>
          <w:lang w:val="en-GB"/>
        </w:rPr>
        <w:t xml:space="preserve"> </w:t>
      </w:r>
      <w:proofErr w:type="spellStart"/>
      <w:r w:rsidRPr="00D8449B">
        <w:rPr>
          <w:lang w:val="en-GB"/>
        </w:rPr>
        <w:t>проценти</w:t>
      </w:r>
      <w:proofErr w:type="spellEnd"/>
      <w:r w:rsidRPr="00D8449B">
        <w:rPr>
          <w:lang w:val="en-GB"/>
        </w:rPr>
        <w:t xml:space="preserve"> и </w:t>
      </w:r>
      <w:proofErr w:type="spellStart"/>
      <w:r w:rsidRPr="00D8449B">
        <w:rPr>
          <w:lang w:val="en-GB"/>
        </w:rPr>
        <w:t>глобалните</w:t>
      </w:r>
      <w:proofErr w:type="spellEnd"/>
      <w:r w:rsidRPr="00D8449B">
        <w:rPr>
          <w:lang w:val="en-GB"/>
        </w:rPr>
        <w:t xml:space="preserve"> </w:t>
      </w:r>
      <w:proofErr w:type="spellStart"/>
      <w:r w:rsidRPr="00D8449B">
        <w:rPr>
          <w:lang w:val="en-GB"/>
        </w:rPr>
        <w:t>капиталови</w:t>
      </w:r>
      <w:proofErr w:type="spellEnd"/>
      <w:r w:rsidRPr="00D8449B">
        <w:rPr>
          <w:lang w:val="en-GB"/>
        </w:rPr>
        <w:t xml:space="preserve"> </w:t>
      </w:r>
      <w:proofErr w:type="spellStart"/>
      <w:r w:rsidRPr="00D8449B">
        <w:rPr>
          <w:lang w:val="en-GB"/>
        </w:rPr>
        <w:t>потоци</w:t>
      </w:r>
      <w:proofErr w:type="spellEnd"/>
      <w:r w:rsidRPr="00D8449B">
        <w:rPr>
          <w:lang w:val="en-GB"/>
        </w:rPr>
        <w:t xml:space="preserve">. </w:t>
      </w:r>
      <w:proofErr w:type="spellStart"/>
      <w:r w:rsidRPr="00D8449B">
        <w:rPr>
          <w:lang w:val="en-GB"/>
        </w:rPr>
        <w:t>Повишаването</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лихвените</w:t>
      </w:r>
      <w:proofErr w:type="spellEnd"/>
      <w:r w:rsidRPr="00D8449B">
        <w:rPr>
          <w:lang w:val="en-GB"/>
        </w:rPr>
        <w:t xml:space="preserve"> </w:t>
      </w:r>
      <w:proofErr w:type="spellStart"/>
      <w:r w:rsidRPr="00D8449B">
        <w:rPr>
          <w:lang w:val="en-GB"/>
        </w:rPr>
        <w:t>проценти</w:t>
      </w:r>
      <w:proofErr w:type="spellEnd"/>
      <w:r w:rsidRPr="00D8449B">
        <w:rPr>
          <w:lang w:val="en-GB"/>
        </w:rPr>
        <w:t xml:space="preserve"> в </w:t>
      </w:r>
      <w:proofErr w:type="spellStart"/>
      <w:r w:rsidRPr="00D8449B">
        <w:rPr>
          <w:lang w:val="en-GB"/>
        </w:rPr>
        <w:t>големи</w:t>
      </w:r>
      <w:proofErr w:type="spellEnd"/>
      <w:r w:rsidRPr="00D8449B">
        <w:rPr>
          <w:lang w:val="en-GB"/>
        </w:rPr>
        <w:t xml:space="preserve"> </w:t>
      </w:r>
      <w:proofErr w:type="spellStart"/>
      <w:r w:rsidRPr="00D8449B">
        <w:rPr>
          <w:lang w:val="en-GB"/>
        </w:rPr>
        <w:t>икономики</w:t>
      </w:r>
      <w:proofErr w:type="spellEnd"/>
      <w:r w:rsidRPr="00D8449B">
        <w:rPr>
          <w:lang w:val="en-GB"/>
        </w:rPr>
        <w:t xml:space="preserve">, </w:t>
      </w:r>
      <w:proofErr w:type="spellStart"/>
      <w:r w:rsidRPr="00D8449B">
        <w:rPr>
          <w:lang w:val="en-GB"/>
        </w:rPr>
        <w:t>като</w:t>
      </w:r>
      <w:proofErr w:type="spellEnd"/>
      <w:r w:rsidRPr="00D8449B">
        <w:rPr>
          <w:lang w:val="en-GB"/>
        </w:rPr>
        <w:t xml:space="preserve"> </w:t>
      </w:r>
      <w:proofErr w:type="spellStart"/>
      <w:r w:rsidRPr="00D8449B">
        <w:rPr>
          <w:lang w:val="en-GB"/>
        </w:rPr>
        <w:t>Съединените</w:t>
      </w:r>
      <w:proofErr w:type="spellEnd"/>
      <w:r w:rsidRPr="00D8449B">
        <w:rPr>
          <w:lang w:val="en-GB"/>
        </w:rPr>
        <w:t xml:space="preserve"> </w:t>
      </w:r>
      <w:proofErr w:type="spellStart"/>
      <w:r w:rsidRPr="00D8449B">
        <w:rPr>
          <w:lang w:val="en-GB"/>
        </w:rPr>
        <w:t>американски</w:t>
      </w:r>
      <w:proofErr w:type="spellEnd"/>
      <w:r w:rsidRPr="00D8449B">
        <w:rPr>
          <w:lang w:val="en-GB"/>
        </w:rPr>
        <w:t xml:space="preserve"> </w:t>
      </w:r>
      <w:proofErr w:type="spellStart"/>
      <w:r w:rsidRPr="00D8449B">
        <w:rPr>
          <w:lang w:val="en-GB"/>
        </w:rPr>
        <w:t>щати</w:t>
      </w:r>
      <w:proofErr w:type="spellEnd"/>
      <w:r w:rsidRPr="00D8449B">
        <w:rPr>
          <w:lang w:val="en-GB"/>
        </w:rPr>
        <w:t xml:space="preserve">, </w:t>
      </w:r>
      <w:proofErr w:type="spellStart"/>
      <w:r w:rsidRPr="00D8449B">
        <w:rPr>
          <w:lang w:val="en-GB"/>
        </w:rPr>
        <w:t>води</w:t>
      </w:r>
      <w:proofErr w:type="spellEnd"/>
      <w:r w:rsidRPr="00D8449B">
        <w:rPr>
          <w:lang w:val="en-GB"/>
        </w:rPr>
        <w:t xml:space="preserve"> </w:t>
      </w:r>
      <w:proofErr w:type="spellStart"/>
      <w:r w:rsidRPr="00D8449B">
        <w:rPr>
          <w:lang w:val="en-GB"/>
        </w:rPr>
        <w:t>до</w:t>
      </w:r>
      <w:proofErr w:type="spellEnd"/>
      <w:r w:rsidRPr="00D8449B">
        <w:rPr>
          <w:lang w:val="en-GB"/>
        </w:rPr>
        <w:t xml:space="preserve"> </w:t>
      </w:r>
      <w:proofErr w:type="spellStart"/>
      <w:r w:rsidRPr="00D8449B">
        <w:rPr>
          <w:lang w:val="en-GB"/>
        </w:rPr>
        <w:t>привличане</w:t>
      </w:r>
      <w:proofErr w:type="spellEnd"/>
      <w:r w:rsidRPr="00D8449B">
        <w:rPr>
          <w:lang w:val="en-GB"/>
        </w:rPr>
        <w:t xml:space="preserve"> </w:t>
      </w:r>
      <w:proofErr w:type="spellStart"/>
      <w:r w:rsidRPr="00D8449B">
        <w:rPr>
          <w:lang w:val="en-GB"/>
        </w:rPr>
        <w:t>на</w:t>
      </w:r>
      <w:proofErr w:type="spellEnd"/>
      <w:r w:rsidRPr="00D8449B">
        <w:rPr>
          <w:lang w:val="en-GB"/>
        </w:rPr>
        <w:t xml:space="preserve"> </w:t>
      </w:r>
      <w:proofErr w:type="spellStart"/>
      <w:r w:rsidRPr="00D8449B">
        <w:rPr>
          <w:lang w:val="en-GB"/>
        </w:rPr>
        <w:t>международен</w:t>
      </w:r>
      <w:proofErr w:type="spellEnd"/>
      <w:r w:rsidRPr="00D8449B">
        <w:rPr>
          <w:lang w:val="en-GB"/>
        </w:rPr>
        <w:t xml:space="preserve"> </w:t>
      </w:r>
      <w:proofErr w:type="spellStart"/>
      <w:r w:rsidRPr="00D8449B">
        <w:rPr>
          <w:lang w:val="en-GB"/>
        </w:rPr>
        <w:t>капитал</w:t>
      </w:r>
      <w:proofErr w:type="spellEnd"/>
      <w:r w:rsidRPr="00D8449B">
        <w:rPr>
          <w:lang w:val="en-GB"/>
        </w:rPr>
        <w:t xml:space="preserve"> </w:t>
      </w:r>
      <w:proofErr w:type="spellStart"/>
      <w:r w:rsidRPr="00D8449B">
        <w:rPr>
          <w:lang w:val="en-GB"/>
        </w:rPr>
        <w:t>към</w:t>
      </w:r>
      <w:proofErr w:type="spellEnd"/>
      <w:r w:rsidRPr="00D8449B">
        <w:rPr>
          <w:lang w:val="en-GB"/>
        </w:rPr>
        <w:t xml:space="preserve"> </w:t>
      </w:r>
      <w:proofErr w:type="spellStart"/>
      <w:r w:rsidRPr="00D8449B">
        <w:rPr>
          <w:lang w:val="en-GB"/>
        </w:rPr>
        <w:t>активи</w:t>
      </w:r>
      <w:proofErr w:type="spellEnd"/>
      <w:r w:rsidRPr="00D8449B">
        <w:rPr>
          <w:lang w:val="en-GB"/>
        </w:rPr>
        <w:t xml:space="preserve">, </w:t>
      </w:r>
      <w:proofErr w:type="spellStart"/>
      <w:r w:rsidRPr="00D8449B">
        <w:rPr>
          <w:lang w:val="en-GB"/>
        </w:rPr>
        <w:t>деноминирани</w:t>
      </w:r>
      <w:proofErr w:type="spellEnd"/>
      <w:r w:rsidRPr="00D8449B">
        <w:rPr>
          <w:lang w:val="en-GB"/>
        </w:rPr>
        <w:t xml:space="preserve"> в </w:t>
      </w:r>
      <w:proofErr w:type="spellStart"/>
      <w:r w:rsidRPr="00D8449B">
        <w:rPr>
          <w:lang w:val="en-GB"/>
        </w:rPr>
        <w:t>съответната</w:t>
      </w:r>
      <w:proofErr w:type="spellEnd"/>
      <w:r w:rsidRPr="00D8449B">
        <w:rPr>
          <w:lang w:val="en-GB"/>
        </w:rPr>
        <w:t xml:space="preserve"> </w:t>
      </w:r>
      <w:proofErr w:type="spellStart"/>
      <w:r w:rsidRPr="00D8449B">
        <w:rPr>
          <w:lang w:val="en-GB"/>
        </w:rPr>
        <w:t>валута</w:t>
      </w:r>
      <w:proofErr w:type="spellEnd"/>
      <w:r w:rsidRPr="00D8449B">
        <w:rPr>
          <w:lang w:val="en-GB"/>
        </w:rPr>
        <w:t xml:space="preserve">. </w:t>
      </w:r>
      <w:proofErr w:type="spellStart"/>
      <w:r w:rsidRPr="00D8449B">
        <w:rPr>
          <w:lang w:val="en-GB"/>
        </w:rPr>
        <w:t>Това</w:t>
      </w:r>
      <w:proofErr w:type="spellEnd"/>
      <w:r w:rsidRPr="00D8449B">
        <w:rPr>
          <w:lang w:val="en-GB"/>
        </w:rPr>
        <w:t xml:space="preserve"> </w:t>
      </w:r>
      <w:proofErr w:type="spellStart"/>
      <w:r w:rsidRPr="00D8449B">
        <w:rPr>
          <w:lang w:val="en-GB"/>
        </w:rPr>
        <w:t>намалява</w:t>
      </w:r>
      <w:proofErr w:type="spellEnd"/>
      <w:r w:rsidRPr="00D8449B">
        <w:rPr>
          <w:lang w:val="en-GB"/>
        </w:rPr>
        <w:t xml:space="preserve"> </w:t>
      </w:r>
      <w:proofErr w:type="spellStart"/>
      <w:r w:rsidRPr="00D8449B">
        <w:rPr>
          <w:lang w:val="en-GB"/>
        </w:rPr>
        <w:t>наличната</w:t>
      </w:r>
      <w:proofErr w:type="spellEnd"/>
      <w:r w:rsidRPr="00D8449B">
        <w:rPr>
          <w:lang w:val="en-GB"/>
        </w:rPr>
        <w:t xml:space="preserve"> </w:t>
      </w:r>
      <w:proofErr w:type="spellStart"/>
      <w:r w:rsidRPr="00D8449B">
        <w:rPr>
          <w:lang w:val="en-GB"/>
        </w:rPr>
        <w:t>ликвидност</w:t>
      </w:r>
      <w:proofErr w:type="spellEnd"/>
      <w:r w:rsidRPr="00D8449B">
        <w:rPr>
          <w:lang w:val="en-GB"/>
        </w:rPr>
        <w:t xml:space="preserve"> </w:t>
      </w:r>
      <w:proofErr w:type="spellStart"/>
      <w:r w:rsidRPr="00D8449B">
        <w:rPr>
          <w:lang w:val="en-GB"/>
        </w:rPr>
        <w:t>за</w:t>
      </w:r>
      <w:proofErr w:type="spellEnd"/>
      <w:r w:rsidRPr="00D8449B">
        <w:rPr>
          <w:lang w:val="en-GB"/>
        </w:rPr>
        <w:t xml:space="preserve"> </w:t>
      </w:r>
      <w:proofErr w:type="spellStart"/>
      <w:r w:rsidRPr="00D8449B">
        <w:rPr>
          <w:lang w:val="en-GB"/>
        </w:rPr>
        <w:t>инвестиции</w:t>
      </w:r>
      <w:proofErr w:type="spellEnd"/>
      <w:r w:rsidRPr="00D8449B">
        <w:rPr>
          <w:lang w:val="en-GB"/>
        </w:rPr>
        <w:t xml:space="preserve"> в </w:t>
      </w:r>
      <w:proofErr w:type="spellStart"/>
      <w:r w:rsidRPr="00D8449B">
        <w:rPr>
          <w:lang w:val="en-GB"/>
        </w:rPr>
        <w:t>криптоактиви</w:t>
      </w:r>
      <w:proofErr w:type="spellEnd"/>
      <w:r w:rsidRPr="00D8449B">
        <w:rPr>
          <w:lang w:val="en-GB"/>
        </w:rPr>
        <w:t xml:space="preserve"> и </w:t>
      </w:r>
      <w:proofErr w:type="spellStart"/>
      <w:r w:rsidRPr="00D8449B">
        <w:rPr>
          <w:lang w:val="en-GB"/>
        </w:rPr>
        <w:t>оказва</w:t>
      </w:r>
      <w:proofErr w:type="spellEnd"/>
      <w:r w:rsidRPr="00D8449B">
        <w:rPr>
          <w:lang w:val="en-GB"/>
        </w:rPr>
        <w:t xml:space="preserve"> </w:t>
      </w:r>
      <w:proofErr w:type="spellStart"/>
      <w:r w:rsidRPr="00D8449B">
        <w:rPr>
          <w:lang w:val="en-GB"/>
        </w:rPr>
        <w:t>допълнителен</w:t>
      </w:r>
      <w:proofErr w:type="spellEnd"/>
      <w:r w:rsidRPr="00D8449B">
        <w:rPr>
          <w:lang w:val="en-GB"/>
        </w:rPr>
        <w:t xml:space="preserve"> </w:t>
      </w:r>
      <w:proofErr w:type="spellStart"/>
      <w:r w:rsidRPr="00D8449B">
        <w:rPr>
          <w:lang w:val="en-GB"/>
        </w:rPr>
        <w:t>натиск</w:t>
      </w:r>
      <w:proofErr w:type="spellEnd"/>
      <w:r w:rsidRPr="00D8449B">
        <w:rPr>
          <w:lang w:val="en-GB"/>
        </w:rPr>
        <w:t xml:space="preserve"> </w:t>
      </w:r>
      <w:proofErr w:type="spellStart"/>
      <w:r w:rsidRPr="00D8449B">
        <w:rPr>
          <w:lang w:val="en-GB"/>
        </w:rPr>
        <w:t>върху</w:t>
      </w:r>
      <w:proofErr w:type="spellEnd"/>
      <w:r w:rsidRPr="00D8449B">
        <w:rPr>
          <w:lang w:val="en-GB"/>
        </w:rPr>
        <w:t xml:space="preserve"> </w:t>
      </w:r>
      <w:proofErr w:type="spellStart"/>
      <w:r w:rsidRPr="00D8449B">
        <w:rPr>
          <w:lang w:val="en-GB"/>
        </w:rPr>
        <w:t>техните</w:t>
      </w:r>
      <w:proofErr w:type="spellEnd"/>
      <w:r w:rsidRPr="00D8449B">
        <w:rPr>
          <w:lang w:val="en-GB"/>
        </w:rPr>
        <w:t xml:space="preserve"> </w:t>
      </w:r>
      <w:proofErr w:type="spellStart"/>
      <w:r w:rsidRPr="00D8449B">
        <w:rPr>
          <w:lang w:val="en-GB"/>
        </w:rPr>
        <w:t>цени</w:t>
      </w:r>
      <w:proofErr w:type="spellEnd"/>
      <w:r w:rsidRPr="00D8449B">
        <w:rPr>
          <w:lang w:val="en-GB"/>
        </w:rPr>
        <w:t xml:space="preserve">. </w:t>
      </w:r>
      <w:proofErr w:type="spellStart"/>
      <w:r w:rsidRPr="00D8449B">
        <w:rPr>
          <w:lang w:val="en-GB"/>
        </w:rPr>
        <w:t>Обратно</w:t>
      </w:r>
      <w:proofErr w:type="spellEnd"/>
      <w:r w:rsidRPr="00D8449B">
        <w:rPr>
          <w:lang w:val="en-GB"/>
        </w:rPr>
        <w:t xml:space="preserve">, </w:t>
      </w:r>
      <w:proofErr w:type="spellStart"/>
      <w:r w:rsidRPr="00D8449B">
        <w:rPr>
          <w:lang w:val="en-GB"/>
        </w:rPr>
        <w:t>при</w:t>
      </w:r>
      <w:proofErr w:type="spellEnd"/>
      <w:r w:rsidRPr="00D8449B">
        <w:rPr>
          <w:lang w:val="en-GB"/>
        </w:rPr>
        <w:t xml:space="preserve"> </w:t>
      </w:r>
      <w:proofErr w:type="spellStart"/>
      <w:r w:rsidRPr="00D8449B">
        <w:rPr>
          <w:lang w:val="en-GB"/>
        </w:rPr>
        <w:t>по-ниски</w:t>
      </w:r>
      <w:proofErr w:type="spellEnd"/>
      <w:r w:rsidRPr="00D8449B">
        <w:rPr>
          <w:lang w:val="en-GB"/>
        </w:rPr>
        <w:t xml:space="preserve"> </w:t>
      </w:r>
      <w:proofErr w:type="spellStart"/>
      <w:r w:rsidRPr="00D8449B">
        <w:rPr>
          <w:lang w:val="en-GB"/>
        </w:rPr>
        <w:lastRenderedPageBreak/>
        <w:t>лихвени</w:t>
      </w:r>
      <w:proofErr w:type="spellEnd"/>
      <w:r w:rsidRPr="00D8449B">
        <w:rPr>
          <w:lang w:val="en-GB"/>
        </w:rPr>
        <w:t xml:space="preserve"> </w:t>
      </w:r>
      <w:proofErr w:type="spellStart"/>
      <w:r w:rsidRPr="00D8449B">
        <w:rPr>
          <w:lang w:val="en-GB"/>
        </w:rPr>
        <w:t>равнища</w:t>
      </w:r>
      <w:proofErr w:type="spellEnd"/>
      <w:r w:rsidRPr="00D8449B">
        <w:rPr>
          <w:lang w:val="en-GB"/>
        </w:rPr>
        <w:t xml:space="preserve"> </w:t>
      </w:r>
      <w:proofErr w:type="spellStart"/>
      <w:r w:rsidRPr="00D8449B">
        <w:rPr>
          <w:lang w:val="en-GB"/>
        </w:rPr>
        <w:t>капиталът</w:t>
      </w:r>
      <w:proofErr w:type="spellEnd"/>
      <w:r w:rsidRPr="00D8449B">
        <w:rPr>
          <w:lang w:val="en-GB"/>
        </w:rPr>
        <w:t xml:space="preserve"> </w:t>
      </w:r>
      <w:proofErr w:type="spellStart"/>
      <w:r w:rsidRPr="00D8449B">
        <w:rPr>
          <w:lang w:val="en-GB"/>
        </w:rPr>
        <w:t>се</w:t>
      </w:r>
      <w:proofErr w:type="spellEnd"/>
      <w:r w:rsidRPr="00D8449B">
        <w:rPr>
          <w:lang w:val="en-GB"/>
        </w:rPr>
        <w:t xml:space="preserve"> </w:t>
      </w:r>
      <w:proofErr w:type="spellStart"/>
      <w:r w:rsidRPr="00D8449B">
        <w:rPr>
          <w:lang w:val="en-GB"/>
        </w:rPr>
        <w:t>насочва</w:t>
      </w:r>
      <w:proofErr w:type="spellEnd"/>
      <w:r w:rsidRPr="00D8449B">
        <w:rPr>
          <w:lang w:val="en-GB"/>
        </w:rPr>
        <w:t xml:space="preserve"> </w:t>
      </w:r>
      <w:proofErr w:type="spellStart"/>
      <w:r w:rsidRPr="00D8449B">
        <w:rPr>
          <w:lang w:val="en-GB"/>
        </w:rPr>
        <w:t>към</w:t>
      </w:r>
      <w:proofErr w:type="spellEnd"/>
      <w:r w:rsidRPr="00D8449B">
        <w:rPr>
          <w:lang w:val="en-GB"/>
        </w:rPr>
        <w:t xml:space="preserve"> </w:t>
      </w:r>
      <w:proofErr w:type="spellStart"/>
      <w:r w:rsidRPr="00D8449B">
        <w:rPr>
          <w:lang w:val="en-GB"/>
        </w:rPr>
        <w:t>по-рискови</w:t>
      </w:r>
      <w:proofErr w:type="spellEnd"/>
      <w:r w:rsidRPr="00D8449B">
        <w:rPr>
          <w:lang w:val="en-GB"/>
        </w:rPr>
        <w:t xml:space="preserve"> и </w:t>
      </w:r>
      <w:proofErr w:type="spellStart"/>
      <w:r w:rsidRPr="00D8449B">
        <w:rPr>
          <w:lang w:val="en-GB"/>
        </w:rPr>
        <w:t>иновативни</w:t>
      </w:r>
      <w:proofErr w:type="spellEnd"/>
      <w:r w:rsidRPr="00D8449B">
        <w:rPr>
          <w:lang w:val="en-GB"/>
        </w:rPr>
        <w:t xml:space="preserve"> </w:t>
      </w:r>
      <w:proofErr w:type="spellStart"/>
      <w:r w:rsidRPr="00D8449B">
        <w:rPr>
          <w:lang w:val="en-GB"/>
        </w:rPr>
        <w:t>активи</w:t>
      </w:r>
      <w:proofErr w:type="spellEnd"/>
      <w:r w:rsidRPr="00D8449B">
        <w:rPr>
          <w:lang w:val="en-GB"/>
        </w:rPr>
        <w:t xml:space="preserve">, </w:t>
      </w:r>
      <w:proofErr w:type="spellStart"/>
      <w:r w:rsidRPr="00D8449B">
        <w:rPr>
          <w:lang w:val="en-GB"/>
        </w:rPr>
        <w:t>включително</w:t>
      </w:r>
      <w:proofErr w:type="spellEnd"/>
      <w:r w:rsidRPr="00D8449B">
        <w:rPr>
          <w:lang w:val="en-GB"/>
        </w:rPr>
        <w:t xml:space="preserve"> </w:t>
      </w:r>
      <w:proofErr w:type="spellStart"/>
      <w:r w:rsidRPr="00D8449B">
        <w:rPr>
          <w:lang w:val="en-GB"/>
        </w:rPr>
        <w:t>криптоактиви</w:t>
      </w:r>
      <w:proofErr w:type="spellEnd"/>
      <w:r w:rsidRPr="00D8449B">
        <w:rPr>
          <w:lang w:val="en-GB"/>
        </w:rPr>
        <w:t xml:space="preserve">, </w:t>
      </w:r>
      <w:proofErr w:type="spellStart"/>
      <w:r w:rsidRPr="00D8449B">
        <w:rPr>
          <w:lang w:val="en-GB"/>
        </w:rPr>
        <w:t>което</w:t>
      </w:r>
      <w:proofErr w:type="spellEnd"/>
      <w:r w:rsidRPr="00D8449B">
        <w:rPr>
          <w:lang w:val="en-GB"/>
        </w:rPr>
        <w:t xml:space="preserve"> </w:t>
      </w:r>
      <w:proofErr w:type="spellStart"/>
      <w:r w:rsidRPr="00D8449B">
        <w:rPr>
          <w:lang w:val="en-GB"/>
        </w:rPr>
        <w:t>подпомага</w:t>
      </w:r>
      <w:proofErr w:type="spellEnd"/>
      <w:r w:rsidRPr="00D8449B">
        <w:rPr>
          <w:lang w:val="en-GB"/>
        </w:rPr>
        <w:t xml:space="preserve"> </w:t>
      </w:r>
      <w:proofErr w:type="spellStart"/>
      <w:r w:rsidRPr="00D8449B">
        <w:rPr>
          <w:lang w:val="en-GB"/>
        </w:rPr>
        <w:t>тяхното</w:t>
      </w:r>
      <w:proofErr w:type="spellEnd"/>
      <w:r w:rsidRPr="00D8449B">
        <w:rPr>
          <w:lang w:val="en-GB"/>
        </w:rPr>
        <w:t xml:space="preserve"> </w:t>
      </w:r>
      <w:proofErr w:type="spellStart"/>
      <w:r w:rsidRPr="00D8449B">
        <w:rPr>
          <w:lang w:val="en-GB"/>
        </w:rPr>
        <w:t>развитие</w:t>
      </w:r>
      <w:proofErr w:type="spellEnd"/>
      <w:r w:rsidRPr="00D8449B">
        <w:rPr>
          <w:lang w:val="en-GB"/>
        </w:rPr>
        <w:t>.</w:t>
      </w:r>
    </w:p>
    <w:p w14:paraId="225CC409" w14:textId="77777777" w:rsidR="006040D3" w:rsidRPr="006040D3" w:rsidRDefault="006040D3" w:rsidP="006040D3">
      <w:pPr>
        <w:spacing w:line="360" w:lineRule="auto"/>
        <w:ind w:firstLine="709"/>
        <w:jc w:val="both"/>
      </w:pPr>
      <w:r w:rsidRPr="006040D3">
        <w:t>Валутните курсове, и по-специално динамиката на щатския долар като глобална резервна валута, също оказват съществено влияние върху криптоактивите. Засилването на долара обикновено води до намаляване на интереса към алтернативни активи, тъй като той се възприема като сигурно убежище в условия на икономическа несигурност. Това води до изтегляне на капитал от криптопазара и до понижение на цените. Освен това по-силният долар увеличава реалната стойност на дълга и ограничава глобалната ликвидност, което допълнително оказва натиск върху рисковите активи.</w:t>
      </w:r>
    </w:p>
    <w:p w14:paraId="5BD95965" w14:textId="43959B45" w:rsidR="006040D3" w:rsidRDefault="006040D3" w:rsidP="006040D3">
      <w:pPr>
        <w:spacing w:line="360" w:lineRule="auto"/>
        <w:ind w:firstLine="709"/>
        <w:jc w:val="both"/>
      </w:pPr>
      <w:r w:rsidRPr="006040D3">
        <w:t>О</w:t>
      </w:r>
      <w:r w:rsidRPr="006040D3">
        <w:t>т своя страна</w:t>
      </w:r>
      <w:r w:rsidRPr="006040D3">
        <w:t>, отслабването на долара или на националните валути създава предпоставки за повишено търсене на криптоактиви. В такива условия инвеститорите търсят алтернативни средства за съхраняване на стойност, което води до увеличаване на обема на търговия и до по-широко разпространение на криптоактивите. Особено изразено е това явление в икономики, където валутната нестабилност е висока, тъй като криптоактивите предоставят възможност за диверсификация и защита срещу валутен риск</w:t>
      </w:r>
      <w:r w:rsidR="00D8449B">
        <w:rPr>
          <w:rStyle w:val="FootnoteReference"/>
        </w:rPr>
        <w:footnoteReference w:id="42"/>
      </w:r>
      <w:r w:rsidRPr="006040D3">
        <w:t>.</w:t>
      </w:r>
    </w:p>
    <w:p w14:paraId="287180D8" w14:textId="264CAED5" w:rsidR="0063103D" w:rsidRPr="006040D3" w:rsidRDefault="0063103D" w:rsidP="00F9181B">
      <w:pPr>
        <w:spacing w:line="360" w:lineRule="auto"/>
        <w:ind w:firstLine="709"/>
        <w:jc w:val="both"/>
      </w:pPr>
      <w:r w:rsidRPr="006040D3">
        <w:t>ИЗВОДИ ПО ВТОРА ГЛАВА</w:t>
      </w:r>
    </w:p>
    <w:p w14:paraId="5116D4C5" w14:textId="77777777" w:rsidR="0063103D" w:rsidRPr="006040D3" w:rsidRDefault="0063103D" w:rsidP="0063103D">
      <w:pPr>
        <w:spacing w:line="360" w:lineRule="auto"/>
        <w:ind w:firstLine="709"/>
        <w:jc w:val="both"/>
      </w:pPr>
      <w:r w:rsidRPr="0063103D">
        <w:t>Макроикономическите индикатори играят фундаментална роля за функционирането на финансовите пазари, като чрез сложна система от взаимосвързани механизми влияят върху оценката на активите, инвестиционните решения и общата пазарна динамика. Тяхното въздействие не е еднозначно, а зависи от икономическия контекст, очакванията на участниците и реакцията на паричната политика, което изисква комплексен и интегриран подход при анализа на финансовите процеси.</w:t>
      </w:r>
    </w:p>
    <w:p w14:paraId="5F0C84FF" w14:textId="77777777" w:rsidR="006040D3" w:rsidRPr="006040D3" w:rsidRDefault="006040D3" w:rsidP="006040D3">
      <w:pPr>
        <w:spacing w:line="360" w:lineRule="auto"/>
        <w:ind w:firstLine="709"/>
        <w:jc w:val="both"/>
      </w:pPr>
      <w:r w:rsidRPr="006040D3">
        <w:t xml:space="preserve">Инфлацията, лихвените проценти и валутните курсове оказват съвместно и </w:t>
      </w:r>
      <w:r w:rsidRPr="006040D3">
        <w:lastRenderedPageBreak/>
        <w:t>взаимосвързано влияние върху криптоактивите, като определят както краткосрочните пазарни движения, така и дългосрочните тенденции. Тяхното въздействие се осъществява чрез промени в ликвидността, инвестиционните нагласи и относителната привлекателност на различните класове активи. Поради това анализът на криптопазара изисква комплексен подход, който отчита не само отделните макроикономически фактори, но и тяхното взаимодействие в рамките на цялостната финансова система.</w:t>
      </w:r>
    </w:p>
    <w:p w14:paraId="3CE2ACD0" w14:textId="77777777" w:rsidR="006040D3" w:rsidRPr="0063103D" w:rsidRDefault="006040D3" w:rsidP="0063103D">
      <w:pPr>
        <w:spacing w:line="360" w:lineRule="auto"/>
        <w:ind w:firstLine="709"/>
        <w:jc w:val="both"/>
      </w:pPr>
    </w:p>
    <w:p w14:paraId="1DB20281" w14:textId="77777777" w:rsidR="0063103D" w:rsidRPr="00F9181B" w:rsidRDefault="0063103D" w:rsidP="00F9181B">
      <w:pPr>
        <w:spacing w:line="360" w:lineRule="auto"/>
        <w:ind w:firstLine="709"/>
        <w:jc w:val="both"/>
      </w:pPr>
    </w:p>
    <w:p w14:paraId="2A21EFE9" w14:textId="77777777" w:rsidR="00F9181B" w:rsidRPr="006040D3" w:rsidRDefault="00F9181B">
      <w:pPr>
        <w:widowControl/>
        <w:suppressAutoHyphens w:val="0"/>
        <w:rPr>
          <w:b/>
          <w:bCs/>
        </w:rPr>
      </w:pPr>
      <w:r w:rsidRPr="006040D3">
        <w:rPr>
          <w:b/>
          <w:bCs/>
        </w:rPr>
        <w:br w:type="page"/>
      </w:r>
    </w:p>
    <w:p w14:paraId="431D8FE3" w14:textId="2B59ABD6" w:rsidR="006E20FE" w:rsidRPr="006040D3" w:rsidRDefault="006E20FE" w:rsidP="006E20FE">
      <w:pPr>
        <w:spacing w:line="360" w:lineRule="auto"/>
        <w:ind w:firstLine="709"/>
        <w:jc w:val="both"/>
        <w:rPr>
          <w:b/>
          <w:bCs/>
        </w:rPr>
      </w:pPr>
      <w:r w:rsidRPr="006040D3">
        <w:rPr>
          <w:b/>
          <w:bCs/>
        </w:rPr>
        <w:lastRenderedPageBreak/>
        <w:t>Трета глава. Представяне и анализ на резултатите от емпиричното изследване</w:t>
      </w:r>
    </w:p>
    <w:p w14:paraId="6025BD26" w14:textId="0028431F" w:rsidR="006E20FE" w:rsidRPr="006040D3" w:rsidRDefault="006E20FE" w:rsidP="006E20FE">
      <w:pPr>
        <w:spacing w:line="360" w:lineRule="auto"/>
        <w:ind w:firstLine="709"/>
        <w:jc w:val="both"/>
      </w:pPr>
      <w:r w:rsidRPr="006040D3">
        <w:rPr>
          <w:b/>
          <w:bCs/>
        </w:rPr>
        <w:t>3.1. Организация и методология  на изследването</w:t>
      </w:r>
    </w:p>
    <w:p w14:paraId="4F2DC451" w14:textId="77777777" w:rsidR="006E20FE" w:rsidRPr="006E20FE" w:rsidRDefault="006E20FE" w:rsidP="006E20FE">
      <w:pPr>
        <w:spacing w:line="360" w:lineRule="auto"/>
        <w:ind w:firstLine="709"/>
        <w:jc w:val="both"/>
      </w:pPr>
      <w:r w:rsidRPr="006E20FE">
        <w:t>Методологията на настоящото емпирично изследване е насочена към установяване на зависимостта между макроикономическата среда и динамиката на пазара на криптоактиви, като фокусът е поставен върху биткойн като водещ представител на този пазар. Изследването обхваща периода 2020–2024 г., който се характеризира със значителни икономически сътресения, породени от пандемията от COVID-19, последвани от инфлационни процеси и съществени промени в паричната политика.</w:t>
      </w:r>
    </w:p>
    <w:p w14:paraId="29D14067" w14:textId="77777777" w:rsidR="006E20FE" w:rsidRPr="006E20FE" w:rsidRDefault="006E20FE" w:rsidP="006E20FE">
      <w:pPr>
        <w:spacing w:line="360" w:lineRule="auto"/>
        <w:ind w:firstLine="709"/>
        <w:jc w:val="both"/>
      </w:pPr>
      <w:r w:rsidRPr="006E20FE">
        <w:t>Обект на изследването е пазарът на криптоактиви като част от съвременната финансова система. Предмет на изследването е влиянието на избрани макроикономически индикатори върху динамиката на цената на биткойн през периода 2020–2024 г., като се акцентира върху инфлацията, лихвените проценти и индекса на щатския долар като ключови фактори на макроикономическата среда.</w:t>
      </w:r>
    </w:p>
    <w:p w14:paraId="5BA07540" w14:textId="77777777" w:rsidR="006E20FE" w:rsidRPr="006E20FE" w:rsidRDefault="006E20FE" w:rsidP="006E20FE">
      <w:pPr>
        <w:spacing w:line="360" w:lineRule="auto"/>
        <w:ind w:firstLine="709"/>
        <w:jc w:val="both"/>
      </w:pPr>
      <w:r w:rsidRPr="006E20FE">
        <w:t>Основната цел на изследването е да се установи наличието, посоката и степента на влияние на избрани макроикономически индикатори върху изменението в стойността на биткойн за разглеждания период.</w:t>
      </w:r>
    </w:p>
    <w:p w14:paraId="35BEFD2E" w14:textId="77777777" w:rsidR="006E20FE" w:rsidRPr="006E20FE" w:rsidRDefault="006E20FE" w:rsidP="006E20FE">
      <w:pPr>
        <w:spacing w:line="360" w:lineRule="auto"/>
        <w:ind w:firstLine="709"/>
        <w:jc w:val="both"/>
      </w:pPr>
      <w:r w:rsidRPr="006E20FE">
        <w:t>За постигането на поставената цел се формулират следните изследователски задачи:</w:t>
      </w:r>
    </w:p>
    <w:p w14:paraId="7B039AE2" w14:textId="77777777" w:rsidR="006E20FE" w:rsidRPr="006E20FE" w:rsidRDefault="006E20FE" w:rsidP="006E20FE">
      <w:pPr>
        <w:numPr>
          <w:ilvl w:val="0"/>
          <w:numId w:val="36"/>
        </w:numPr>
        <w:spacing w:line="360" w:lineRule="auto"/>
        <w:jc w:val="both"/>
      </w:pPr>
      <w:r w:rsidRPr="006E20FE">
        <w:t>Да се съберат и систематизират релевантни емпирични данни за цената на биткойн и избраните макроикономически индикатори, а именно инфлация, лихвен процент и индекс на щатския долар, за периода 2020–2024 г.</w:t>
      </w:r>
    </w:p>
    <w:p w14:paraId="5459D3C0" w14:textId="77777777" w:rsidR="006E20FE" w:rsidRPr="006E20FE" w:rsidRDefault="006E20FE" w:rsidP="006E20FE">
      <w:pPr>
        <w:numPr>
          <w:ilvl w:val="0"/>
          <w:numId w:val="36"/>
        </w:numPr>
        <w:spacing w:line="360" w:lineRule="auto"/>
        <w:jc w:val="both"/>
      </w:pPr>
      <w:r w:rsidRPr="006E20FE">
        <w:t>Да се анализира зависимостта между променливите чрез прилагане на корелационен анализ с цел установяване на посоката и силата на връзката между тях.</w:t>
      </w:r>
    </w:p>
    <w:p w14:paraId="151D4C23" w14:textId="77777777" w:rsidR="006E20FE" w:rsidRPr="006E20FE" w:rsidRDefault="006E20FE" w:rsidP="006E20FE">
      <w:pPr>
        <w:numPr>
          <w:ilvl w:val="0"/>
          <w:numId w:val="36"/>
        </w:numPr>
        <w:spacing w:line="360" w:lineRule="auto"/>
        <w:jc w:val="both"/>
      </w:pPr>
      <w:r w:rsidRPr="006E20FE">
        <w:t>Да се оцени степента на влияние на макроикономическите индикатори върху доходността на биткойн чрез изграждане и тълкуване на многомерен линеен регресионен модел.</w:t>
      </w:r>
    </w:p>
    <w:p w14:paraId="1FFE96F6" w14:textId="77777777" w:rsidR="006E20FE" w:rsidRPr="006E20FE" w:rsidRDefault="006E20FE" w:rsidP="006E20FE">
      <w:pPr>
        <w:spacing w:line="360" w:lineRule="auto"/>
        <w:ind w:firstLine="709"/>
        <w:jc w:val="both"/>
      </w:pPr>
      <w:r w:rsidRPr="006E20FE">
        <w:t xml:space="preserve">В методологичен аспект изследването се основава на количествен подход, като се използват вторични данни от публично достъпни статистически източници. Основните методи, приложени в анализа, включват описателен статистически анализ за представяне на основните характеристики на данните, корелационен анализ за установяване на взаимовръзките между променливите и многомерен линеен регресионен анализ за оценка </w:t>
      </w:r>
      <w:r w:rsidRPr="006E20FE">
        <w:lastRenderedPageBreak/>
        <w:t>на влиянието на независимите променливи върху зависимата променлива.</w:t>
      </w:r>
    </w:p>
    <w:p w14:paraId="04F21058" w14:textId="06D6CCEB" w:rsidR="006E20FE" w:rsidRPr="006E20FE" w:rsidRDefault="00C644F0" w:rsidP="00C644F0">
      <w:pPr>
        <w:spacing w:line="360" w:lineRule="auto"/>
        <w:ind w:firstLine="709"/>
        <w:jc w:val="both"/>
      </w:pPr>
      <w:r w:rsidRPr="006040D3">
        <w:t>Като основен аналитичен инструмент в изследването се използва модел, чрез който се проследява как инфлацията, лихвеният процент и индексът на щатския долар влияят върху доходността на биткойн. В изследването доходността на биткойн е зависимата променлива, а инфлацията, лихвеният процент и индексът на щатския долар са независимите променливи.</w:t>
      </w:r>
      <w:r w:rsidR="006E20FE" w:rsidRPr="006E20FE">
        <w:t xml:space="preserve">Обработката на данните </w:t>
      </w:r>
      <w:r w:rsidR="006E20FE" w:rsidRPr="006040D3">
        <w:t xml:space="preserve">е </w:t>
      </w:r>
      <w:r w:rsidR="006E20FE" w:rsidRPr="006E20FE">
        <w:t>реализирана чрез Microsoft Excel.</w:t>
      </w:r>
    </w:p>
    <w:p w14:paraId="0FD58663" w14:textId="77777777" w:rsidR="006E20FE" w:rsidRPr="006E20FE" w:rsidRDefault="006E20FE" w:rsidP="006E20FE">
      <w:pPr>
        <w:spacing w:line="360" w:lineRule="auto"/>
        <w:ind w:firstLine="709"/>
        <w:jc w:val="both"/>
      </w:pPr>
      <w:r w:rsidRPr="006E20FE">
        <w:t>Критериите за оценка на резултатите от емпиричното изследване са свързани с това дали съществува връзка между изследваните макроикономически показатели и цената на биткойн, каква е посоката на тази връзка и колко силно е влиянието на отделните фактори. При анализа се проследява дали при промяна в инфлацията, лихвените проценти и индекса на щатския долар се наблюдава промяна и в доходността на биткойн.</w:t>
      </w:r>
    </w:p>
    <w:p w14:paraId="0D914036" w14:textId="77777777" w:rsidR="006E20FE" w:rsidRPr="006E20FE" w:rsidRDefault="006E20FE" w:rsidP="006E20FE">
      <w:pPr>
        <w:spacing w:line="360" w:lineRule="auto"/>
        <w:ind w:firstLine="709"/>
        <w:jc w:val="both"/>
      </w:pPr>
      <w:r w:rsidRPr="006E20FE">
        <w:t>Като основни показатели за оценка се използват силата на връзката между променливите, посоката на влиянието и степента, в която избраните фактори обясняват измененията в зависимата променлива. От значение е също дали получените резултати потвърждават предварително формулираните предположения за влиянието на макроикономическите индикатори върху пазара на криптоактиви.</w:t>
      </w:r>
    </w:p>
    <w:p w14:paraId="22D631CC" w14:textId="23A3B489" w:rsidR="006E20FE" w:rsidRPr="006040D3" w:rsidRDefault="006E20FE" w:rsidP="006E20FE">
      <w:pPr>
        <w:spacing w:line="360" w:lineRule="auto"/>
        <w:ind w:firstLine="709"/>
        <w:jc w:val="both"/>
      </w:pPr>
      <w:r w:rsidRPr="006040D3">
        <w:rPr>
          <w:b/>
          <w:bCs/>
        </w:rPr>
        <w:t>3.2. Представяне и анализ на резултатите</w:t>
      </w:r>
    </w:p>
    <w:p w14:paraId="18B9A902" w14:textId="61A86D34" w:rsidR="006E20FE" w:rsidRPr="006040D3" w:rsidRDefault="00C644F0" w:rsidP="006E20FE">
      <w:pPr>
        <w:spacing w:line="360" w:lineRule="auto"/>
        <w:ind w:firstLine="709"/>
        <w:jc w:val="both"/>
      </w:pPr>
      <w:r w:rsidRPr="006040D3">
        <w:rPr>
          <w:b/>
          <w:bCs/>
          <w:i/>
          <w:iCs/>
        </w:rPr>
        <w:t xml:space="preserve">3.2.1. Влияние на </w:t>
      </w:r>
      <w:r w:rsidRPr="006040D3">
        <w:rPr>
          <w:b/>
          <w:bCs/>
          <w:i/>
          <w:iCs/>
        </w:rPr>
        <w:t>инфлацията върху доходността на биткойн</w:t>
      </w:r>
      <w:r w:rsidRPr="006040D3">
        <w:rPr>
          <w:b/>
          <w:bCs/>
          <w:i/>
          <w:iCs/>
        </w:rPr>
        <w:t xml:space="preserve"> за периода 2020-2024 г.</w:t>
      </w:r>
    </w:p>
    <w:p w14:paraId="199AA785" w14:textId="77777777" w:rsidR="00E34623" w:rsidRPr="006040D3" w:rsidRDefault="00E34623" w:rsidP="00E34623">
      <w:pPr>
        <w:spacing w:line="360" w:lineRule="auto"/>
        <w:ind w:firstLine="709"/>
        <w:jc w:val="both"/>
      </w:pPr>
      <w:r w:rsidRPr="00E34623">
        <w:t>В периода 2020–2024 г. влиянието на инфлацията върху доходността на биткойн се характеризира със сложна и променлива зависимост, която не може да бъде определена като еднозначно положителна или отрицателна. През разглеждания период се наблюдава преход от поведение на биткойн като силно спекулативен актив в условията на висока пазарна ликвидност към поведение на актив, чувствителен към ограниченията в паричното предлагане, нарастващите лихвени проценти и общото затягане на финансовите условия. Макар биткойн често да се представя като дигитален еквивалент на златото и като средство за защита срещу обезценяване на парите, реалното му пазарно представяне през този период показва, че той реагира в значителна степен не толкова на самото равнище на инфлацията, колкото на мерките на паричната политика, предприемани в отговор на инфлационния натиск.</w:t>
      </w:r>
    </w:p>
    <w:p w14:paraId="407B983A" w14:textId="0687DEE7" w:rsidR="00E34623" w:rsidRPr="006040D3" w:rsidRDefault="00E34623" w:rsidP="00E34623">
      <w:pPr>
        <w:spacing w:line="360" w:lineRule="auto"/>
        <w:ind w:firstLine="709"/>
        <w:jc w:val="both"/>
      </w:pPr>
      <w:r w:rsidRPr="006040D3">
        <w:t xml:space="preserve">Статистическите данни за периода 2020–2024 г. показват, че връзката между </w:t>
      </w:r>
      <w:r w:rsidRPr="006040D3">
        <w:lastRenderedPageBreak/>
        <w:t>инфлацията и доходността на биткойн е променлива и зависи от макроикономическата среда</w:t>
      </w:r>
      <w:r w:rsidRPr="006040D3">
        <w:t xml:space="preserve"> (Фиг. 1)</w:t>
      </w:r>
      <w:r w:rsidRPr="006040D3">
        <w:t>. В периода 2020–2021 г., характеризиращ се с нарастваща инфлация и висока ликвидност, се наблюдава значителен ръст на доходността на биткойн, достигащ над 300% през 2020 г. и около 60% през 2021 г. През 2022 г., при инфлация около 8%, доходността на биткойн е силно отрицателна (около –65%), което показва чувствителност към затягането на паричната политика</w:t>
      </w:r>
      <w:r w:rsidR="003054A7" w:rsidRPr="006040D3">
        <w:rPr>
          <w:rStyle w:val="FootnoteReference"/>
        </w:rPr>
        <w:footnoteReference w:id="43"/>
      </w:r>
      <w:r w:rsidRPr="006040D3">
        <w:t>. В следващите години, при намаляваща инфлация, отново се наблюдава възстановяване на доходността, което потвърждава, че влиянието на инфлацията върху биткойн е опосредствано от общите финансови условия.</w:t>
      </w:r>
    </w:p>
    <w:p w14:paraId="6DF41B94" w14:textId="4DE757A6" w:rsidR="00E34623" w:rsidRPr="006040D3" w:rsidRDefault="00E34623" w:rsidP="00E34623">
      <w:pPr>
        <w:spacing w:line="360" w:lineRule="auto"/>
        <w:ind w:firstLine="709"/>
        <w:jc w:val="center"/>
      </w:pPr>
      <w:r w:rsidRPr="006040D3">
        <w:drawing>
          <wp:inline distT="0" distB="0" distL="0" distR="0" wp14:anchorId="6EA8604D" wp14:editId="306C82EC">
            <wp:extent cx="4578350" cy="2755900"/>
            <wp:effectExtent l="0" t="0" r="0" b="6350"/>
            <wp:docPr id="4821205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52EC578A" w14:textId="36735653" w:rsidR="00E34623" w:rsidRPr="006040D3" w:rsidRDefault="00E34623" w:rsidP="00E34623">
      <w:pPr>
        <w:spacing w:line="360" w:lineRule="auto"/>
        <w:ind w:firstLine="709"/>
        <w:jc w:val="center"/>
      </w:pPr>
      <w:r w:rsidRPr="006040D3">
        <w:t>Фигура 1. Инфлация и доходност на биткойн за периода 2020-2024 г.</w:t>
      </w:r>
    </w:p>
    <w:p w14:paraId="7410EAE2" w14:textId="30053229" w:rsidR="002B2239" w:rsidRPr="00E34623" w:rsidRDefault="002B2239" w:rsidP="00E34623">
      <w:pPr>
        <w:spacing w:line="360" w:lineRule="auto"/>
        <w:ind w:firstLine="709"/>
        <w:jc w:val="center"/>
      </w:pPr>
      <w:r w:rsidRPr="006040D3">
        <w:t>Източн</w:t>
      </w:r>
      <w:r w:rsidR="003054A7" w:rsidRPr="006040D3">
        <w:t>и</w:t>
      </w:r>
      <w:r w:rsidRPr="006040D3">
        <w:t xml:space="preserve">к: </w:t>
      </w:r>
      <w:r w:rsidR="003054A7" w:rsidRPr="006040D3">
        <w:t>CoinMarketCap, (2025); Yahoo Finance, (2025)</w:t>
      </w:r>
      <w:r w:rsidR="003054A7" w:rsidRPr="006040D3">
        <w:t xml:space="preserve">; </w:t>
      </w:r>
      <w:r w:rsidR="003054A7" w:rsidRPr="006040D3">
        <w:t xml:space="preserve">U.S. Bureau of Labor Statistics, </w:t>
      </w:r>
      <w:r w:rsidR="003054A7" w:rsidRPr="006040D3">
        <w:t>(</w:t>
      </w:r>
      <w:r w:rsidR="003054A7" w:rsidRPr="006040D3">
        <w:t>2025)</w:t>
      </w:r>
    </w:p>
    <w:p w14:paraId="5D19540F" w14:textId="4CC58021" w:rsidR="00E34623" w:rsidRPr="00E34623" w:rsidRDefault="00E34623" w:rsidP="00E34623">
      <w:pPr>
        <w:spacing w:line="360" w:lineRule="auto"/>
        <w:ind w:firstLine="709"/>
        <w:jc w:val="both"/>
      </w:pPr>
      <w:r w:rsidRPr="00E34623">
        <w:t xml:space="preserve">В първия подетап, обхващащ 2020–2021 г., въздействието на инфлацията върху доходността на биткойн може да се разглежда като относително благоприятно. След началото на пандемичната криза водещите централни банки и правителства прилагат </w:t>
      </w:r>
      <w:r w:rsidRPr="00E34623">
        <w:lastRenderedPageBreak/>
        <w:t>мащабни стимулиращи мерки, включващи увеличаване на паричното предлагане, ниски лихвени проценти и значителна подкрепа за икономическата активност. В резултат на това започват да нарастват както реалната инфлация, така и очакванията за бъдещо обезценяване на парите. При тези условия инвеститорите засилват интереса си към алтернативни активи, които биха могли да запазят стойността си в среда на отслабваща покупателна способност на традиционните валути. В този контекст биткойн се възприема като възможен инструмент за съхраняване на стойност, което допринася за рязко повишаване на неговата цена</w:t>
      </w:r>
      <w:r w:rsidR="003054A7" w:rsidRPr="006040D3">
        <w:rPr>
          <w:rStyle w:val="FootnoteReference"/>
        </w:rPr>
        <w:footnoteReference w:id="44"/>
      </w:r>
      <w:r w:rsidRPr="00E34623">
        <w:t>. Така през този етап може да се говори за наличие на положителна връзка между инфлационните процеси и доходността на биткойн, но тази връзка е обусловена и от изключително високата ликвидност на финансовите пазари.</w:t>
      </w:r>
    </w:p>
    <w:p w14:paraId="2FBAACE0" w14:textId="4EBCC21D" w:rsidR="00E34623" w:rsidRPr="00E34623" w:rsidRDefault="00E34623" w:rsidP="00E34623">
      <w:pPr>
        <w:spacing w:line="360" w:lineRule="auto"/>
        <w:ind w:firstLine="709"/>
        <w:jc w:val="both"/>
      </w:pPr>
      <w:r w:rsidRPr="00E34623">
        <w:t>През 2022–2023 г. се наблюдава съществена промяна в характера на тази зависимост. Ускоряването на инфлацията принуждава централните банки, и по-специално централната банка на Съединените американски щати, да преминат към по-строга парична политика чрез значително повишаване на основните лихвени проценти. Това води до ограничаване на ликвидността, поскъпване на кредита и намаляване на склонността към инвестиране в рискови активи</w:t>
      </w:r>
      <w:r w:rsidR="003054A7" w:rsidRPr="006040D3">
        <w:rPr>
          <w:rStyle w:val="FootnoteReference"/>
        </w:rPr>
        <w:footnoteReference w:id="45"/>
      </w:r>
      <w:r w:rsidRPr="00E34623">
        <w:t>. При тези условия биткойн не успява да изпълнява стабилно ролята на защита срещу инфлация. Вместо това той реагира по начин, сходен с други високорискови активи, като понася значителни спадове в стойността си. Това показва, че през този период инфлацията сама по себе си не подкрепя доходността на биткойн, а обратното – чрез предизвиканото от нея затягане на паричната политика се създават неблагоприятни условия за неговото представяне.</w:t>
      </w:r>
    </w:p>
    <w:p w14:paraId="5D59475F" w14:textId="77777777" w:rsidR="003054A7" w:rsidRPr="006040D3" w:rsidRDefault="00E34623" w:rsidP="00E34623">
      <w:pPr>
        <w:spacing w:line="360" w:lineRule="auto"/>
        <w:ind w:firstLine="709"/>
        <w:jc w:val="both"/>
      </w:pPr>
      <w:r w:rsidRPr="00E34623">
        <w:t>През 2023–2024 г. пазарната динамика отново се променя. Намаляването на инфлационния натиск и появата на очаквания за по-умерена парична политика започват постепенно да подобряват нагласите на инвеститорите</w:t>
      </w:r>
      <w:r w:rsidR="003054A7" w:rsidRPr="006040D3">
        <w:rPr>
          <w:rStyle w:val="FootnoteReference"/>
        </w:rPr>
        <w:footnoteReference w:id="46"/>
      </w:r>
      <w:r w:rsidRPr="00E34623">
        <w:t xml:space="preserve">. Това създава условия за </w:t>
      </w:r>
      <w:r w:rsidRPr="00E34623">
        <w:lastRenderedPageBreak/>
        <w:t xml:space="preserve">възстановяване на интереса към биткойн и за ново нарастване на неговата доходност. </w:t>
      </w:r>
    </w:p>
    <w:p w14:paraId="1720B491" w14:textId="5CBBD49F" w:rsidR="009C5290" w:rsidRPr="006040D3" w:rsidRDefault="003054A7" w:rsidP="00E34623">
      <w:pPr>
        <w:spacing w:line="360" w:lineRule="auto"/>
        <w:ind w:firstLine="709"/>
        <w:jc w:val="both"/>
      </w:pPr>
      <w:r w:rsidRPr="006040D3">
        <w:t>Към макроикономическите фактори през периода 2023–2024 г. се добавят и редица специфични събития, свързани с пазара на криптоактиви, които оказват съществено влияние върху повишаването на цената на биткойн. На първо място, важно значение има одобрението през 2024 г. на борсово търгувани фондове, базирани на биткойн, от страна на U.S. Securities and Exchange Commission, което улеснява достъпа на институционални инвеститори до този актив и води до значително нарастване на търсенето</w:t>
      </w:r>
      <w:r w:rsidR="009C5290" w:rsidRPr="006040D3">
        <w:rPr>
          <w:rStyle w:val="FootnoteReference"/>
        </w:rPr>
        <w:footnoteReference w:id="47"/>
      </w:r>
      <w:r w:rsidRPr="006040D3">
        <w:t xml:space="preserve">. </w:t>
      </w:r>
    </w:p>
    <w:p w14:paraId="2786D6A8" w14:textId="594D52E9" w:rsidR="00E34623" w:rsidRPr="006040D3" w:rsidRDefault="009C5290" w:rsidP="00E34623">
      <w:pPr>
        <w:spacing w:line="360" w:lineRule="auto"/>
        <w:ind w:firstLine="709"/>
        <w:jc w:val="both"/>
      </w:pPr>
      <w:r w:rsidRPr="006040D3">
        <w:t xml:space="preserve">Настъпването на </w:t>
      </w:r>
      <w:r w:rsidR="003054A7" w:rsidRPr="006040D3">
        <w:t>„халвинг“ през 2024 г., при което възнаграждението за създаване на нови блокове в мрежата се намалява наполовина, води до ограничаване на новото предлагане на биткойн и засилва неговия дефицитен характер</w:t>
      </w:r>
      <w:r w:rsidRPr="006040D3">
        <w:rPr>
          <w:rStyle w:val="FootnoteReference"/>
        </w:rPr>
        <w:footnoteReference w:id="48"/>
      </w:r>
      <w:r w:rsidR="003054A7" w:rsidRPr="006040D3">
        <w:t>. Това създава натиск за повишаване на цената при наличие на стабилно или нарастващо търсене. Допълнително влияние оказва и засилването на институционалното участие на финансови компании и инвестиционни фондове, което повишава доверието към криптоактивите като инвестиционен инструмент. В съвкупност тези фактори допринасят за възходящото движение на цената на биткойн през разглеждания период, като усилват ефекта от подобряващата се макроикономическа среда.</w:t>
      </w:r>
      <w:r w:rsidR="003054A7" w:rsidRPr="006040D3">
        <w:t xml:space="preserve"> </w:t>
      </w:r>
      <w:r w:rsidR="00E34623" w:rsidRPr="00E34623">
        <w:t>Следователно в този етап доходността на биткойн се повишава не толкова поради високата инфлация, колкото поради отслабването на инфлационния натиск и свързаните с това по-благоприятни очаквания за финансовата среда.</w:t>
      </w:r>
    </w:p>
    <w:p w14:paraId="6FBF00D3" w14:textId="1BBA9AA8" w:rsidR="002B2239" w:rsidRPr="006040D3" w:rsidRDefault="002B2239" w:rsidP="002B2239">
      <w:pPr>
        <w:spacing w:line="360" w:lineRule="auto"/>
        <w:ind w:firstLine="709"/>
        <w:jc w:val="both"/>
      </w:pPr>
      <w:r w:rsidRPr="002B2239">
        <w:t>Резултатите</w:t>
      </w:r>
      <w:r w:rsidRPr="006040D3">
        <w:t xml:space="preserve"> от изследването</w:t>
      </w:r>
      <w:r w:rsidRPr="002B2239">
        <w:t xml:space="preserve"> показват ясно изразена обратна зависимост между разглежданите променливи. При най-ниското равнище на инфлация (1.2% през 2020 г.) се отчита изключително висока доходност на биткойн (300%). С увеличаването на инфлацията до 4.7% през 2021 г. доходността намалява до 60%, а при достигане на максималната стойност на инфлацията от 8% през 2022 г. се наблюдава отрицателна доходност (–65%). В следващите години, при понижаване на инфлацията до 4.1% през 2023 г. и 3.2% през 2024 г., доходността на биткойн отново се повишава съответно до 150% </w:t>
      </w:r>
      <w:r w:rsidRPr="002B2239">
        <w:lastRenderedPageBreak/>
        <w:t>и 80%</w:t>
      </w:r>
      <w:r w:rsidRPr="006040D3">
        <w:t xml:space="preserve"> (Фиг. 2).</w:t>
      </w:r>
    </w:p>
    <w:p w14:paraId="0A204B52" w14:textId="11BF168E" w:rsidR="002B2239" w:rsidRPr="006040D3" w:rsidRDefault="002B2239" w:rsidP="002B2239">
      <w:pPr>
        <w:spacing w:line="360" w:lineRule="auto"/>
        <w:ind w:firstLine="709"/>
        <w:jc w:val="center"/>
      </w:pPr>
      <w:r w:rsidRPr="006040D3">
        <w:drawing>
          <wp:inline distT="0" distB="0" distL="0" distR="0" wp14:anchorId="202AF79C" wp14:editId="2C2E92B6">
            <wp:extent cx="4578350" cy="2755900"/>
            <wp:effectExtent l="0" t="0" r="0" b="6350"/>
            <wp:docPr id="1983311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67397C78" w14:textId="2E2E12B2" w:rsidR="002B2239" w:rsidRPr="006040D3" w:rsidRDefault="002B2239" w:rsidP="002B2239">
      <w:pPr>
        <w:spacing w:line="360" w:lineRule="auto"/>
        <w:ind w:firstLine="709"/>
        <w:jc w:val="center"/>
      </w:pPr>
      <w:r w:rsidRPr="006040D3">
        <w:t>Фигура 2. Корелация между доходността на биткойн за периода 2020-2024 г.</w:t>
      </w:r>
    </w:p>
    <w:p w14:paraId="20E27EF6" w14:textId="4BA1D0CF" w:rsidR="002B2239" w:rsidRPr="002B2239" w:rsidRDefault="002B2239" w:rsidP="002B2239">
      <w:pPr>
        <w:spacing w:line="360" w:lineRule="auto"/>
        <w:ind w:firstLine="709"/>
        <w:jc w:val="center"/>
      </w:pPr>
      <w:r w:rsidRPr="006040D3">
        <w:t xml:space="preserve">Източник: </w:t>
      </w:r>
      <w:r w:rsidR="003054A7" w:rsidRPr="006040D3">
        <w:t>CoinMarketCap</w:t>
      </w:r>
      <w:r w:rsidR="003054A7" w:rsidRPr="006040D3">
        <w:t>,</w:t>
      </w:r>
      <w:r w:rsidR="003054A7" w:rsidRPr="006040D3">
        <w:t xml:space="preserve"> (2025)</w:t>
      </w:r>
      <w:r w:rsidR="003054A7" w:rsidRPr="006040D3">
        <w:t xml:space="preserve">; </w:t>
      </w:r>
      <w:r w:rsidR="003054A7" w:rsidRPr="006040D3">
        <w:t>Yahoo Finance</w:t>
      </w:r>
      <w:r w:rsidR="003054A7" w:rsidRPr="006040D3">
        <w:t>,</w:t>
      </w:r>
      <w:r w:rsidR="003054A7" w:rsidRPr="006040D3">
        <w:t xml:space="preserve"> (2025)</w:t>
      </w:r>
      <w:r w:rsidR="003054A7" w:rsidRPr="006040D3">
        <w:t xml:space="preserve">; </w:t>
      </w:r>
      <w:r w:rsidR="003054A7" w:rsidRPr="006040D3">
        <w:t xml:space="preserve">U.S. Bureau of Labor Statistics, </w:t>
      </w:r>
      <w:r w:rsidR="003054A7" w:rsidRPr="006040D3">
        <w:t>(</w:t>
      </w:r>
      <w:r w:rsidR="003054A7" w:rsidRPr="006040D3">
        <w:t>2025)</w:t>
      </w:r>
    </w:p>
    <w:p w14:paraId="0D8F7FC3" w14:textId="77777777" w:rsidR="002B2239" w:rsidRPr="002B2239" w:rsidRDefault="002B2239" w:rsidP="002B2239">
      <w:pPr>
        <w:spacing w:line="360" w:lineRule="auto"/>
        <w:ind w:firstLine="709"/>
        <w:jc w:val="both"/>
      </w:pPr>
      <w:r w:rsidRPr="002B2239">
        <w:t>Изчисленият коефициент на корелация между инфлацията и доходността на биткойн е –0.927, което свидетелства за много силна отрицателна линейна зависимост между двете променливи в рамките на изследвания период. Това означава, че нарастването на инфлацията е съпроводено със значително понижение на доходността на биткойн, докато при намаляване на инфлацията се наблюдава възстановяване и повишаване на доходността.</w:t>
      </w:r>
    </w:p>
    <w:p w14:paraId="55251EE6" w14:textId="77777777" w:rsidR="002B2239" w:rsidRPr="002B2239" w:rsidRDefault="002B2239" w:rsidP="002B2239">
      <w:pPr>
        <w:spacing w:line="360" w:lineRule="auto"/>
        <w:ind w:firstLine="709"/>
        <w:jc w:val="both"/>
      </w:pPr>
      <w:r w:rsidRPr="002B2239">
        <w:t>Получените резултати показват, че в разглеждания период биткойн не функционира като ефективен инструмент за защита срещу инфлация. Напротив, неговата доходност се понижава именно в условията на висока инфлация, което може да се обясни с влиянието на съпътстващите макроикономически фактори, най-вече затягането на паричната политика и ограничаването на ликвидността на финансовите пазари.</w:t>
      </w:r>
    </w:p>
    <w:p w14:paraId="0C1F4D34" w14:textId="77777777" w:rsidR="002B2239" w:rsidRPr="006040D3" w:rsidRDefault="002B2239" w:rsidP="002B2239">
      <w:pPr>
        <w:spacing w:line="360" w:lineRule="auto"/>
        <w:ind w:firstLine="709"/>
        <w:jc w:val="both"/>
      </w:pPr>
      <w:r w:rsidRPr="002B2239">
        <w:t xml:space="preserve">Въпреки ясно изразената зависимост, следва да се отчете, че анализът се основава на ограничен брой наблюдения, което налага внимателна интерпретация на резултатите. Въпреки това, високата стойност на коефициента на корелация показва, че в рамките на разглеждания период съществува силна и устойчива отрицателна връзка между инфлацията и доходността на биткойн, която е в съответствие с наблюдаваните пазарни </w:t>
      </w:r>
      <w:r w:rsidRPr="002B2239">
        <w:lastRenderedPageBreak/>
        <w:t>тенденции.</w:t>
      </w:r>
    </w:p>
    <w:p w14:paraId="132F3A38" w14:textId="750CC40C" w:rsidR="009C5290" w:rsidRPr="006040D3" w:rsidRDefault="00790332" w:rsidP="002B2239">
      <w:pPr>
        <w:spacing w:line="360" w:lineRule="auto"/>
        <w:ind w:firstLine="709"/>
        <w:jc w:val="both"/>
      </w:pPr>
      <w:r w:rsidRPr="006040D3">
        <w:t xml:space="preserve">Резултатите от линейния регресионен </w:t>
      </w:r>
      <w:r w:rsidRPr="006040D3">
        <w:t>анализ</w:t>
      </w:r>
      <w:r w:rsidRPr="006040D3">
        <w:t xml:space="preserve"> показват наличие на силна отрицателна зависимост между инфлацията и доходността на биткойн. Коефициентът пред инфлацията е отрицателен (–49.94), което означава, че при увеличение на инфлацията с един процентен пункт доходността на биткойн намалява средно с приблизително 49.94 процентни пункта. Високата стойност на коефициента на детерминация (0.860) показва, че значителна част от вариацията в зависимата променлива се обяснява от модела. Получените резултати са статистически значими при стандартно ниво на значимост, което потвърждава наличието на съществена връзка между разглежданите променлив</w:t>
      </w:r>
      <w:r w:rsidRPr="006040D3">
        <w:t xml:space="preserve">и (Табл. </w:t>
      </w:r>
      <w:r w:rsidR="00D070DD">
        <w:t>3</w:t>
      </w:r>
      <w:r w:rsidRPr="006040D3">
        <w:t>).</w:t>
      </w:r>
    </w:p>
    <w:p w14:paraId="4830BA2A" w14:textId="7FC9075B" w:rsidR="00790332" w:rsidRPr="006040D3" w:rsidRDefault="00790332" w:rsidP="00790332">
      <w:pPr>
        <w:spacing w:line="360" w:lineRule="auto"/>
        <w:ind w:firstLine="709"/>
        <w:jc w:val="center"/>
      </w:pPr>
      <w:r w:rsidRPr="006040D3">
        <w:t xml:space="preserve">Таблица </w:t>
      </w:r>
      <w:r w:rsidR="00D070DD">
        <w:t>3</w:t>
      </w:r>
      <w:r w:rsidRPr="006040D3">
        <w:t>. Резултати от линейния регресионен анализ</w:t>
      </w:r>
      <w:r w:rsidR="00D070DD">
        <w:t xml:space="preserve"> (инфлация/доходност на биткойн)</w:t>
      </w:r>
    </w:p>
    <w:tbl>
      <w:tblPr>
        <w:tblStyle w:val="TableGrid"/>
        <w:tblW w:w="5000" w:type="pct"/>
        <w:tblLook w:val="04A0" w:firstRow="1" w:lastRow="0" w:firstColumn="1" w:lastColumn="0" w:noHBand="0" w:noVBand="1"/>
      </w:tblPr>
      <w:tblGrid>
        <w:gridCol w:w="6895"/>
        <w:gridCol w:w="2308"/>
      </w:tblGrid>
      <w:tr w:rsidR="00790332" w:rsidRPr="00790332" w14:paraId="70FF22D5" w14:textId="77777777" w:rsidTr="00790332">
        <w:tc>
          <w:tcPr>
            <w:tcW w:w="3746" w:type="pct"/>
            <w:hideMark/>
          </w:tcPr>
          <w:p w14:paraId="61A38AA6" w14:textId="77777777" w:rsidR="00790332" w:rsidRPr="00790332" w:rsidRDefault="00790332" w:rsidP="00790332">
            <w:pPr>
              <w:widowControl/>
              <w:suppressAutoHyphens w:val="0"/>
              <w:jc w:val="center"/>
              <w:rPr>
                <w:b/>
                <w:bCs/>
                <w:kern w:val="0"/>
                <w:lang w:eastAsia="en-GB"/>
              </w:rPr>
            </w:pPr>
            <w:r w:rsidRPr="00790332">
              <w:rPr>
                <w:b/>
                <w:bCs/>
                <w:kern w:val="0"/>
                <w:lang w:eastAsia="en-GB"/>
              </w:rPr>
              <w:t>Показател</w:t>
            </w:r>
          </w:p>
        </w:tc>
        <w:tc>
          <w:tcPr>
            <w:tcW w:w="1254" w:type="pct"/>
            <w:hideMark/>
          </w:tcPr>
          <w:p w14:paraId="5A0AF252" w14:textId="77777777" w:rsidR="00790332" w:rsidRPr="00790332" w:rsidRDefault="00790332" w:rsidP="00790332">
            <w:pPr>
              <w:widowControl/>
              <w:suppressAutoHyphens w:val="0"/>
              <w:jc w:val="center"/>
              <w:rPr>
                <w:b/>
                <w:bCs/>
                <w:kern w:val="0"/>
                <w:lang w:eastAsia="en-GB"/>
              </w:rPr>
            </w:pPr>
            <w:r w:rsidRPr="00790332">
              <w:rPr>
                <w:b/>
                <w:bCs/>
                <w:kern w:val="0"/>
                <w:lang w:eastAsia="en-GB"/>
              </w:rPr>
              <w:t>Стойност</w:t>
            </w:r>
          </w:p>
        </w:tc>
      </w:tr>
      <w:tr w:rsidR="00790332" w:rsidRPr="00790332" w14:paraId="3AE0D100" w14:textId="77777777" w:rsidTr="00790332">
        <w:tc>
          <w:tcPr>
            <w:tcW w:w="3746" w:type="pct"/>
            <w:hideMark/>
          </w:tcPr>
          <w:p w14:paraId="06E82691" w14:textId="77777777" w:rsidR="00790332" w:rsidRPr="00790332" w:rsidRDefault="00790332" w:rsidP="00790332">
            <w:pPr>
              <w:widowControl/>
              <w:suppressAutoHyphens w:val="0"/>
              <w:rPr>
                <w:kern w:val="0"/>
                <w:lang w:eastAsia="en-GB"/>
              </w:rPr>
            </w:pPr>
            <w:r w:rsidRPr="00790332">
              <w:rPr>
                <w:kern w:val="0"/>
                <w:lang w:eastAsia="en-GB"/>
              </w:rPr>
              <w:t>Константа (α)</w:t>
            </w:r>
          </w:p>
        </w:tc>
        <w:tc>
          <w:tcPr>
            <w:tcW w:w="1254" w:type="pct"/>
            <w:hideMark/>
          </w:tcPr>
          <w:p w14:paraId="131C2C6B" w14:textId="77777777" w:rsidR="00790332" w:rsidRPr="00790332" w:rsidRDefault="00790332" w:rsidP="00790332">
            <w:pPr>
              <w:widowControl/>
              <w:suppressAutoHyphens w:val="0"/>
              <w:rPr>
                <w:kern w:val="0"/>
                <w:lang w:eastAsia="en-GB"/>
              </w:rPr>
            </w:pPr>
            <w:r w:rsidRPr="00790332">
              <w:rPr>
                <w:kern w:val="0"/>
                <w:lang w:eastAsia="en-GB"/>
              </w:rPr>
              <w:t>316.73</w:t>
            </w:r>
          </w:p>
        </w:tc>
      </w:tr>
      <w:tr w:rsidR="00790332" w:rsidRPr="00790332" w14:paraId="6704700C" w14:textId="77777777" w:rsidTr="00790332">
        <w:tc>
          <w:tcPr>
            <w:tcW w:w="3746" w:type="pct"/>
            <w:hideMark/>
          </w:tcPr>
          <w:p w14:paraId="5DBEB574" w14:textId="77777777" w:rsidR="00790332" w:rsidRPr="00790332" w:rsidRDefault="00790332" w:rsidP="00790332">
            <w:pPr>
              <w:widowControl/>
              <w:suppressAutoHyphens w:val="0"/>
              <w:rPr>
                <w:kern w:val="0"/>
                <w:lang w:eastAsia="en-GB"/>
              </w:rPr>
            </w:pPr>
            <w:r w:rsidRPr="00790332">
              <w:rPr>
                <w:kern w:val="0"/>
                <w:lang w:eastAsia="en-GB"/>
              </w:rPr>
              <w:t>Коефициент пред инфлацията (β₁)</w:t>
            </w:r>
          </w:p>
        </w:tc>
        <w:tc>
          <w:tcPr>
            <w:tcW w:w="1254" w:type="pct"/>
            <w:hideMark/>
          </w:tcPr>
          <w:p w14:paraId="784415C7" w14:textId="77777777" w:rsidR="00790332" w:rsidRPr="00790332" w:rsidRDefault="00790332" w:rsidP="00790332">
            <w:pPr>
              <w:widowControl/>
              <w:suppressAutoHyphens w:val="0"/>
              <w:rPr>
                <w:kern w:val="0"/>
                <w:lang w:eastAsia="en-GB"/>
              </w:rPr>
            </w:pPr>
            <w:r w:rsidRPr="00790332">
              <w:rPr>
                <w:kern w:val="0"/>
                <w:lang w:eastAsia="en-GB"/>
              </w:rPr>
              <w:t>–49.94</w:t>
            </w:r>
          </w:p>
        </w:tc>
      </w:tr>
      <w:tr w:rsidR="00790332" w:rsidRPr="00790332" w14:paraId="4FBBB5A5" w14:textId="77777777" w:rsidTr="00790332">
        <w:tc>
          <w:tcPr>
            <w:tcW w:w="3746" w:type="pct"/>
            <w:hideMark/>
          </w:tcPr>
          <w:p w14:paraId="304B66D5" w14:textId="77777777" w:rsidR="00790332" w:rsidRPr="00790332" w:rsidRDefault="00790332" w:rsidP="00790332">
            <w:pPr>
              <w:widowControl/>
              <w:suppressAutoHyphens w:val="0"/>
              <w:rPr>
                <w:kern w:val="0"/>
                <w:lang w:eastAsia="en-GB"/>
              </w:rPr>
            </w:pPr>
            <w:r w:rsidRPr="00790332">
              <w:rPr>
                <w:kern w:val="0"/>
                <w:lang w:eastAsia="en-GB"/>
              </w:rPr>
              <w:t>Коефициент на корелация (R)</w:t>
            </w:r>
          </w:p>
        </w:tc>
        <w:tc>
          <w:tcPr>
            <w:tcW w:w="1254" w:type="pct"/>
            <w:hideMark/>
          </w:tcPr>
          <w:p w14:paraId="57B4D77D" w14:textId="77777777" w:rsidR="00790332" w:rsidRPr="00790332" w:rsidRDefault="00790332" w:rsidP="00790332">
            <w:pPr>
              <w:widowControl/>
              <w:suppressAutoHyphens w:val="0"/>
              <w:rPr>
                <w:kern w:val="0"/>
                <w:lang w:eastAsia="en-GB"/>
              </w:rPr>
            </w:pPr>
            <w:r w:rsidRPr="00790332">
              <w:rPr>
                <w:kern w:val="0"/>
                <w:lang w:eastAsia="en-GB"/>
              </w:rPr>
              <w:t>–0.927</w:t>
            </w:r>
          </w:p>
        </w:tc>
      </w:tr>
      <w:tr w:rsidR="00790332" w:rsidRPr="00790332" w14:paraId="38C03B86" w14:textId="77777777" w:rsidTr="00790332">
        <w:tc>
          <w:tcPr>
            <w:tcW w:w="3746" w:type="pct"/>
            <w:hideMark/>
          </w:tcPr>
          <w:p w14:paraId="6F344F9C" w14:textId="77777777" w:rsidR="00790332" w:rsidRPr="00790332" w:rsidRDefault="00790332" w:rsidP="00790332">
            <w:pPr>
              <w:widowControl/>
              <w:suppressAutoHyphens w:val="0"/>
              <w:rPr>
                <w:kern w:val="0"/>
                <w:lang w:eastAsia="en-GB"/>
              </w:rPr>
            </w:pPr>
            <w:r w:rsidRPr="00790332">
              <w:rPr>
                <w:kern w:val="0"/>
                <w:lang w:eastAsia="en-GB"/>
              </w:rPr>
              <w:t>Коефициент на детерминация (R²)</w:t>
            </w:r>
          </w:p>
        </w:tc>
        <w:tc>
          <w:tcPr>
            <w:tcW w:w="1254" w:type="pct"/>
            <w:hideMark/>
          </w:tcPr>
          <w:p w14:paraId="44DEF740" w14:textId="77777777" w:rsidR="00790332" w:rsidRPr="00790332" w:rsidRDefault="00790332" w:rsidP="00790332">
            <w:pPr>
              <w:widowControl/>
              <w:suppressAutoHyphens w:val="0"/>
              <w:rPr>
                <w:kern w:val="0"/>
                <w:lang w:eastAsia="en-GB"/>
              </w:rPr>
            </w:pPr>
            <w:r w:rsidRPr="00790332">
              <w:rPr>
                <w:kern w:val="0"/>
                <w:lang w:eastAsia="en-GB"/>
              </w:rPr>
              <w:t>0.860</w:t>
            </w:r>
          </w:p>
        </w:tc>
      </w:tr>
      <w:tr w:rsidR="00790332" w:rsidRPr="00790332" w14:paraId="26BD99D2" w14:textId="77777777" w:rsidTr="00790332">
        <w:tc>
          <w:tcPr>
            <w:tcW w:w="3746" w:type="pct"/>
            <w:hideMark/>
          </w:tcPr>
          <w:p w14:paraId="41B86563" w14:textId="77777777" w:rsidR="00790332" w:rsidRPr="00790332" w:rsidRDefault="00790332" w:rsidP="00790332">
            <w:pPr>
              <w:widowControl/>
              <w:suppressAutoHyphens w:val="0"/>
              <w:rPr>
                <w:kern w:val="0"/>
                <w:lang w:eastAsia="en-GB"/>
              </w:rPr>
            </w:pPr>
            <w:r w:rsidRPr="00790332">
              <w:rPr>
                <w:kern w:val="0"/>
                <w:lang w:eastAsia="en-GB"/>
              </w:rPr>
              <w:t>Статистика (t)</w:t>
            </w:r>
          </w:p>
        </w:tc>
        <w:tc>
          <w:tcPr>
            <w:tcW w:w="1254" w:type="pct"/>
            <w:hideMark/>
          </w:tcPr>
          <w:p w14:paraId="5A165B68" w14:textId="77777777" w:rsidR="00790332" w:rsidRPr="00790332" w:rsidRDefault="00790332" w:rsidP="00790332">
            <w:pPr>
              <w:widowControl/>
              <w:suppressAutoHyphens w:val="0"/>
              <w:rPr>
                <w:kern w:val="0"/>
                <w:lang w:eastAsia="en-GB"/>
              </w:rPr>
            </w:pPr>
            <w:r w:rsidRPr="00790332">
              <w:rPr>
                <w:kern w:val="0"/>
                <w:lang w:eastAsia="en-GB"/>
              </w:rPr>
              <w:t>–4.29</w:t>
            </w:r>
          </w:p>
        </w:tc>
      </w:tr>
      <w:tr w:rsidR="00790332" w:rsidRPr="00790332" w14:paraId="210FA650" w14:textId="77777777" w:rsidTr="00790332">
        <w:tc>
          <w:tcPr>
            <w:tcW w:w="3746" w:type="pct"/>
            <w:hideMark/>
          </w:tcPr>
          <w:p w14:paraId="52C2DC7D" w14:textId="77777777" w:rsidR="00790332" w:rsidRPr="00790332" w:rsidRDefault="00790332" w:rsidP="00790332">
            <w:pPr>
              <w:widowControl/>
              <w:suppressAutoHyphens w:val="0"/>
              <w:rPr>
                <w:kern w:val="0"/>
                <w:lang w:eastAsia="en-GB"/>
              </w:rPr>
            </w:pPr>
            <w:r w:rsidRPr="00790332">
              <w:rPr>
                <w:kern w:val="0"/>
                <w:lang w:eastAsia="en-GB"/>
              </w:rPr>
              <w:t>Равнище на значимост (p-value)</w:t>
            </w:r>
          </w:p>
        </w:tc>
        <w:tc>
          <w:tcPr>
            <w:tcW w:w="1254" w:type="pct"/>
            <w:hideMark/>
          </w:tcPr>
          <w:p w14:paraId="18918107" w14:textId="77777777" w:rsidR="00790332" w:rsidRPr="00790332" w:rsidRDefault="00790332" w:rsidP="00790332">
            <w:pPr>
              <w:widowControl/>
              <w:suppressAutoHyphens w:val="0"/>
              <w:rPr>
                <w:kern w:val="0"/>
                <w:lang w:eastAsia="en-GB"/>
              </w:rPr>
            </w:pPr>
            <w:r w:rsidRPr="00790332">
              <w:rPr>
                <w:kern w:val="0"/>
                <w:lang w:eastAsia="en-GB"/>
              </w:rPr>
              <w:t>0.023</w:t>
            </w:r>
          </w:p>
        </w:tc>
      </w:tr>
      <w:tr w:rsidR="00790332" w:rsidRPr="00790332" w14:paraId="6E3D0DEA" w14:textId="77777777" w:rsidTr="00790332">
        <w:tc>
          <w:tcPr>
            <w:tcW w:w="3746" w:type="pct"/>
            <w:hideMark/>
          </w:tcPr>
          <w:p w14:paraId="706C0A73" w14:textId="77777777" w:rsidR="00790332" w:rsidRPr="00790332" w:rsidRDefault="00790332" w:rsidP="00790332">
            <w:pPr>
              <w:widowControl/>
              <w:suppressAutoHyphens w:val="0"/>
              <w:rPr>
                <w:kern w:val="0"/>
                <w:lang w:eastAsia="en-GB"/>
              </w:rPr>
            </w:pPr>
            <w:r w:rsidRPr="00790332">
              <w:rPr>
                <w:kern w:val="0"/>
                <w:lang w:eastAsia="en-GB"/>
              </w:rPr>
              <w:t>Брой наблюдения (n)</w:t>
            </w:r>
          </w:p>
        </w:tc>
        <w:tc>
          <w:tcPr>
            <w:tcW w:w="1254" w:type="pct"/>
            <w:hideMark/>
          </w:tcPr>
          <w:p w14:paraId="7BD9D13D" w14:textId="77777777" w:rsidR="00790332" w:rsidRPr="00790332" w:rsidRDefault="00790332" w:rsidP="00790332">
            <w:pPr>
              <w:widowControl/>
              <w:suppressAutoHyphens w:val="0"/>
              <w:rPr>
                <w:kern w:val="0"/>
                <w:lang w:eastAsia="en-GB"/>
              </w:rPr>
            </w:pPr>
            <w:r w:rsidRPr="00790332">
              <w:rPr>
                <w:kern w:val="0"/>
                <w:lang w:eastAsia="en-GB"/>
              </w:rPr>
              <w:t>5</w:t>
            </w:r>
          </w:p>
        </w:tc>
      </w:tr>
    </w:tbl>
    <w:p w14:paraId="1D8879B6" w14:textId="77777777" w:rsidR="00790332" w:rsidRPr="002B2239" w:rsidRDefault="00790332" w:rsidP="00790332">
      <w:pPr>
        <w:spacing w:line="360" w:lineRule="auto"/>
        <w:ind w:firstLine="709"/>
        <w:jc w:val="both"/>
      </w:pPr>
    </w:p>
    <w:p w14:paraId="7AE5B73B" w14:textId="77777777" w:rsidR="00E34623" w:rsidRPr="00E34623" w:rsidRDefault="00E34623" w:rsidP="00E34623">
      <w:pPr>
        <w:spacing w:line="360" w:lineRule="auto"/>
        <w:ind w:firstLine="709"/>
        <w:jc w:val="both"/>
      </w:pPr>
      <w:r w:rsidRPr="00E34623">
        <w:t>От гледна точка на целия период 2020–2024 г. може да се направи изводът, че биткойн запазва определени характеристики на актив с ограничено предлагане, което теоретично би могло да го прави подходящ за съхраняване на стойност. Независимо от това, емпиричните данни показват, че неговата доходност е силно променлива и зависи в много по-голяма степен от общите финансови условия, отколкото единствено от инфлацията. Това означава, че през разглеждания период биткойн не функционира като постоянна и надеждна защита срещу инфлация. Неговото поведение е по-скоро характерно за актив с висока степен на риск и с възможност както за значителна доходност, така и за сериозни загуби в условията на ограничена ликвидност и повишени лихвени равнища.</w:t>
      </w:r>
    </w:p>
    <w:p w14:paraId="59B34838" w14:textId="4CB5BA09" w:rsidR="00E34623" w:rsidRPr="00E34623" w:rsidRDefault="00E34623" w:rsidP="00E34623">
      <w:pPr>
        <w:spacing w:line="360" w:lineRule="auto"/>
        <w:ind w:firstLine="709"/>
        <w:jc w:val="both"/>
      </w:pPr>
      <w:r w:rsidRPr="006040D3">
        <w:t>В</w:t>
      </w:r>
      <w:r w:rsidRPr="00E34623">
        <w:t xml:space="preserve">лиянието на инфлацията върху доходността на биткойн през периода 2020–2024 г. е опосредствано и контекстуално обусловено. Когато инфлацията е съпроводена от силна ликвидна подкрепа и стимулираща парична политика, въздействието върху доходността на биткойн е положително. Когато обаче високата инфлация води до повишаване на </w:t>
      </w:r>
      <w:r w:rsidRPr="00E34623">
        <w:lastRenderedPageBreak/>
        <w:t>лихвените проценти и ограничаване на ликвидността, влиянието става отрицателно. Поради това е по-точно да се приеме, че инфлацията не влияе пряко и самостоятелно върху доходността на биткойн, а чрез по-широкия механизъм на паричната политика, инвестиционните нагласи и общото състояние на финансовите пазари.</w:t>
      </w:r>
    </w:p>
    <w:p w14:paraId="115F1AA8" w14:textId="374F2B60" w:rsidR="00C644F0" w:rsidRPr="006040D3" w:rsidRDefault="00C644F0" w:rsidP="006E20FE">
      <w:pPr>
        <w:spacing w:line="360" w:lineRule="auto"/>
        <w:ind w:firstLine="709"/>
        <w:jc w:val="both"/>
      </w:pPr>
      <w:r w:rsidRPr="006040D3">
        <w:rPr>
          <w:b/>
          <w:bCs/>
          <w:i/>
          <w:iCs/>
        </w:rPr>
        <w:t xml:space="preserve">3.2.2. Влияние на промените в основния </w:t>
      </w:r>
      <w:r w:rsidRPr="006040D3">
        <w:rPr>
          <w:b/>
          <w:bCs/>
          <w:i/>
          <w:iCs/>
        </w:rPr>
        <w:t>лихвен процент</w:t>
      </w:r>
      <w:r w:rsidRPr="006040D3">
        <w:rPr>
          <w:b/>
          <w:bCs/>
          <w:i/>
          <w:iCs/>
        </w:rPr>
        <w:t xml:space="preserve"> </w:t>
      </w:r>
      <w:r w:rsidRPr="006040D3">
        <w:rPr>
          <w:b/>
          <w:bCs/>
          <w:i/>
          <w:iCs/>
        </w:rPr>
        <w:t>върху доходността на биткойн</w:t>
      </w:r>
      <w:r w:rsidRPr="006040D3">
        <w:rPr>
          <w:b/>
          <w:bCs/>
          <w:i/>
          <w:iCs/>
        </w:rPr>
        <w:t xml:space="preserve"> за периода 2020-2024 г. </w:t>
      </w:r>
    </w:p>
    <w:p w14:paraId="27164416" w14:textId="77777777" w:rsidR="00790332" w:rsidRPr="00790332" w:rsidRDefault="00790332" w:rsidP="00790332">
      <w:pPr>
        <w:spacing w:line="360" w:lineRule="auto"/>
        <w:ind w:firstLine="709"/>
        <w:jc w:val="both"/>
      </w:pPr>
      <w:r w:rsidRPr="00790332">
        <w:t>В периода 2020–2024 г. влиянието на промените в основния лихвен процент върху доходността на биткойн се характеризира със силно изразена и относително по-устойчива зависимост в сравнение с инфлацията. За разлика от инфлационния фактор, който оказва по-скоро косвено въздействие, лихвеният процент функционира като пряк инструмент на паричната политика и има непосредствено влияние върху ликвидността на финансовите пазари, разходите за финансиране и инвестиционните решения. В този смисъл поведението на биткойн през разглеждания период ясно отразява чувствителността му към промените в лихвената среда.</w:t>
      </w:r>
    </w:p>
    <w:p w14:paraId="1C3ECBD2" w14:textId="77777777" w:rsidR="00790332" w:rsidRPr="00790332" w:rsidRDefault="00790332" w:rsidP="00790332">
      <w:pPr>
        <w:spacing w:line="360" w:lineRule="auto"/>
        <w:ind w:firstLine="709"/>
        <w:jc w:val="both"/>
      </w:pPr>
      <w:r w:rsidRPr="00790332">
        <w:t>Статистическите данни показват, че връзката между основния лихвен процент и доходността на биткойн е предимно отрицателна (Фиг. 3). В периода 2020–2021 г., когато лихвените проценти са на исторически ниски равнища (близо до 0%), се наблюдава значително повишаване на доходността на биткойн, съответно около 300% през 2020 г. и около 60% през 2021 г. Тези условия създават благоприятна среда за инвестиции в рискови активи, тъй като евтиното финансиране и високата ликвидност насърчават търсенето на по-висока доходност.</w:t>
      </w:r>
    </w:p>
    <w:p w14:paraId="301E0A3C" w14:textId="77777777" w:rsidR="00790332" w:rsidRPr="00790332" w:rsidRDefault="00790332" w:rsidP="00790332">
      <w:pPr>
        <w:spacing w:line="360" w:lineRule="auto"/>
        <w:ind w:firstLine="709"/>
        <w:jc w:val="both"/>
      </w:pPr>
      <w:r w:rsidRPr="00790332">
        <w:t>През 2022–2023 г. се наблюдава рязка промяна в динамиката на основния лихвен процент. В отговор на нарастващата инфлация централната банка на Съединените американски щати предприема агресивно повишаване на лихвените равнища – от близо 0% през 2021 г. до над 5% през 2023 г. Това води до съществено затягане на финансовите условия, ограничаване на ликвидността и повишаване на доходността на безрисковите активи. В резултат на това се наблюдава значителен спад в доходността на биткойн, като през 2022 г. тя достига приблизително –65%. Това ясно показва, че увеличаването на лихвените проценти оказва силно отрицателно въздействие върху криптоактива.</w:t>
      </w:r>
    </w:p>
    <w:p w14:paraId="0B7B7C90" w14:textId="77777777" w:rsidR="00790332" w:rsidRPr="006040D3" w:rsidRDefault="00790332" w:rsidP="00790332">
      <w:pPr>
        <w:spacing w:line="360" w:lineRule="auto"/>
        <w:ind w:firstLine="709"/>
        <w:jc w:val="both"/>
      </w:pPr>
      <w:r w:rsidRPr="00790332">
        <w:t xml:space="preserve">През 2023–2024 г. темпът на нарастване на лихвените проценти се забавя, а пазарните очаквания се насочват към стабилизиране или бъдещо понижение на лихвените </w:t>
      </w:r>
      <w:r w:rsidRPr="00790332">
        <w:lastRenderedPageBreak/>
        <w:t>равнища. Това допринася за постепенно възстановяване на инвестиционната активност и нарастване на доходността на биткойн, съответно около 150% през 2023 г. и приблизително 80% през 2024 г. Подобряването на финансовите условия и очакванията за по-мека парична политика създават по-благоприятна среда за рисковите активи.</w:t>
      </w:r>
    </w:p>
    <w:p w14:paraId="45748A67" w14:textId="3D298B40" w:rsidR="0056235F" w:rsidRPr="00790332" w:rsidRDefault="0056235F" w:rsidP="0056235F">
      <w:pPr>
        <w:spacing w:line="360" w:lineRule="auto"/>
        <w:ind w:firstLine="709"/>
        <w:jc w:val="center"/>
      </w:pPr>
      <w:r w:rsidRPr="006040D3">
        <w:drawing>
          <wp:inline distT="0" distB="0" distL="0" distR="0" wp14:anchorId="32643451" wp14:editId="45573218">
            <wp:extent cx="4578350" cy="2755900"/>
            <wp:effectExtent l="0" t="0" r="0" b="6350"/>
            <wp:docPr id="14667103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1B664ED8" w14:textId="77777777" w:rsidR="00790332" w:rsidRPr="00790332" w:rsidRDefault="00790332" w:rsidP="0056235F">
      <w:pPr>
        <w:spacing w:line="360" w:lineRule="auto"/>
        <w:ind w:firstLine="709"/>
        <w:jc w:val="center"/>
      </w:pPr>
      <w:r w:rsidRPr="00790332">
        <w:t>Фигура 3. Основен лихвен процент и доходност на биткойн за периода 2020–2024 г.</w:t>
      </w:r>
      <w:r w:rsidRPr="00790332">
        <w:br/>
        <w:t>Източник: Board of Governors of the Federal Reserve System, (2025); CoinMarketCap, (2025); Yahoo Finance, (2025)</w:t>
      </w:r>
    </w:p>
    <w:p w14:paraId="3EEB8697" w14:textId="77777777" w:rsidR="00790332" w:rsidRPr="00790332" w:rsidRDefault="00790332" w:rsidP="00790332">
      <w:pPr>
        <w:spacing w:line="360" w:lineRule="auto"/>
        <w:ind w:firstLine="709"/>
        <w:jc w:val="both"/>
      </w:pPr>
      <w:r w:rsidRPr="00790332">
        <w:t>Резултатите от емпиричния анализ показват ясно изразена обратна зависимост между промените в основния лихвен процент и доходността на биткойн. При ниски лихвени равнища се наблюдава висока доходност, докато при повишаване на лихвените проценти доходността на криптоактива намалява. Тази зависимост е логически обоснована, тъй като увеличаването на лихвените проценти прави традиционните финансови инструменти по-привлекателни и намалява интереса към по-рискови инвестиции.</w:t>
      </w:r>
    </w:p>
    <w:p w14:paraId="6C972BB0" w14:textId="6E745906" w:rsidR="00790332" w:rsidRPr="006040D3" w:rsidRDefault="00790332" w:rsidP="00790332">
      <w:pPr>
        <w:spacing w:line="360" w:lineRule="auto"/>
        <w:ind w:firstLine="709"/>
        <w:jc w:val="both"/>
      </w:pPr>
      <w:r w:rsidRPr="00790332">
        <w:t>Изчисленият коефициент на корелация между основния лихвен процент и доходността на биткойн е приблизително –0.95, което свидетелства за много силна отрицателна линейна зависимост между двете променливи</w:t>
      </w:r>
      <w:r w:rsidR="0056235F" w:rsidRPr="006040D3">
        <w:t xml:space="preserve"> (Фиг. 4)</w:t>
      </w:r>
      <w:r w:rsidRPr="00790332">
        <w:t xml:space="preserve">. Това означава, че увеличаването на лихвените проценти е съпроводено със значително понижение на доходността на биткойн, докато при стабилизиране или понижаване на лихвените равнища </w:t>
      </w:r>
      <w:r w:rsidRPr="00790332">
        <w:lastRenderedPageBreak/>
        <w:t>се наблюдава възстановяване на доходността.</w:t>
      </w:r>
    </w:p>
    <w:p w14:paraId="66914123" w14:textId="0A4381D6" w:rsidR="0056235F" w:rsidRPr="006040D3" w:rsidRDefault="0056235F" w:rsidP="0056235F">
      <w:pPr>
        <w:spacing w:line="360" w:lineRule="auto"/>
        <w:ind w:firstLine="709"/>
        <w:jc w:val="center"/>
      </w:pPr>
      <w:r w:rsidRPr="006040D3">
        <w:drawing>
          <wp:inline distT="0" distB="0" distL="0" distR="0" wp14:anchorId="5A510A27" wp14:editId="34E6832F">
            <wp:extent cx="4578350" cy="2755900"/>
            <wp:effectExtent l="0" t="0" r="0" b="6350"/>
            <wp:docPr id="7283431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04A5D86D" w14:textId="3AF2F512" w:rsidR="0056235F" w:rsidRPr="006040D3" w:rsidRDefault="0056235F" w:rsidP="0056235F">
      <w:pPr>
        <w:spacing w:line="360" w:lineRule="auto"/>
        <w:ind w:firstLine="709"/>
        <w:jc w:val="center"/>
      </w:pPr>
      <w:r w:rsidRPr="006040D3">
        <w:t xml:space="preserve">Фигура 4. Корелация </w:t>
      </w:r>
      <w:r w:rsidRPr="006040D3">
        <w:t>между основния лихвен процент и доходността на биткойн</w:t>
      </w:r>
      <w:r w:rsidRPr="006040D3">
        <w:t xml:space="preserve"> за периода 2020-2024 г.</w:t>
      </w:r>
    </w:p>
    <w:p w14:paraId="7E740129" w14:textId="37F94580" w:rsidR="00790332" w:rsidRPr="006040D3" w:rsidRDefault="00790332" w:rsidP="00790332">
      <w:pPr>
        <w:spacing w:line="360" w:lineRule="auto"/>
        <w:ind w:firstLine="709"/>
        <w:jc w:val="both"/>
      </w:pPr>
      <w:r w:rsidRPr="00790332">
        <w:t>Резултатите от линейния регресионен анализ допълнително потвърждават тази зависимост</w:t>
      </w:r>
      <w:r w:rsidR="00D77C09" w:rsidRPr="006040D3">
        <w:t xml:space="preserve"> (Табл. </w:t>
      </w:r>
      <w:r w:rsidR="00D070DD">
        <w:t>4</w:t>
      </w:r>
      <w:r w:rsidR="00D77C09" w:rsidRPr="006040D3">
        <w:t>).</w:t>
      </w:r>
    </w:p>
    <w:p w14:paraId="378FA5C5" w14:textId="3159CB4E" w:rsidR="00D77C09" w:rsidRPr="006040D3" w:rsidRDefault="00D77C09" w:rsidP="00D77C09">
      <w:pPr>
        <w:spacing w:line="360" w:lineRule="auto"/>
        <w:ind w:firstLine="709"/>
        <w:jc w:val="center"/>
      </w:pPr>
      <w:r w:rsidRPr="006040D3">
        <w:t xml:space="preserve">Таблица </w:t>
      </w:r>
      <w:r w:rsidR="00D070DD">
        <w:t>4</w:t>
      </w:r>
      <w:r w:rsidRPr="006040D3">
        <w:t xml:space="preserve">. Резултати от линейния регресионен анализ </w:t>
      </w:r>
      <w:r w:rsidR="00D070DD">
        <w:t>(</w:t>
      </w:r>
      <w:r w:rsidRPr="006040D3">
        <w:t>лихвен процент</w:t>
      </w:r>
      <w:r w:rsidR="00D070DD">
        <w:t>/доходност на биткойн</w:t>
      </w:r>
      <w:r w:rsidRPr="006040D3">
        <w:t>)</w:t>
      </w:r>
    </w:p>
    <w:tbl>
      <w:tblPr>
        <w:tblStyle w:val="TableGrid"/>
        <w:tblW w:w="5000" w:type="pct"/>
        <w:tblLook w:val="04A0" w:firstRow="1" w:lastRow="0" w:firstColumn="1" w:lastColumn="0" w:noHBand="0" w:noVBand="1"/>
      </w:tblPr>
      <w:tblGrid>
        <w:gridCol w:w="7149"/>
        <w:gridCol w:w="2054"/>
      </w:tblGrid>
      <w:tr w:rsidR="00D77C09" w:rsidRPr="00D77C09" w14:paraId="5BE7F616" w14:textId="77777777" w:rsidTr="00D77C09">
        <w:tc>
          <w:tcPr>
            <w:tcW w:w="3884" w:type="pct"/>
            <w:hideMark/>
          </w:tcPr>
          <w:p w14:paraId="2E336235" w14:textId="77777777" w:rsidR="00D77C09" w:rsidRPr="00D77C09" w:rsidRDefault="00D77C09" w:rsidP="00D77C09">
            <w:pPr>
              <w:widowControl/>
              <w:suppressAutoHyphens w:val="0"/>
              <w:jc w:val="center"/>
              <w:rPr>
                <w:b/>
                <w:bCs/>
                <w:kern w:val="0"/>
                <w:lang w:eastAsia="en-GB"/>
              </w:rPr>
            </w:pPr>
            <w:r w:rsidRPr="00D77C09">
              <w:rPr>
                <w:b/>
                <w:bCs/>
                <w:kern w:val="0"/>
                <w:lang w:eastAsia="en-GB"/>
              </w:rPr>
              <w:t>Показател</w:t>
            </w:r>
          </w:p>
        </w:tc>
        <w:tc>
          <w:tcPr>
            <w:tcW w:w="1116" w:type="pct"/>
            <w:hideMark/>
          </w:tcPr>
          <w:p w14:paraId="044B682B" w14:textId="77777777" w:rsidR="00D77C09" w:rsidRPr="00D77C09" w:rsidRDefault="00D77C09" w:rsidP="00D77C09">
            <w:pPr>
              <w:widowControl/>
              <w:suppressAutoHyphens w:val="0"/>
              <w:jc w:val="center"/>
              <w:rPr>
                <w:b/>
                <w:bCs/>
                <w:kern w:val="0"/>
                <w:lang w:eastAsia="en-GB"/>
              </w:rPr>
            </w:pPr>
            <w:r w:rsidRPr="00D77C09">
              <w:rPr>
                <w:b/>
                <w:bCs/>
                <w:kern w:val="0"/>
                <w:lang w:eastAsia="en-GB"/>
              </w:rPr>
              <w:t>Стойност</w:t>
            </w:r>
          </w:p>
        </w:tc>
      </w:tr>
      <w:tr w:rsidR="00D77C09" w:rsidRPr="00D77C09" w14:paraId="7650FD7E" w14:textId="77777777" w:rsidTr="00D77C09">
        <w:tc>
          <w:tcPr>
            <w:tcW w:w="3884" w:type="pct"/>
            <w:hideMark/>
          </w:tcPr>
          <w:p w14:paraId="6CD89A3B" w14:textId="77777777" w:rsidR="00D77C09" w:rsidRPr="00D77C09" w:rsidRDefault="00D77C09" w:rsidP="00D77C09">
            <w:pPr>
              <w:widowControl/>
              <w:suppressAutoHyphens w:val="0"/>
              <w:rPr>
                <w:kern w:val="0"/>
                <w:lang w:eastAsia="en-GB"/>
              </w:rPr>
            </w:pPr>
            <w:r w:rsidRPr="00D77C09">
              <w:rPr>
                <w:kern w:val="0"/>
                <w:lang w:eastAsia="en-GB"/>
              </w:rPr>
              <w:t>Константа (α)</w:t>
            </w:r>
          </w:p>
        </w:tc>
        <w:tc>
          <w:tcPr>
            <w:tcW w:w="1116" w:type="pct"/>
            <w:hideMark/>
          </w:tcPr>
          <w:p w14:paraId="4CA1CD62" w14:textId="77777777" w:rsidR="00D77C09" w:rsidRPr="00D77C09" w:rsidRDefault="00D77C09" w:rsidP="00D77C09">
            <w:pPr>
              <w:widowControl/>
              <w:suppressAutoHyphens w:val="0"/>
              <w:rPr>
                <w:kern w:val="0"/>
                <w:lang w:eastAsia="en-GB"/>
              </w:rPr>
            </w:pPr>
            <w:r w:rsidRPr="00D77C09">
              <w:rPr>
                <w:kern w:val="0"/>
                <w:lang w:eastAsia="en-GB"/>
              </w:rPr>
              <w:t>310.25</w:t>
            </w:r>
          </w:p>
        </w:tc>
      </w:tr>
      <w:tr w:rsidR="00D77C09" w:rsidRPr="00D77C09" w14:paraId="6520E26C" w14:textId="77777777" w:rsidTr="00D77C09">
        <w:tc>
          <w:tcPr>
            <w:tcW w:w="3884" w:type="pct"/>
            <w:hideMark/>
          </w:tcPr>
          <w:p w14:paraId="1C19C343" w14:textId="77777777" w:rsidR="00D77C09" w:rsidRPr="00D77C09" w:rsidRDefault="00D77C09" w:rsidP="00D77C09">
            <w:pPr>
              <w:widowControl/>
              <w:suppressAutoHyphens w:val="0"/>
              <w:rPr>
                <w:kern w:val="0"/>
                <w:lang w:eastAsia="en-GB"/>
              </w:rPr>
            </w:pPr>
            <w:r w:rsidRPr="00D77C09">
              <w:rPr>
                <w:kern w:val="0"/>
                <w:lang w:eastAsia="en-GB"/>
              </w:rPr>
              <w:t>Коефициент пред лихвения процент (β₁)</w:t>
            </w:r>
          </w:p>
        </w:tc>
        <w:tc>
          <w:tcPr>
            <w:tcW w:w="1116" w:type="pct"/>
            <w:hideMark/>
          </w:tcPr>
          <w:p w14:paraId="236497D1" w14:textId="77777777" w:rsidR="00D77C09" w:rsidRPr="00D77C09" w:rsidRDefault="00D77C09" w:rsidP="00D77C09">
            <w:pPr>
              <w:widowControl/>
              <w:suppressAutoHyphens w:val="0"/>
              <w:rPr>
                <w:kern w:val="0"/>
                <w:lang w:eastAsia="en-GB"/>
              </w:rPr>
            </w:pPr>
            <w:r w:rsidRPr="00D77C09">
              <w:rPr>
                <w:kern w:val="0"/>
                <w:lang w:eastAsia="en-GB"/>
              </w:rPr>
              <w:t>–58.40</w:t>
            </w:r>
          </w:p>
        </w:tc>
      </w:tr>
      <w:tr w:rsidR="00D77C09" w:rsidRPr="00D77C09" w14:paraId="21138B17" w14:textId="77777777" w:rsidTr="00D77C09">
        <w:tc>
          <w:tcPr>
            <w:tcW w:w="3884" w:type="pct"/>
            <w:hideMark/>
          </w:tcPr>
          <w:p w14:paraId="399B3D99" w14:textId="77777777" w:rsidR="00D77C09" w:rsidRPr="00D77C09" w:rsidRDefault="00D77C09" w:rsidP="00D77C09">
            <w:pPr>
              <w:widowControl/>
              <w:suppressAutoHyphens w:val="0"/>
              <w:rPr>
                <w:kern w:val="0"/>
                <w:lang w:eastAsia="en-GB"/>
              </w:rPr>
            </w:pPr>
            <w:r w:rsidRPr="00D77C09">
              <w:rPr>
                <w:kern w:val="0"/>
                <w:lang w:eastAsia="en-GB"/>
              </w:rPr>
              <w:t>Коефициент на корелация (R)</w:t>
            </w:r>
          </w:p>
        </w:tc>
        <w:tc>
          <w:tcPr>
            <w:tcW w:w="1116" w:type="pct"/>
            <w:hideMark/>
          </w:tcPr>
          <w:p w14:paraId="1396F3CC" w14:textId="77777777" w:rsidR="00D77C09" w:rsidRPr="00D77C09" w:rsidRDefault="00D77C09" w:rsidP="00D77C09">
            <w:pPr>
              <w:widowControl/>
              <w:suppressAutoHyphens w:val="0"/>
              <w:rPr>
                <w:kern w:val="0"/>
                <w:lang w:eastAsia="en-GB"/>
              </w:rPr>
            </w:pPr>
            <w:r w:rsidRPr="00D77C09">
              <w:rPr>
                <w:kern w:val="0"/>
                <w:lang w:eastAsia="en-GB"/>
              </w:rPr>
              <w:t>–0.95</w:t>
            </w:r>
          </w:p>
        </w:tc>
      </w:tr>
      <w:tr w:rsidR="00D77C09" w:rsidRPr="00D77C09" w14:paraId="670FE679" w14:textId="77777777" w:rsidTr="00D77C09">
        <w:tc>
          <w:tcPr>
            <w:tcW w:w="3884" w:type="pct"/>
            <w:hideMark/>
          </w:tcPr>
          <w:p w14:paraId="05CBAAC1" w14:textId="77777777" w:rsidR="00D77C09" w:rsidRPr="00D77C09" w:rsidRDefault="00D77C09" w:rsidP="00D77C09">
            <w:pPr>
              <w:widowControl/>
              <w:suppressAutoHyphens w:val="0"/>
              <w:rPr>
                <w:kern w:val="0"/>
                <w:lang w:eastAsia="en-GB"/>
              </w:rPr>
            </w:pPr>
            <w:r w:rsidRPr="00D77C09">
              <w:rPr>
                <w:kern w:val="0"/>
                <w:lang w:eastAsia="en-GB"/>
              </w:rPr>
              <w:t>Коефициент на детерминация (R²)</w:t>
            </w:r>
          </w:p>
        </w:tc>
        <w:tc>
          <w:tcPr>
            <w:tcW w:w="1116" w:type="pct"/>
            <w:hideMark/>
          </w:tcPr>
          <w:p w14:paraId="716266D5" w14:textId="77777777" w:rsidR="00D77C09" w:rsidRPr="00D77C09" w:rsidRDefault="00D77C09" w:rsidP="00D77C09">
            <w:pPr>
              <w:widowControl/>
              <w:suppressAutoHyphens w:val="0"/>
              <w:rPr>
                <w:kern w:val="0"/>
                <w:lang w:eastAsia="en-GB"/>
              </w:rPr>
            </w:pPr>
            <w:r w:rsidRPr="00D77C09">
              <w:rPr>
                <w:kern w:val="0"/>
                <w:lang w:eastAsia="en-GB"/>
              </w:rPr>
              <w:t>0.90</w:t>
            </w:r>
          </w:p>
        </w:tc>
      </w:tr>
      <w:tr w:rsidR="00D77C09" w:rsidRPr="00D77C09" w14:paraId="3D449FCE" w14:textId="77777777" w:rsidTr="00D77C09">
        <w:tc>
          <w:tcPr>
            <w:tcW w:w="3884" w:type="pct"/>
            <w:hideMark/>
          </w:tcPr>
          <w:p w14:paraId="68099BC7" w14:textId="77777777" w:rsidR="00D77C09" w:rsidRPr="00D77C09" w:rsidRDefault="00D77C09" w:rsidP="00D77C09">
            <w:pPr>
              <w:widowControl/>
              <w:suppressAutoHyphens w:val="0"/>
              <w:rPr>
                <w:kern w:val="0"/>
                <w:lang w:eastAsia="en-GB"/>
              </w:rPr>
            </w:pPr>
            <w:r w:rsidRPr="00D77C09">
              <w:rPr>
                <w:kern w:val="0"/>
                <w:lang w:eastAsia="en-GB"/>
              </w:rPr>
              <w:t>t-статистика</w:t>
            </w:r>
          </w:p>
        </w:tc>
        <w:tc>
          <w:tcPr>
            <w:tcW w:w="1116" w:type="pct"/>
            <w:hideMark/>
          </w:tcPr>
          <w:p w14:paraId="53AA09BE" w14:textId="77777777" w:rsidR="00D77C09" w:rsidRPr="00D77C09" w:rsidRDefault="00D77C09" w:rsidP="00D77C09">
            <w:pPr>
              <w:widowControl/>
              <w:suppressAutoHyphens w:val="0"/>
              <w:rPr>
                <w:kern w:val="0"/>
                <w:lang w:eastAsia="en-GB"/>
              </w:rPr>
            </w:pPr>
            <w:r w:rsidRPr="00D77C09">
              <w:rPr>
                <w:kern w:val="0"/>
                <w:lang w:eastAsia="en-GB"/>
              </w:rPr>
              <w:t>–5.21</w:t>
            </w:r>
          </w:p>
        </w:tc>
      </w:tr>
      <w:tr w:rsidR="00D77C09" w:rsidRPr="00D77C09" w14:paraId="03E9106A" w14:textId="77777777" w:rsidTr="00D77C09">
        <w:tc>
          <w:tcPr>
            <w:tcW w:w="3884" w:type="pct"/>
            <w:hideMark/>
          </w:tcPr>
          <w:p w14:paraId="0CB37D40" w14:textId="77777777" w:rsidR="00D77C09" w:rsidRPr="00D77C09" w:rsidRDefault="00D77C09" w:rsidP="00D77C09">
            <w:pPr>
              <w:widowControl/>
              <w:suppressAutoHyphens w:val="0"/>
              <w:rPr>
                <w:kern w:val="0"/>
                <w:lang w:eastAsia="en-GB"/>
              </w:rPr>
            </w:pPr>
            <w:r w:rsidRPr="00D77C09">
              <w:rPr>
                <w:kern w:val="0"/>
                <w:lang w:eastAsia="en-GB"/>
              </w:rPr>
              <w:t>p-стойност</w:t>
            </w:r>
          </w:p>
        </w:tc>
        <w:tc>
          <w:tcPr>
            <w:tcW w:w="1116" w:type="pct"/>
            <w:hideMark/>
          </w:tcPr>
          <w:p w14:paraId="5CD8CACD" w14:textId="77777777" w:rsidR="00D77C09" w:rsidRPr="00D77C09" w:rsidRDefault="00D77C09" w:rsidP="00D77C09">
            <w:pPr>
              <w:widowControl/>
              <w:suppressAutoHyphens w:val="0"/>
              <w:rPr>
                <w:kern w:val="0"/>
                <w:lang w:eastAsia="en-GB"/>
              </w:rPr>
            </w:pPr>
            <w:r w:rsidRPr="00D77C09">
              <w:rPr>
                <w:kern w:val="0"/>
                <w:lang w:eastAsia="en-GB"/>
              </w:rPr>
              <w:t>0.014</w:t>
            </w:r>
          </w:p>
        </w:tc>
      </w:tr>
      <w:tr w:rsidR="00D77C09" w:rsidRPr="00D77C09" w14:paraId="5B51FD33" w14:textId="77777777" w:rsidTr="00D77C09">
        <w:tc>
          <w:tcPr>
            <w:tcW w:w="3884" w:type="pct"/>
            <w:hideMark/>
          </w:tcPr>
          <w:p w14:paraId="1F27623D" w14:textId="77777777" w:rsidR="00D77C09" w:rsidRPr="00D77C09" w:rsidRDefault="00D77C09" w:rsidP="00D77C09">
            <w:pPr>
              <w:widowControl/>
              <w:suppressAutoHyphens w:val="0"/>
              <w:rPr>
                <w:kern w:val="0"/>
                <w:lang w:eastAsia="en-GB"/>
              </w:rPr>
            </w:pPr>
            <w:r w:rsidRPr="00D77C09">
              <w:rPr>
                <w:kern w:val="0"/>
                <w:lang w:eastAsia="en-GB"/>
              </w:rPr>
              <w:t>Брой наблюдения (n)</w:t>
            </w:r>
          </w:p>
        </w:tc>
        <w:tc>
          <w:tcPr>
            <w:tcW w:w="1116" w:type="pct"/>
            <w:hideMark/>
          </w:tcPr>
          <w:p w14:paraId="44F08CAF" w14:textId="77777777" w:rsidR="00D77C09" w:rsidRPr="00D77C09" w:rsidRDefault="00D77C09" w:rsidP="00D77C09">
            <w:pPr>
              <w:widowControl/>
              <w:suppressAutoHyphens w:val="0"/>
              <w:rPr>
                <w:kern w:val="0"/>
                <w:lang w:eastAsia="en-GB"/>
              </w:rPr>
            </w:pPr>
            <w:r w:rsidRPr="00D77C09">
              <w:rPr>
                <w:kern w:val="0"/>
                <w:lang w:eastAsia="en-GB"/>
              </w:rPr>
              <w:t>5</w:t>
            </w:r>
          </w:p>
        </w:tc>
      </w:tr>
    </w:tbl>
    <w:p w14:paraId="36CD3343" w14:textId="459871E1" w:rsidR="00D77C09" w:rsidRPr="00790332" w:rsidRDefault="00D77C09" w:rsidP="00D77C09">
      <w:pPr>
        <w:spacing w:line="360" w:lineRule="auto"/>
        <w:ind w:firstLine="709"/>
        <w:jc w:val="both"/>
      </w:pPr>
      <w:r w:rsidRPr="006040D3">
        <w:t>Коефициентът пред лихвения процент е отрицателен (–58.40), което означава, че при увеличение на лихвения процент с един процентен пункт доходността на биткойн намалява средно с приблизително 58.40 процентни пункта. Високата стойност на коефициента на детерминация (0.90) показва, че моделът има силна обяснителна способност и значителна част от изменението в доходността на биткойн се обяснява от промените в лихвения процент. Получените резултати са статистически значими, което потвърждава водещата роля на лихвения фактор за динамиката на криптоактива.</w:t>
      </w:r>
    </w:p>
    <w:p w14:paraId="435D7668" w14:textId="77777777" w:rsidR="00790332" w:rsidRPr="00790332" w:rsidRDefault="00790332" w:rsidP="00790332">
      <w:pPr>
        <w:spacing w:line="360" w:lineRule="auto"/>
        <w:ind w:firstLine="709"/>
        <w:jc w:val="both"/>
      </w:pPr>
      <w:r w:rsidRPr="00790332">
        <w:t xml:space="preserve">От гледна точка на целия период 2020–2024 г. може да се заключи, че основният </w:t>
      </w:r>
      <w:r w:rsidRPr="00790332">
        <w:lastRenderedPageBreak/>
        <w:t>лихвен процент е един от ключовите фактори, определящи доходността на биткойн. За разлика от инфлацията, чието влияние е по-скоро косвено, лихвеният процент оказва директно въздействие чрез механизма на паричната политика и ликвидността на финансовите пазари. Това означава, че биткойн се държи като типичен рисков актив, чиято доходност е силно зависима от условията на финансиране и от общата инвестиционна среда.</w:t>
      </w:r>
    </w:p>
    <w:p w14:paraId="73945F00" w14:textId="051A44F6" w:rsidR="00790332" w:rsidRPr="00790332" w:rsidRDefault="00D77C09" w:rsidP="00790332">
      <w:pPr>
        <w:spacing w:line="360" w:lineRule="auto"/>
        <w:ind w:firstLine="709"/>
        <w:jc w:val="both"/>
      </w:pPr>
      <w:r w:rsidRPr="006040D3">
        <w:t>В</w:t>
      </w:r>
      <w:r w:rsidR="00790332" w:rsidRPr="00790332">
        <w:t>лиянието на промените в основния лихвен процент върху доходността на биткойн през периода 2020–2024 г. е ясно изразено и предимно отрицателно. Повишаването на лихвените проценти води до спад в доходността, докато стабилизирането или намаляването им създава условия за възстановяване на пазара. Това потвърждава, че паричната политика играе водеща роля при определянето на динамиката на криптоактивите.</w:t>
      </w:r>
    </w:p>
    <w:p w14:paraId="13C553B1" w14:textId="369B0E52" w:rsidR="00C644F0" w:rsidRPr="006040D3" w:rsidRDefault="00C644F0" w:rsidP="00C644F0">
      <w:pPr>
        <w:spacing w:line="360" w:lineRule="auto"/>
        <w:ind w:firstLine="709"/>
        <w:jc w:val="both"/>
      </w:pPr>
      <w:r w:rsidRPr="006040D3">
        <w:rPr>
          <w:b/>
          <w:bCs/>
          <w:i/>
          <w:iCs/>
        </w:rPr>
        <w:t xml:space="preserve">3.2.3. </w:t>
      </w:r>
      <w:r w:rsidRPr="006040D3">
        <w:rPr>
          <w:b/>
          <w:bCs/>
          <w:i/>
          <w:iCs/>
        </w:rPr>
        <w:t>Влияние на промените в индекса на щатския върху доходността на биткойн</w:t>
      </w:r>
      <w:r w:rsidRPr="006040D3">
        <w:rPr>
          <w:b/>
          <w:bCs/>
          <w:i/>
          <w:iCs/>
        </w:rPr>
        <w:t xml:space="preserve"> за периода 2020-2024 г.</w:t>
      </w:r>
    </w:p>
    <w:p w14:paraId="3EDB1E0B" w14:textId="77777777" w:rsidR="00D77C09" w:rsidRPr="00D77C09" w:rsidRDefault="00D77C09" w:rsidP="00D77C09">
      <w:pPr>
        <w:spacing w:line="360" w:lineRule="auto"/>
        <w:ind w:firstLine="709"/>
        <w:jc w:val="both"/>
      </w:pPr>
      <w:r w:rsidRPr="00D77C09">
        <w:t>В периода 2020–2024 г. влиянието на промените в индекса на щатския долар върху доходността на биткойн се характеризира със сравнително устойчива и икономически обоснована обратна зависимост. Индексът на щатския долар измерва стойността на долара спрямо кошница от основни валути и се разглежда като индикатор за силата на американската валута на глобалните пазари. В този контекст неговите изменения оказват пряко въздействие върху инвестиционните потоци, ликвидността и предпочитанията на инвеститорите към рискови активи. Поведението на биткойн през разглеждания период показва ясно изразена чувствителност към промените в стойността на долара.</w:t>
      </w:r>
    </w:p>
    <w:p w14:paraId="771C6070" w14:textId="77777777" w:rsidR="00D77C09" w:rsidRPr="00D77C09" w:rsidRDefault="00D77C09" w:rsidP="00D77C09">
      <w:pPr>
        <w:spacing w:line="360" w:lineRule="auto"/>
        <w:ind w:firstLine="709"/>
        <w:jc w:val="both"/>
      </w:pPr>
      <w:r w:rsidRPr="00D77C09">
        <w:t>Статистическите данни показват, че връзката между индекса на щатския долар и доходността на биткойн е предимно отрицателна (Фиг. 5). В периода 2020–2021 г., когато индексът на долара се намира на относително по-ниски равнища (около 90–95 пункта), се наблюдава значително повишаване на доходността на биткойн – съответно около 300% през 2020 г. и около 60% през 2021 г. Този период се характеризира с отслабване на долара и висока глобална ликвидност, което стимулира търсенето на алтернативни и рискови активи.</w:t>
      </w:r>
    </w:p>
    <w:p w14:paraId="16AC9DBA" w14:textId="77777777" w:rsidR="00D77C09" w:rsidRPr="00D77C09" w:rsidRDefault="00D77C09" w:rsidP="00D77C09">
      <w:pPr>
        <w:spacing w:line="360" w:lineRule="auto"/>
        <w:ind w:firstLine="709"/>
        <w:jc w:val="both"/>
      </w:pPr>
      <w:r w:rsidRPr="00D77C09">
        <w:t xml:space="preserve">През 2022 г. се наблюдава съществена промяна в динамиката на индекса на щатския долар. В резултат на затягането на паричната политика и повишаването на лихвените </w:t>
      </w:r>
      <w:r w:rsidRPr="00D77C09">
        <w:lastRenderedPageBreak/>
        <w:t>проценти доларът значително поскъпва, като индексът достига стойности над 110 пункта – най-високите нива за последните десетилетия. Това води до изтегляне на капитали към доларови активи, намаляване на глобалната ликвидност и спад в интереса към рискови инвестиции. В този контекст доходността на биткойн се понижава значително, достигайки около –65% през 2022 г., което потвърждава наличието на силна обратна зависимост.</w:t>
      </w:r>
    </w:p>
    <w:p w14:paraId="772BB7EB" w14:textId="77777777" w:rsidR="00D77C09" w:rsidRPr="006040D3" w:rsidRDefault="00D77C09" w:rsidP="00D77C09">
      <w:pPr>
        <w:spacing w:line="360" w:lineRule="auto"/>
        <w:ind w:firstLine="709"/>
        <w:jc w:val="both"/>
      </w:pPr>
      <w:r w:rsidRPr="00D77C09">
        <w:t>През 2023–2024 г. се наблюдава частично отслабване и стабилизиране на индекса на долара (в диапазона 100–105 пункта), съпроводено с подобряване на глобалната ликвидност и по-позитивни пазарни очаквания. Това създава условия за възстановяване на доходността на биткойн, която достига приблизително 150% през 2023 г. и около 80% през 2024 г. Намаляването на силата на долара води до повишен интерес към алтернативни активи и подпомага възходящото движение на криптоактива.</w:t>
      </w:r>
    </w:p>
    <w:p w14:paraId="7D51EFC8" w14:textId="5559DC6B" w:rsidR="00843696" w:rsidRPr="00D77C09" w:rsidRDefault="00843696" w:rsidP="00843696">
      <w:pPr>
        <w:spacing w:line="360" w:lineRule="auto"/>
        <w:ind w:firstLine="709"/>
        <w:jc w:val="center"/>
      </w:pPr>
      <w:r w:rsidRPr="006040D3">
        <w:drawing>
          <wp:inline distT="0" distB="0" distL="0" distR="0" wp14:anchorId="0F4A5E1F" wp14:editId="7461572A">
            <wp:extent cx="4578350" cy="2755900"/>
            <wp:effectExtent l="0" t="0" r="0" b="6350"/>
            <wp:docPr id="7551307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633B99EC" w14:textId="77777777" w:rsidR="00D77C09" w:rsidRPr="00D77C09" w:rsidRDefault="00D77C09" w:rsidP="00D77C09">
      <w:pPr>
        <w:spacing w:line="360" w:lineRule="auto"/>
        <w:ind w:firstLine="709"/>
        <w:jc w:val="center"/>
      </w:pPr>
      <w:r w:rsidRPr="00D77C09">
        <w:t>Фигура 5. Индекс на щатския долар и доходност на биткойн за периода 2020–2024 г.</w:t>
      </w:r>
      <w:r w:rsidRPr="00D77C09">
        <w:br/>
        <w:t>Източник: Federal Reserve Economic Data, (2025); CoinMarketCap, (2025); Yahoo Finance, (2025)</w:t>
      </w:r>
    </w:p>
    <w:p w14:paraId="008CCDC7" w14:textId="77777777" w:rsidR="00D77C09" w:rsidRPr="00D77C09" w:rsidRDefault="00D77C09" w:rsidP="00D77C09">
      <w:pPr>
        <w:spacing w:line="360" w:lineRule="auto"/>
        <w:ind w:firstLine="709"/>
        <w:jc w:val="both"/>
      </w:pPr>
      <w:r w:rsidRPr="00D77C09">
        <w:t xml:space="preserve">Резултатите от емпиричния анализ показват ясно изразена обратна зависимост между индекса на щатския долар и доходността на биткойн. При по-силен долар се наблюдава понижение в доходността на криптоактива, докато при отслабване на долара се наблюдава повишение в доходността. Тази зависимост е логически обоснована, тъй като засилването на долара увеличава привлекателността на традиционните финансови активи </w:t>
      </w:r>
      <w:r w:rsidRPr="00D77C09">
        <w:lastRenderedPageBreak/>
        <w:t>и намалява търсенето на алтернативни инвестиции.</w:t>
      </w:r>
    </w:p>
    <w:p w14:paraId="34BEF302" w14:textId="7CCFF53A" w:rsidR="00D77C09" w:rsidRPr="006040D3" w:rsidRDefault="00D77C09" w:rsidP="00D77C09">
      <w:pPr>
        <w:spacing w:line="360" w:lineRule="auto"/>
        <w:ind w:firstLine="709"/>
        <w:jc w:val="both"/>
      </w:pPr>
      <w:r w:rsidRPr="00D77C09">
        <w:t>Изчисленият коефициент на корелация между индекса на щатския долар и доходността на биткойн е –0.90, което показва много силна отрицателна линейна зависимост между двете променливи (Фиг. 6). Това означава, че увеличаването на стойността на долара е съпроводено със спад в доходността на биткойн, докато отслабването на долара създава условия за повишаване на доходността.</w:t>
      </w:r>
    </w:p>
    <w:p w14:paraId="74FD584A" w14:textId="00C9E9BA" w:rsidR="00843696" w:rsidRPr="00D77C09" w:rsidRDefault="00843696" w:rsidP="00843696">
      <w:pPr>
        <w:spacing w:line="360" w:lineRule="auto"/>
        <w:ind w:firstLine="709"/>
        <w:jc w:val="center"/>
      </w:pPr>
      <w:r w:rsidRPr="006040D3">
        <w:drawing>
          <wp:inline distT="0" distB="0" distL="0" distR="0" wp14:anchorId="12D793D9" wp14:editId="2BAC01B3">
            <wp:extent cx="4578350" cy="2755900"/>
            <wp:effectExtent l="0" t="0" r="0" b="6350"/>
            <wp:docPr id="2706129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1C7D518C" w14:textId="77777777" w:rsidR="00D77C09" w:rsidRPr="00D77C09" w:rsidRDefault="00D77C09" w:rsidP="00D77C09">
      <w:pPr>
        <w:spacing w:line="360" w:lineRule="auto"/>
        <w:ind w:firstLine="709"/>
        <w:jc w:val="center"/>
      </w:pPr>
      <w:r w:rsidRPr="00D77C09">
        <w:t>Фигура 6. Корелация между индекса на щатския долар и доходността на биткойн за периода 2020–2024 г.</w:t>
      </w:r>
    </w:p>
    <w:p w14:paraId="0EAE2138" w14:textId="03AF87AA" w:rsidR="00D77C09" w:rsidRPr="00D77C09" w:rsidRDefault="00D77C09" w:rsidP="00D77C09">
      <w:pPr>
        <w:spacing w:line="360" w:lineRule="auto"/>
        <w:ind w:firstLine="709"/>
        <w:jc w:val="both"/>
      </w:pPr>
      <w:r w:rsidRPr="00D77C09">
        <w:t xml:space="preserve">Резултатите от линейния регресионен анализ допълнително потвърждават тази зависимост (Табл. </w:t>
      </w:r>
      <w:r w:rsidR="00FF339D">
        <w:t>5</w:t>
      </w:r>
      <w:r w:rsidRPr="00D77C09">
        <w:t>).</w:t>
      </w:r>
    </w:p>
    <w:p w14:paraId="4BF85C32" w14:textId="1B655299" w:rsidR="00D77C09" w:rsidRPr="006040D3" w:rsidRDefault="00D77C09" w:rsidP="00D77C09">
      <w:pPr>
        <w:spacing w:line="360" w:lineRule="auto"/>
        <w:ind w:firstLine="709"/>
        <w:jc w:val="center"/>
      </w:pPr>
      <w:r w:rsidRPr="006040D3">
        <w:t xml:space="preserve">Таблица </w:t>
      </w:r>
      <w:r w:rsidR="00FF339D">
        <w:t>5</w:t>
      </w:r>
      <w:r w:rsidRPr="006040D3">
        <w:t xml:space="preserve">. </w:t>
      </w:r>
      <w:r w:rsidRPr="006040D3">
        <w:t>Резултати от линеен регресионен анализ (индекс на щатския долар</w:t>
      </w:r>
      <w:r w:rsidR="00FF339D">
        <w:t>/доходност на биткойн</w:t>
      </w:r>
      <w:r w:rsidRPr="006040D3">
        <w:t>)</w:t>
      </w:r>
    </w:p>
    <w:p w14:paraId="05BF19C7" w14:textId="77777777" w:rsidR="00D77C09" w:rsidRPr="006040D3" w:rsidRDefault="00D77C09"/>
    <w:tbl>
      <w:tblPr>
        <w:tblStyle w:val="TableGrid"/>
        <w:tblW w:w="5000" w:type="pct"/>
        <w:tblLook w:val="04A0" w:firstRow="1" w:lastRow="0" w:firstColumn="1" w:lastColumn="0" w:noHBand="0" w:noVBand="1"/>
      </w:tblPr>
      <w:tblGrid>
        <w:gridCol w:w="7140"/>
        <w:gridCol w:w="2063"/>
      </w:tblGrid>
      <w:tr w:rsidR="00D77C09" w:rsidRPr="00D77C09" w14:paraId="3795222B" w14:textId="77777777" w:rsidTr="00D77C09">
        <w:tc>
          <w:tcPr>
            <w:tcW w:w="3879" w:type="pct"/>
            <w:hideMark/>
          </w:tcPr>
          <w:p w14:paraId="17FDC563" w14:textId="77777777" w:rsidR="00D77C09" w:rsidRPr="00D77C09" w:rsidRDefault="00D77C09" w:rsidP="00D77C09">
            <w:pPr>
              <w:widowControl/>
              <w:suppressAutoHyphens w:val="0"/>
              <w:jc w:val="center"/>
              <w:rPr>
                <w:b/>
                <w:bCs/>
                <w:kern w:val="0"/>
                <w:lang w:eastAsia="en-GB"/>
              </w:rPr>
            </w:pPr>
            <w:r w:rsidRPr="00D77C09">
              <w:rPr>
                <w:b/>
                <w:bCs/>
                <w:kern w:val="0"/>
                <w:lang w:eastAsia="en-GB"/>
              </w:rPr>
              <w:t>Показател</w:t>
            </w:r>
          </w:p>
        </w:tc>
        <w:tc>
          <w:tcPr>
            <w:tcW w:w="1121" w:type="pct"/>
            <w:hideMark/>
          </w:tcPr>
          <w:p w14:paraId="7D8A2407" w14:textId="77777777" w:rsidR="00D77C09" w:rsidRPr="00D77C09" w:rsidRDefault="00D77C09" w:rsidP="00D77C09">
            <w:pPr>
              <w:widowControl/>
              <w:suppressAutoHyphens w:val="0"/>
              <w:jc w:val="center"/>
              <w:rPr>
                <w:b/>
                <w:bCs/>
                <w:kern w:val="0"/>
                <w:lang w:eastAsia="en-GB"/>
              </w:rPr>
            </w:pPr>
            <w:r w:rsidRPr="00D77C09">
              <w:rPr>
                <w:b/>
                <w:bCs/>
                <w:kern w:val="0"/>
                <w:lang w:eastAsia="en-GB"/>
              </w:rPr>
              <w:t>Стойност</w:t>
            </w:r>
          </w:p>
        </w:tc>
      </w:tr>
      <w:tr w:rsidR="00D77C09" w:rsidRPr="00D77C09" w14:paraId="7A4FDF1C" w14:textId="77777777" w:rsidTr="00D77C09">
        <w:tc>
          <w:tcPr>
            <w:tcW w:w="3879" w:type="pct"/>
            <w:hideMark/>
          </w:tcPr>
          <w:p w14:paraId="6F4CAEC0" w14:textId="77777777" w:rsidR="00D77C09" w:rsidRPr="00D77C09" w:rsidRDefault="00D77C09" w:rsidP="00D77C09">
            <w:pPr>
              <w:widowControl/>
              <w:suppressAutoHyphens w:val="0"/>
              <w:rPr>
                <w:kern w:val="0"/>
                <w:lang w:eastAsia="en-GB"/>
              </w:rPr>
            </w:pPr>
            <w:r w:rsidRPr="00D77C09">
              <w:rPr>
                <w:kern w:val="0"/>
                <w:lang w:eastAsia="en-GB"/>
              </w:rPr>
              <w:t>Константа (α)</w:t>
            </w:r>
          </w:p>
        </w:tc>
        <w:tc>
          <w:tcPr>
            <w:tcW w:w="1121" w:type="pct"/>
            <w:hideMark/>
          </w:tcPr>
          <w:p w14:paraId="6BD8E180" w14:textId="77777777" w:rsidR="00D77C09" w:rsidRPr="00D77C09" w:rsidRDefault="00D77C09" w:rsidP="00D77C09">
            <w:pPr>
              <w:widowControl/>
              <w:suppressAutoHyphens w:val="0"/>
              <w:rPr>
                <w:kern w:val="0"/>
                <w:lang w:eastAsia="en-GB"/>
              </w:rPr>
            </w:pPr>
            <w:r w:rsidRPr="00D77C09">
              <w:rPr>
                <w:kern w:val="0"/>
                <w:lang w:eastAsia="en-GB"/>
              </w:rPr>
              <w:t>850.40</w:t>
            </w:r>
          </w:p>
        </w:tc>
      </w:tr>
      <w:tr w:rsidR="00D77C09" w:rsidRPr="00D77C09" w14:paraId="23721DD0" w14:textId="77777777" w:rsidTr="00D77C09">
        <w:tc>
          <w:tcPr>
            <w:tcW w:w="3879" w:type="pct"/>
            <w:hideMark/>
          </w:tcPr>
          <w:p w14:paraId="652F3FDD" w14:textId="77777777" w:rsidR="00D77C09" w:rsidRPr="00D77C09" w:rsidRDefault="00D77C09" w:rsidP="00D77C09">
            <w:pPr>
              <w:widowControl/>
              <w:suppressAutoHyphens w:val="0"/>
              <w:rPr>
                <w:kern w:val="0"/>
                <w:lang w:eastAsia="en-GB"/>
              </w:rPr>
            </w:pPr>
            <w:r w:rsidRPr="00D77C09">
              <w:rPr>
                <w:kern w:val="0"/>
                <w:lang w:eastAsia="en-GB"/>
              </w:rPr>
              <w:t>Коефициент пред доларовия индекс (β₁)</w:t>
            </w:r>
          </w:p>
        </w:tc>
        <w:tc>
          <w:tcPr>
            <w:tcW w:w="1121" w:type="pct"/>
            <w:hideMark/>
          </w:tcPr>
          <w:p w14:paraId="60B1E384" w14:textId="77777777" w:rsidR="00D77C09" w:rsidRPr="00D77C09" w:rsidRDefault="00D77C09" w:rsidP="00D77C09">
            <w:pPr>
              <w:widowControl/>
              <w:suppressAutoHyphens w:val="0"/>
              <w:rPr>
                <w:kern w:val="0"/>
                <w:lang w:eastAsia="en-GB"/>
              </w:rPr>
            </w:pPr>
            <w:r w:rsidRPr="00D77C09">
              <w:rPr>
                <w:kern w:val="0"/>
                <w:lang w:eastAsia="en-GB"/>
              </w:rPr>
              <w:t>–6.80</w:t>
            </w:r>
          </w:p>
        </w:tc>
      </w:tr>
      <w:tr w:rsidR="00D77C09" w:rsidRPr="00D77C09" w14:paraId="7B104D26" w14:textId="77777777" w:rsidTr="00D77C09">
        <w:tc>
          <w:tcPr>
            <w:tcW w:w="3879" w:type="pct"/>
            <w:hideMark/>
          </w:tcPr>
          <w:p w14:paraId="6BEE8CC0" w14:textId="77777777" w:rsidR="00D77C09" w:rsidRPr="00D77C09" w:rsidRDefault="00D77C09" w:rsidP="00D77C09">
            <w:pPr>
              <w:widowControl/>
              <w:suppressAutoHyphens w:val="0"/>
              <w:rPr>
                <w:kern w:val="0"/>
                <w:lang w:eastAsia="en-GB"/>
              </w:rPr>
            </w:pPr>
            <w:r w:rsidRPr="00D77C09">
              <w:rPr>
                <w:kern w:val="0"/>
                <w:lang w:eastAsia="en-GB"/>
              </w:rPr>
              <w:t>Коефициент на корелация (R)</w:t>
            </w:r>
          </w:p>
        </w:tc>
        <w:tc>
          <w:tcPr>
            <w:tcW w:w="1121" w:type="pct"/>
            <w:hideMark/>
          </w:tcPr>
          <w:p w14:paraId="399A99F0" w14:textId="77777777" w:rsidR="00D77C09" w:rsidRPr="00D77C09" w:rsidRDefault="00D77C09" w:rsidP="00D77C09">
            <w:pPr>
              <w:widowControl/>
              <w:suppressAutoHyphens w:val="0"/>
              <w:rPr>
                <w:kern w:val="0"/>
                <w:lang w:eastAsia="en-GB"/>
              </w:rPr>
            </w:pPr>
            <w:r w:rsidRPr="00D77C09">
              <w:rPr>
                <w:kern w:val="0"/>
                <w:lang w:eastAsia="en-GB"/>
              </w:rPr>
              <w:t>–0.90</w:t>
            </w:r>
          </w:p>
        </w:tc>
      </w:tr>
      <w:tr w:rsidR="00D77C09" w:rsidRPr="00D77C09" w14:paraId="32076E29" w14:textId="77777777" w:rsidTr="00D77C09">
        <w:tc>
          <w:tcPr>
            <w:tcW w:w="3879" w:type="pct"/>
            <w:hideMark/>
          </w:tcPr>
          <w:p w14:paraId="3B6C9727" w14:textId="77777777" w:rsidR="00D77C09" w:rsidRPr="00D77C09" w:rsidRDefault="00D77C09" w:rsidP="00D77C09">
            <w:pPr>
              <w:widowControl/>
              <w:suppressAutoHyphens w:val="0"/>
              <w:rPr>
                <w:kern w:val="0"/>
                <w:lang w:eastAsia="en-GB"/>
              </w:rPr>
            </w:pPr>
            <w:r w:rsidRPr="00D77C09">
              <w:rPr>
                <w:kern w:val="0"/>
                <w:lang w:eastAsia="en-GB"/>
              </w:rPr>
              <w:t>Коефициент на детерминация (R²)</w:t>
            </w:r>
          </w:p>
        </w:tc>
        <w:tc>
          <w:tcPr>
            <w:tcW w:w="1121" w:type="pct"/>
            <w:hideMark/>
          </w:tcPr>
          <w:p w14:paraId="4FEF7FD2" w14:textId="77777777" w:rsidR="00D77C09" w:rsidRPr="00D77C09" w:rsidRDefault="00D77C09" w:rsidP="00D77C09">
            <w:pPr>
              <w:widowControl/>
              <w:suppressAutoHyphens w:val="0"/>
              <w:rPr>
                <w:kern w:val="0"/>
                <w:lang w:eastAsia="en-GB"/>
              </w:rPr>
            </w:pPr>
            <w:r w:rsidRPr="00D77C09">
              <w:rPr>
                <w:kern w:val="0"/>
                <w:lang w:eastAsia="en-GB"/>
              </w:rPr>
              <w:t>0.81</w:t>
            </w:r>
          </w:p>
        </w:tc>
      </w:tr>
      <w:tr w:rsidR="00D77C09" w:rsidRPr="00D77C09" w14:paraId="074E2A64" w14:textId="77777777" w:rsidTr="00D77C09">
        <w:tc>
          <w:tcPr>
            <w:tcW w:w="3879" w:type="pct"/>
            <w:hideMark/>
          </w:tcPr>
          <w:p w14:paraId="6219F0B0" w14:textId="77777777" w:rsidR="00D77C09" w:rsidRPr="00D77C09" w:rsidRDefault="00D77C09" w:rsidP="00D77C09">
            <w:pPr>
              <w:widowControl/>
              <w:suppressAutoHyphens w:val="0"/>
              <w:rPr>
                <w:kern w:val="0"/>
                <w:lang w:eastAsia="en-GB"/>
              </w:rPr>
            </w:pPr>
            <w:r w:rsidRPr="00D77C09">
              <w:rPr>
                <w:kern w:val="0"/>
                <w:lang w:eastAsia="en-GB"/>
              </w:rPr>
              <w:t>t-статистика</w:t>
            </w:r>
          </w:p>
        </w:tc>
        <w:tc>
          <w:tcPr>
            <w:tcW w:w="1121" w:type="pct"/>
            <w:hideMark/>
          </w:tcPr>
          <w:p w14:paraId="183368F4" w14:textId="77777777" w:rsidR="00D77C09" w:rsidRPr="00D77C09" w:rsidRDefault="00D77C09" w:rsidP="00D77C09">
            <w:pPr>
              <w:widowControl/>
              <w:suppressAutoHyphens w:val="0"/>
              <w:rPr>
                <w:kern w:val="0"/>
                <w:lang w:eastAsia="en-GB"/>
              </w:rPr>
            </w:pPr>
            <w:r w:rsidRPr="00D77C09">
              <w:rPr>
                <w:kern w:val="0"/>
                <w:lang w:eastAsia="en-GB"/>
              </w:rPr>
              <w:t>–3.59</w:t>
            </w:r>
          </w:p>
        </w:tc>
      </w:tr>
      <w:tr w:rsidR="00D77C09" w:rsidRPr="00D77C09" w14:paraId="0D537A1B" w14:textId="77777777" w:rsidTr="00D77C09">
        <w:tc>
          <w:tcPr>
            <w:tcW w:w="3879" w:type="pct"/>
            <w:hideMark/>
          </w:tcPr>
          <w:p w14:paraId="5CBCF852" w14:textId="77777777" w:rsidR="00D77C09" w:rsidRPr="00D77C09" w:rsidRDefault="00D77C09" w:rsidP="00D77C09">
            <w:pPr>
              <w:widowControl/>
              <w:suppressAutoHyphens w:val="0"/>
              <w:rPr>
                <w:kern w:val="0"/>
                <w:lang w:eastAsia="en-GB"/>
              </w:rPr>
            </w:pPr>
            <w:r w:rsidRPr="00D77C09">
              <w:rPr>
                <w:kern w:val="0"/>
                <w:lang w:eastAsia="en-GB"/>
              </w:rPr>
              <w:t>p-стойност</w:t>
            </w:r>
          </w:p>
        </w:tc>
        <w:tc>
          <w:tcPr>
            <w:tcW w:w="1121" w:type="pct"/>
            <w:hideMark/>
          </w:tcPr>
          <w:p w14:paraId="588F5241" w14:textId="77777777" w:rsidR="00D77C09" w:rsidRPr="00D77C09" w:rsidRDefault="00D77C09" w:rsidP="00D77C09">
            <w:pPr>
              <w:widowControl/>
              <w:suppressAutoHyphens w:val="0"/>
              <w:rPr>
                <w:kern w:val="0"/>
                <w:lang w:eastAsia="en-GB"/>
              </w:rPr>
            </w:pPr>
            <w:r w:rsidRPr="00D77C09">
              <w:rPr>
                <w:kern w:val="0"/>
                <w:lang w:eastAsia="en-GB"/>
              </w:rPr>
              <w:t>0.036</w:t>
            </w:r>
          </w:p>
        </w:tc>
      </w:tr>
      <w:tr w:rsidR="00D77C09" w:rsidRPr="00D77C09" w14:paraId="3C9FD594" w14:textId="77777777" w:rsidTr="00D77C09">
        <w:tc>
          <w:tcPr>
            <w:tcW w:w="3879" w:type="pct"/>
            <w:hideMark/>
          </w:tcPr>
          <w:p w14:paraId="56802643" w14:textId="77777777" w:rsidR="00D77C09" w:rsidRPr="00D77C09" w:rsidRDefault="00D77C09" w:rsidP="00D77C09">
            <w:pPr>
              <w:widowControl/>
              <w:suppressAutoHyphens w:val="0"/>
              <w:rPr>
                <w:kern w:val="0"/>
                <w:lang w:eastAsia="en-GB"/>
              </w:rPr>
            </w:pPr>
            <w:r w:rsidRPr="00D77C09">
              <w:rPr>
                <w:kern w:val="0"/>
                <w:lang w:eastAsia="en-GB"/>
              </w:rPr>
              <w:t>Брой наблюдения (n)</w:t>
            </w:r>
          </w:p>
        </w:tc>
        <w:tc>
          <w:tcPr>
            <w:tcW w:w="1121" w:type="pct"/>
            <w:hideMark/>
          </w:tcPr>
          <w:p w14:paraId="0D48CAFC" w14:textId="77777777" w:rsidR="00D77C09" w:rsidRPr="00D77C09" w:rsidRDefault="00D77C09" w:rsidP="00D77C09">
            <w:pPr>
              <w:widowControl/>
              <w:suppressAutoHyphens w:val="0"/>
              <w:rPr>
                <w:kern w:val="0"/>
                <w:lang w:eastAsia="en-GB"/>
              </w:rPr>
            </w:pPr>
            <w:r w:rsidRPr="00D77C09">
              <w:rPr>
                <w:kern w:val="0"/>
                <w:lang w:eastAsia="en-GB"/>
              </w:rPr>
              <w:t>5</w:t>
            </w:r>
          </w:p>
        </w:tc>
      </w:tr>
    </w:tbl>
    <w:p w14:paraId="607958E7" w14:textId="77777777" w:rsidR="00843696" w:rsidRPr="00843696" w:rsidRDefault="00843696" w:rsidP="00843696">
      <w:pPr>
        <w:spacing w:line="360" w:lineRule="auto"/>
        <w:ind w:firstLine="709"/>
        <w:jc w:val="both"/>
      </w:pPr>
      <w:r w:rsidRPr="00843696">
        <w:t xml:space="preserve">Коефициентът пред индекса на щатския долар е отрицателен (–6.80), което означава, че при увеличение на индекса с една единица доходността на биткойн намалява </w:t>
      </w:r>
      <w:r w:rsidRPr="00843696">
        <w:lastRenderedPageBreak/>
        <w:t>средно с приблизително 6.80 процентни пункта. Високата стойност на коефициента на детерминация (0.81) показва, че моделът има добра обяснителна способност и значителна част от изменението в доходността на биткойн се обяснява от промените в стойността на долара. Получените резултати са статистически значими, което потвърждава същественото влияние на валутния фактор върху динамиката на криптоактива.</w:t>
      </w:r>
    </w:p>
    <w:p w14:paraId="2A547D8C" w14:textId="77777777" w:rsidR="00843696" w:rsidRPr="00843696" w:rsidRDefault="00843696" w:rsidP="00843696">
      <w:pPr>
        <w:spacing w:line="360" w:lineRule="auto"/>
        <w:ind w:firstLine="709"/>
        <w:jc w:val="both"/>
      </w:pPr>
      <w:r w:rsidRPr="00843696">
        <w:t>От гледна точка на целия период 2020–2024 г. може да се заключи, че индексът на щатския долар е важен фактор за доходността на биткойн, като неговото влияние е ясно изразено и предимно отрицателно. За разлика от инфлацията, която действа косвено, и в съответствие с лихвения процент, доларовият индекс отразява глобалните капиталови потоци и предпочитанията на инвеститорите. Това означава, че биткойн реагира чувствително на промените в международната финансова среда и се държи като актив, зависим от валутната динамика и ликвидността.</w:t>
      </w:r>
    </w:p>
    <w:p w14:paraId="06611F5B" w14:textId="114DA845" w:rsidR="00843696" w:rsidRPr="00843696" w:rsidRDefault="00843696" w:rsidP="00843696">
      <w:pPr>
        <w:spacing w:line="360" w:lineRule="auto"/>
        <w:ind w:firstLine="709"/>
        <w:jc w:val="both"/>
      </w:pPr>
      <w:r w:rsidRPr="006040D3">
        <w:t>Тези резултати показват</w:t>
      </w:r>
      <w:r w:rsidRPr="00843696">
        <w:t>, че увеличаването на стойността на щатския долар води до спад в доходността на биткойн, докато отслабването на долара създава условия за възходящо движение на пазара. Това допълнително потвърждава, че динамиката на криптоактивите е тясно свързана с глобалните макроикономически процеси и валутните колебания.</w:t>
      </w:r>
    </w:p>
    <w:p w14:paraId="132B173E" w14:textId="2FB82D23" w:rsidR="00790332" w:rsidRPr="006040D3" w:rsidRDefault="00790332" w:rsidP="00C644F0">
      <w:pPr>
        <w:spacing w:line="360" w:lineRule="auto"/>
        <w:ind w:firstLine="709"/>
        <w:jc w:val="both"/>
      </w:pPr>
      <w:r w:rsidRPr="006040D3">
        <w:rPr>
          <w:b/>
          <w:bCs/>
          <w:i/>
          <w:iCs/>
        </w:rPr>
        <w:t xml:space="preserve">3.2.4. Резултати от многомерния регресионен </w:t>
      </w:r>
      <w:r w:rsidR="00513D02" w:rsidRPr="006040D3">
        <w:rPr>
          <w:b/>
          <w:bCs/>
          <w:i/>
          <w:iCs/>
        </w:rPr>
        <w:t>модел</w:t>
      </w:r>
    </w:p>
    <w:p w14:paraId="6DD9387B" w14:textId="75C74BC4" w:rsidR="00790332" w:rsidRPr="00790332" w:rsidRDefault="00790332" w:rsidP="00790332">
      <w:pPr>
        <w:spacing w:line="360" w:lineRule="auto"/>
        <w:ind w:firstLine="709"/>
        <w:jc w:val="both"/>
      </w:pPr>
      <w:r w:rsidRPr="00790332">
        <w:t xml:space="preserve">Резултатите от многомерния регресионен </w:t>
      </w:r>
      <w:r w:rsidR="00513D02" w:rsidRPr="006040D3">
        <w:t>модел</w:t>
      </w:r>
      <w:r w:rsidRPr="00790332">
        <w:t xml:space="preserve"> показват, че инфлацията, основният лихвен процент и индексът на щатския долар оказват съвместно влияние върху доходността на биткойн (Табл. </w:t>
      </w:r>
      <w:r w:rsidR="00FF339D">
        <w:t>6</w:t>
      </w:r>
      <w:r w:rsidRPr="00790332">
        <w:t>).</w:t>
      </w:r>
    </w:p>
    <w:p w14:paraId="4158B102" w14:textId="5254860B" w:rsidR="00790332" w:rsidRPr="006040D3" w:rsidRDefault="00790332" w:rsidP="00790332">
      <w:pPr>
        <w:spacing w:line="360" w:lineRule="auto"/>
        <w:ind w:firstLine="709"/>
        <w:jc w:val="center"/>
      </w:pPr>
      <w:r w:rsidRPr="00790332">
        <w:t xml:space="preserve">Таблица </w:t>
      </w:r>
      <w:r w:rsidR="00FF339D">
        <w:t>6</w:t>
      </w:r>
      <w:r w:rsidRPr="00790332">
        <w:t xml:space="preserve">.  </w:t>
      </w:r>
      <w:r w:rsidRPr="006040D3">
        <w:t>Резултати от многомерен линеен регресионен модел (зависима променлива: доходност на биткойн)</w:t>
      </w:r>
    </w:p>
    <w:tbl>
      <w:tblPr>
        <w:tblStyle w:val="TableGrid"/>
        <w:tblW w:w="0" w:type="auto"/>
        <w:tblLook w:val="04A0" w:firstRow="1" w:lastRow="0" w:firstColumn="1" w:lastColumn="0" w:noHBand="0" w:noVBand="1"/>
      </w:tblPr>
      <w:tblGrid>
        <w:gridCol w:w="1873"/>
        <w:gridCol w:w="1907"/>
        <w:gridCol w:w="2387"/>
        <w:gridCol w:w="1598"/>
        <w:gridCol w:w="1395"/>
      </w:tblGrid>
      <w:tr w:rsidR="00790332" w:rsidRPr="00790332" w14:paraId="33646B88" w14:textId="77777777" w:rsidTr="00790332">
        <w:tc>
          <w:tcPr>
            <w:tcW w:w="0" w:type="auto"/>
            <w:hideMark/>
          </w:tcPr>
          <w:p w14:paraId="0C8B64B9" w14:textId="77777777" w:rsidR="00790332" w:rsidRPr="00790332" w:rsidRDefault="00790332" w:rsidP="00790332">
            <w:pPr>
              <w:widowControl/>
              <w:suppressAutoHyphens w:val="0"/>
              <w:jc w:val="center"/>
              <w:rPr>
                <w:b/>
                <w:bCs/>
                <w:kern w:val="0"/>
                <w:lang w:eastAsia="en-GB"/>
              </w:rPr>
            </w:pPr>
            <w:r w:rsidRPr="00790332">
              <w:rPr>
                <w:b/>
                <w:bCs/>
                <w:kern w:val="0"/>
                <w:lang w:eastAsia="en-GB"/>
              </w:rPr>
              <w:t>Променлива</w:t>
            </w:r>
          </w:p>
        </w:tc>
        <w:tc>
          <w:tcPr>
            <w:tcW w:w="0" w:type="auto"/>
            <w:hideMark/>
          </w:tcPr>
          <w:p w14:paraId="5AA3B4B1" w14:textId="77777777" w:rsidR="00790332" w:rsidRPr="00790332" w:rsidRDefault="00790332" w:rsidP="00790332">
            <w:pPr>
              <w:widowControl/>
              <w:suppressAutoHyphens w:val="0"/>
              <w:jc w:val="center"/>
              <w:rPr>
                <w:b/>
                <w:bCs/>
                <w:kern w:val="0"/>
                <w:lang w:eastAsia="en-GB"/>
              </w:rPr>
            </w:pPr>
            <w:r w:rsidRPr="00790332">
              <w:rPr>
                <w:b/>
                <w:bCs/>
                <w:kern w:val="0"/>
                <w:lang w:eastAsia="en-GB"/>
              </w:rPr>
              <w:t>Коефициент (β)</w:t>
            </w:r>
          </w:p>
        </w:tc>
        <w:tc>
          <w:tcPr>
            <w:tcW w:w="0" w:type="auto"/>
            <w:hideMark/>
          </w:tcPr>
          <w:p w14:paraId="5557DFF0" w14:textId="77777777" w:rsidR="00790332" w:rsidRPr="00790332" w:rsidRDefault="00790332" w:rsidP="00790332">
            <w:pPr>
              <w:widowControl/>
              <w:suppressAutoHyphens w:val="0"/>
              <w:jc w:val="center"/>
              <w:rPr>
                <w:b/>
                <w:bCs/>
                <w:kern w:val="0"/>
                <w:lang w:eastAsia="en-GB"/>
              </w:rPr>
            </w:pPr>
            <w:r w:rsidRPr="00790332">
              <w:rPr>
                <w:b/>
                <w:bCs/>
                <w:kern w:val="0"/>
                <w:lang w:eastAsia="en-GB"/>
              </w:rPr>
              <w:t>Стандартна грешка</w:t>
            </w:r>
          </w:p>
        </w:tc>
        <w:tc>
          <w:tcPr>
            <w:tcW w:w="0" w:type="auto"/>
            <w:hideMark/>
          </w:tcPr>
          <w:p w14:paraId="2736DAC6" w14:textId="77777777" w:rsidR="00790332" w:rsidRPr="00790332" w:rsidRDefault="00790332" w:rsidP="00790332">
            <w:pPr>
              <w:widowControl/>
              <w:suppressAutoHyphens w:val="0"/>
              <w:jc w:val="center"/>
              <w:rPr>
                <w:b/>
                <w:bCs/>
                <w:kern w:val="0"/>
                <w:lang w:eastAsia="en-GB"/>
              </w:rPr>
            </w:pPr>
            <w:r w:rsidRPr="00790332">
              <w:rPr>
                <w:b/>
                <w:bCs/>
                <w:kern w:val="0"/>
                <w:lang w:eastAsia="en-GB"/>
              </w:rPr>
              <w:t>t-статистика</w:t>
            </w:r>
          </w:p>
        </w:tc>
        <w:tc>
          <w:tcPr>
            <w:tcW w:w="0" w:type="auto"/>
            <w:hideMark/>
          </w:tcPr>
          <w:p w14:paraId="7E739692" w14:textId="77777777" w:rsidR="00790332" w:rsidRPr="00790332" w:rsidRDefault="00790332" w:rsidP="00790332">
            <w:pPr>
              <w:widowControl/>
              <w:suppressAutoHyphens w:val="0"/>
              <w:jc w:val="center"/>
              <w:rPr>
                <w:b/>
                <w:bCs/>
                <w:kern w:val="0"/>
                <w:lang w:eastAsia="en-GB"/>
              </w:rPr>
            </w:pPr>
            <w:r w:rsidRPr="00790332">
              <w:rPr>
                <w:b/>
                <w:bCs/>
                <w:kern w:val="0"/>
                <w:lang w:eastAsia="en-GB"/>
              </w:rPr>
              <w:t>p-стойност</w:t>
            </w:r>
          </w:p>
        </w:tc>
      </w:tr>
      <w:tr w:rsidR="00790332" w:rsidRPr="00790332" w14:paraId="42EA118A" w14:textId="77777777" w:rsidTr="00790332">
        <w:tc>
          <w:tcPr>
            <w:tcW w:w="0" w:type="auto"/>
            <w:hideMark/>
          </w:tcPr>
          <w:p w14:paraId="2E7E0A10" w14:textId="77777777" w:rsidR="00790332" w:rsidRPr="00790332" w:rsidRDefault="00790332" w:rsidP="00790332">
            <w:pPr>
              <w:widowControl/>
              <w:suppressAutoHyphens w:val="0"/>
              <w:rPr>
                <w:kern w:val="0"/>
                <w:lang w:eastAsia="en-GB"/>
              </w:rPr>
            </w:pPr>
            <w:r w:rsidRPr="00790332">
              <w:rPr>
                <w:kern w:val="0"/>
                <w:lang w:eastAsia="en-GB"/>
              </w:rPr>
              <w:t>Константа (α)</w:t>
            </w:r>
          </w:p>
        </w:tc>
        <w:tc>
          <w:tcPr>
            <w:tcW w:w="0" w:type="auto"/>
            <w:hideMark/>
          </w:tcPr>
          <w:p w14:paraId="3454D07E" w14:textId="77777777" w:rsidR="00790332" w:rsidRPr="00790332" w:rsidRDefault="00790332" w:rsidP="00790332">
            <w:pPr>
              <w:widowControl/>
              <w:suppressAutoHyphens w:val="0"/>
              <w:rPr>
                <w:kern w:val="0"/>
                <w:lang w:eastAsia="en-GB"/>
              </w:rPr>
            </w:pPr>
            <w:r w:rsidRPr="00790332">
              <w:rPr>
                <w:kern w:val="0"/>
                <w:lang w:eastAsia="en-GB"/>
              </w:rPr>
              <w:t>420.15</w:t>
            </w:r>
          </w:p>
        </w:tc>
        <w:tc>
          <w:tcPr>
            <w:tcW w:w="0" w:type="auto"/>
            <w:hideMark/>
          </w:tcPr>
          <w:p w14:paraId="34CF52F5" w14:textId="77777777" w:rsidR="00790332" w:rsidRPr="00790332" w:rsidRDefault="00790332" w:rsidP="00790332">
            <w:pPr>
              <w:widowControl/>
              <w:suppressAutoHyphens w:val="0"/>
              <w:rPr>
                <w:kern w:val="0"/>
                <w:lang w:eastAsia="en-GB"/>
              </w:rPr>
            </w:pPr>
            <w:r w:rsidRPr="00790332">
              <w:rPr>
                <w:kern w:val="0"/>
                <w:lang w:eastAsia="en-GB"/>
              </w:rPr>
              <w:t>102.34</w:t>
            </w:r>
          </w:p>
        </w:tc>
        <w:tc>
          <w:tcPr>
            <w:tcW w:w="0" w:type="auto"/>
            <w:hideMark/>
          </w:tcPr>
          <w:p w14:paraId="10AE4B09" w14:textId="77777777" w:rsidR="00790332" w:rsidRPr="00790332" w:rsidRDefault="00790332" w:rsidP="00790332">
            <w:pPr>
              <w:widowControl/>
              <w:suppressAutoHyphens w:val="0"/>
              <w:rPr>
                <w:kern w:val="0"/>
                <w:lang w:eastAsia="en-GB"/>
              </w:rPr>
            </w:pPr>
            <w:r w:rsidRPr="00790332">
              <w:rPr>
                <w:kern w:val="0"/>
                <w:lang w:eastAsia="en-GB"/>
              </w:rPr>
              <w:t>4.11</w:t>
            </w:r>
          </w:p>
        </w:tc>
        <w:tc>
          <w:tcPr>
            <w:tcW w:w="0" w:type="auto"/>
            <w:hideMark/>
          </w:tcPr>
          <w:p w14:paraId="09815D6F" w14:textId="77777777" w:rsidR="00790332" w:rsidRPr="00790332" w:rsidRDefault="00790332" w:rsidP="00790332">
            <w:pPr>
              <w:widowControl/>
              <w:suppressAutoHyphens w:val="0"/>
              <w:rPr>
                <w:kern w:val="0"/>
                <w:lang w:eastAsia="en-GB"/>
              </w:rPr>
            </w:pPr>
            <w:r w:rsidRPr="00790332">
              <w:rPr>
                <w:kern w:val="0"/>
                <w:lang w:eastAsia="en-GB"/>
              </w:rPr>
              <w:t>0.054</w:t>
            </w:r>
          </w:p>
        </w:tc>
      </w:tr>
      <w:tr w:rsidR="00790332" w:rsidRPr="00790332" w14:paraId="1F2528D2" w14:textId="77777777" w:rsidTr="00790332">
        <w:tc>
          <w:tcPr>
            <w:tcW w:w="0" w:type="auto"/>
            <w:hideMark/>
          </w:tcPr>
          <w:p w14:paraId="28AFA709" w14:textId="77777777" w:rsidR="00790332" w:rsidRPr="00790332" w:rsidRDefault="00790332" w:rsidP="00790332">
            <w:pPr>
              <w:widowControl/>
              <w:suppressAutoHyphens w:val="0"/>
              <w:rPr>
                <w:kern w:val="0"/>
                <w:lang w:eastAsia="en-GB"/>
              </w:rPr>
            </w:pPr>
            <w:r w:rsidRPr="00790332">
              <w:rPr>
                <w:kern w:val="0"/>
                <w:lang w:eastAsia="en-GB"/>
              </w:rPr>
              <w:t>Инфлация</w:t>
            </w:r>
          </w:p>
        </w:tc>
        <w:tc>
          <w:tcPr>
            <w:tcW w:w="0" w:type="auto"/>
            <w:hideMark/>
          </w:tcPr>
          <w:p w14:paraId="75A7DE2E" w14:textId="77777777" w:rsidR="00790332" w:rsidRPr="00790332" w:rsidRDefault="00790332" w:rsidP="00790332">
            <w:pPr>
              <w:widowControl/>
              <w:suppressAutoHyphens w:val="0"/>
              <w:rPr>
                <w:kern w:val="0"/>
                <w:lang w:eastAsia="en-GB"/>
              </w:rPr>
            </w:pPr>
            <w:r w:rsidRPr="00790332">
              <w:rPr>
                <w:kern w:val="0"/>
                <w:lang w:eastAsia="en-GB"/>
              </w:rPr>
              <w:t>–28.60</w:t>
            </w:r>
          </w:p>
        </w:tc>
        <w:tc>
          <w:tcPr>
            <w:tcW w:w="0" w:type="auto"/>
            <w:hideMark/>
          </w:tcPr>
          <w:p w14:paraId="440389B7" w14:textId="77777777" w:rsidR="00790332" w:rsidRPr="00790332" w:rsidRDefault="00790332" w:rsidP="00790332">
            <w:pPr>
              <w:widowControl/>
              <w:suppressAutoHyphens w:val="0"/>
              <w:rPr>
                <w:kern w:val="0"/>
                <w:lang w:eastAsia="en-GB"/>
              </w:rPr>
            </w:pPr>
            <w:r w:rsidRPr="00790332">
              <w:rPr>
                <w:kern w:val="0"/>
                <w:lang w:eastAsia="en-GB"/>
              </w:rPr>
              <w:t>15.72</w:t>
            </w:r>
          </w:p>
        </w:tc>
        <w:tc>
          <w:tcPr>
            <w:tcW w:w="0" w:type="auto"/>
            <w:hideMark/>
          </w:tcPr>
          <w:p w14:paraId="56C706D3" w14:textId="77777777" w:rsidR="00790332" w:rsidRPr="00790332" w:rsidRDefault="00790332" w:rsidP="00790332">
            <w:pPr>
              <w:widowControl/>
              <w:suppressAutoHyphens w:val="0"/>
              <w:rPr>
                <w:kern w:val="0"/>
                <w:lang w:eastAsia="en-GB"/>
              </w:rPr>
            </w:pPr>
            <w:r w:rsidRPr="00790332">
              <w:rPr>
                <w:kern w:val="0"/>
                <w:lang w:eastAsia="en-GB"/>
              </w:rPr>
              <w:t>–1.82</w:t>
            </w:r>
          </w:p>
        </w:tc>
        <w:tc>
          <w:tcPr>
            <w:tcW w:w="0" w:type="auto"/>
            <w:hideMark/>
          </w:tcPr>
          <w:p w14:paraId="2C5DA239" w14:textId="77777777" w:rsidR="00790332" w:rsidRPr="00790332" w:rsidRDefault="00790332" w:rsidP="00790332">
            <w:pPr>
              <w:widowControl/>
              <w:suppressAutoHyphens w:val="0"/>
              <w:rPr>
                <w:kern w:val="0"/>
                <w:lang w:eastAsia="en-GB"/>
              </w:rPr>
            </w:pPr>
            <w:r w:rsidRPr="00790332">
              <w:rPr>
                <w:kern w:val="0"/>
                <w:lang w:eastAsia="en-GB"/>
              </w:rPr>
              <w:t>0.210</w:t>
            </w:r>
          </w:p>
        </w:tc>
      </w:tr>
      <w:tr w:rsidR="00790332" w:rsidRPr="00790332" w14:paraId="1DD44712" w14:textId="77777777" w:rsidTr="00790332">
        <w:tc>
          <w:tcPr>
            <w:tcW w:w="0" w:type="auto"/>
            <w:hideMark/>
          </w:tcPr>
          <w:p w14:paraId="6F9BB808" w14:textId="77777777" w:rsidR="00790332" w:rsidRPr="00790332" w:rsidRDefault="00790332" w:rsidP="00790332">
            <w:pPr>
              <w:widowControl/>
              <w:suppressAutoHyphens w:val="0"/>
              <w:rPr>
                <w:kern w:val="0"/>
                <w:lang w:eastAsia="en-GB"/>
              </w:rPr>
            </w:pPr>
            <w:r w:rsidRPr="00790332">
              <w:rPr>
                <w:kern w:val="0"/>
                <w:lang w:eastAsia="en-GB"/>
              </w:rPr>
              <w:t>Лихвен процент</w:t>
            </w:r>
          </w:p>
        </w:tc>
        <w:tc>
          <w:tcPr>
            <w:tcW w:w="0" w:type="auto"/>
            <w:hideMark/>
          </w:tcPr>
          <w:p w14:paraId="43F01081" w14:textId="77777777" w:rsidR="00790332" w:rsidRPr="00790332" w:rsidRDefault="00790332" w:rsidP="00790332">
            <w:pPr>
              <w:widowControl/>
              <w:suppressAutoHyphens w:val="0"/>
              <w:rPr>
                <w:kern w:val="0"/>
                <w:lang w:eastAsia="en-GB"/>
              </w:rPr>
            </w:pPr>
            <w:r w:rsidRPr="00790332">
              <w:rPr>
                <w:kern w:val="0"/>
                <w:lang w:eastAsia="en-GB"/>
              </w:rPr>
              <w:t>–35.20</w:t>
            </w:r>
          </w:p>
        </w:tc>
        <w:tc>
          <w:tcPr>
            <w:tcW w:w="0" w:type="auto"/>
            <w:hideMark/>
          </w:tcPr>
          <w:p w14:paraId="6BB5F99B" w14:textId="77777777" w:rsidR="00790332" w:rsidRPr="00790332" w:rsidRDefault="00790332" w:rsidP="00790332">
            <w:pPr>
              <w:widowControl/>
              <w:suppressAutoHyphens w:val="0"/>
              <w:rPr>
                <w:kern w:val="0"/>
                <w:lang w:eastAsia="en-GB"/>
              </w:rPr>
            </w:pPr>
            <w:r w:rsidRPr="00790332">
              <w:rPr>
                <w:kern w:val="0"/>
                <w:lang w:eastAsia="en-GB"/>
              </w:rPr>
              <w:t>12.45</w:t>
            </w:r>
          </w:p>
        </w:tc>
        <w:tc>
          <w:tcPr>
            <w:tcW w:w="0" w:type="auto"/>
            <w:hideMark/>
          </w:tcPr>
          <w:p w14:paraId="3F3599DB" w14:textId="77777777" w:rsidR="00790332" w:rsidRPr="00790332" w:rsidRDefault="00790332" w:rsidP="00790332">
            <w:pPr>
              <w:widowControl/>
              <w:suppressAutoHyphens w:val="0"/>
              <w:rPr>
                <w:kern w:val="0"/>
                <w:lang w:eastAsia="en-GB"/>
              </w:rPr>
            </w:pPr>
            <w:r w:rsidRPr="00790332">
              <w:rPr>
                <w:kern w:val="0"/>
                <w:lang w:eastAsia="en-GB"/>
              </w:rPr>
              <w:t>–2.83</w:t>
            </w:r>
          </w:p>
        </w:tc>
        <w:tc>
          <w:tcPr>
            <w:tcW w:w="0" w:type="auto"/>
            <w:hideMark/>
          </w:tcPr>
          <w:p w14:paraId="065C4BCA" w14:textId="77777777" w:rsidR="00790332" w:rsidRPr="00790332" w:rsidRDefault="00790332" w:rsidP="00790332">
            <w:pPr>
              <w:widowControl/>
              <w:suppressAutoHyphens w:val="0"/>
              <w:rPr>
                <w:kern w:val="0"/>
                <w:lang w:eastAsia="en-GB"/>
              </w:rPr>
            </w:pPr>
            <w:r w:rsidRPr="00790332">
              <w:rPr>
                <w:kern w:val="0"/>
                <w:lang w:eastAsia="en-GB"/>
              </w:rPr>
              <w:t>0.105</w:t>
            </w:r>
          </w:p>
        </w:tc>
      </w:tr>
      <w:tr w:rsidR="00790332" w:rsidRPr="00790332" w14:paraId="71AF9C15" w14:textId="77777777" w:rsidTr="00790332">
        <w:tc>
          <w:tcPr>
            <w:tcW w:w="0" w:type="auto"/>
            <w:hideMark/>
          </w:tcPr>
          <w:p w14:paraId="73B74A56" w14:textId="77777777" w:rsidR="00790332" w:rsidRPr="00790332" w:rsidRDefault="00790332" w:rsidP="00790332">
            <w:pPr>
              <w:widowControl/>
              <w:suppressAutoHyphens w:val="0"/>
              <w:rPr>
                <w:kern w:val="0"/>
                <w:lang w:eastAsia="en-GB"/>
              </w:rPr>
            </w:pPr>
            <w:r w:rsidRPr="00790332">
              <w:rPr>
                <w:kern w:val="0"/>
                <w:lang w:eastAsia="en-GB"/>
              </w:rPr>
              <w:t>Доларов индекс</w:t>
            </w:r>
          </w:p>
        </w:tc>
        <w:tc>
          <w:tcPr>
            <w:tcW w:w="0" w:type="auto"/>
            <w:hideMark/>
          </w:tcPr>
          <w:p w14:paraId="59ABCC69" w14:textId="77777777" w:rsidR="00790332" w:rsidRPr="00790332" w:rsidRDefault="00790332" w:rsidP="00790332">
            <w:pPr>
              <w:widowControl/>
              <w:suppressAutoHyphens w:val="0"/>
              <w:rPr>
                <w:kern w:val="0"/>
                <w:lang w:eastAsia="en-GB"/>
              </w:rPr>
            </w:pPr>
            <w:r w:rsidRPr="00790332">
              <w:rPr>
                <w:kern w:val="0"/>
                <w:lang w:eastAsia="en-GB"/>
              </w:rPr>
              <w:t>–2.10</w:t>
            </w:r>
          </w:p>
        </w:tc>
        <w:tc>
          <w:tcPr>
            <w:tcW w:w="0" w:type="auto"/>
            <w:hideMark/>
          </w:tcPr>
          <w:p w14:paraId="2ECDCC0F" w14:textId="77777777" w:rsidR="00790332" w:rsidRPr="00790332" w:rsidRDefault="00790332" w:rsidP="00790332">
            <w:pPr>
              <w:widowControl/>
              <w:suppressAutoHyphens w:val="0"/>
              <w:rPr>
                <w:kern w:val="0"/>
                <w:lang w:eastAsia="en-GB"/>
              </w:rPr>
            </w:pPr>
            <w:r w:rsidRPr="00790332">
              <w:rPr>
                <w:kern w:val="0"/>
                <w:lang w:eastAsia="en-GB"/>
              </w:rPr>
              <w:t>0.98</w:t>
            </w:r>
          </w:p>
        </w:tc>
        <w:tc>
          <w:tcPr>
            <w:tcW w:w="0" w:type="auto"/>
            <w:hideMark/>
          </w:tcPr>
          <w:p w14:paraId="281A3537" w14:textId="77777777" w:rsidR="00790332" w:rsidRPr="00790332" w:rsidRDefault="00790332" w:rsidP="00790332">
            <w:pPr>
              <w:widowControl/>
              <w:suppressAutoHyphens w:val="0"/>
              <w:rPr>
                <w:kern w:val="0"/>
                <w:lang w:eastAsia="en-GB"/>
              </w:rPr>
            </w:pPr>
            <w:r w:rsidRPr="00790332">
              <w:rPr>
                <w:kern w:val="0"/>
                <w:lang w:eastAsia="en-GB"/>
              </w:rPr>
              <w:t>–2.14</w:t>
            </w:r>
          </w:p>
        </w:tc>
        <w:tc>
          <w:tcPr>
            <w:tcW w:w="0" w:type="auto"/>
            <w:hideMark/>
          </w:tcPr>
          <w:p w14:paraId="107849B0" w14:textId="77777777" w:rsidR="00790332" w:rsidRPr="00790332" w:rsidRDefault="00790332" w:rsidP="00790332">
            <w:pPr>
              <w:widowControl/>
              <w:suppressAutoHyphens w:val="0"/>
              <w:rPr>
                <w:kern w:val="0"/>
                <w:lang w:eastAsia="en-GB"/>
              </w:rPr>
            </w:pPr>
            <w:r w:rsidRPr="00790332">
              <w:rPr>
                <w:kern w:val="0"/>
                <w:lang w:eastAsia="en-GB"/>
              </w:rPr>
              <w:t>0.166</w:t>
            </w:r>
          </w:p>
        </w:tc>
      </w:tr>
    </w:tbl>
    <w:p w14:paraId="3DBD6D7F" w14:textId="77777777" w:rsidR="00790332" w:rsidRPr="006040D3" w:rsidRDefault="00790332" w:rsidP="00790332">
      <w:pPr>
        <w:spacing w:line="360" w:lineRule="auto"/>
        <w:ind w:firstLine="709"/>
        <w:jc w:val="both"/>
      </w:pPr>
    </w:p>
    <w:p w14:paraId="0FCE211A" w14:textId="2E4F92BF" w:rsidR="00790332" w:rsidRPr="00790332" w:rsidRDefault="00790332" w:rsidP="00790332">
      <w:pPr>
        <w:spacing w:line="360" w:lineRule="auto"/>
        <w:ind w:firstLine="709"/>
        <w:jc w:val="both"/>
      </w:pPr>
      <w:r w:rsidRPr="00790332">
        <w:t xml:space="preserve">Коефициентът пред инфлацията остава отрицателен (–28.60), което потвърждава наличието на обратна зависимост, но с по-ниска стойност в сравнение с еднофакторния модел. Това показва, че част от ефекта на инфлацията се обяснява чрез други </w:t>
      </w:r>
      <w:r w:rsidRPr="00790332">
        <w:lastRenderedPageBreak/>
        <w:t>макроикономически фактори.</w:t>
      </w:r>
    </w:p>
    <w:p w14:paraId="71D89086" w14:textId="77777777" w:rsidR="00790332" w:rsidRPr="00790332" w:rsidRDefault="00790332" w:rsidP="00790332">
      <w:pPr>
        <w:spacing w:line="360" w:lineRule="auto"/>
        <w:ind w:firstLine="709"/>
        <w:jc w:val="both"/>
      </w:pPr>
      <w:r w:rsidRPr="00790332">
        <w:t>Най-силно влияние оказва лихвеният процент (–35.20), което показва, че затягането на паричната политика има съществено отрицателно въздействие върху доходността на биткойн. Индексът на щатския долар също има отрицателен ефект (–2.10), което означава, че засилването на долара е свързано с понижение в доходността на криптоактива.</w:t>
      </w:r>
    </w:p>
    <w:p w14:paraId="1C2D59B8" w14:textId="77777777" w:rsidR="00790332" w:rsidRPr="00790332" w:rsidRDefault="00790332" w:rsidP="00790332">
      <w:pPr>
        <w:spacing w:line="360" w:lineRule="auto"/>
        <w:ind w:firstLine="709"/>
        <w:jc w:val="both"/>
      </w:pPr>
      <w:r w:rsidRPr="00790332">
        <w:t>Високата стойност на коефициента на детерминация (0.93) показва, че моделът обяснява значителна част от измененията в доходността на биткойн. Това потвърждава, че поведението на актива през разглеждания период е силно зависимо от макроикономическата среда, а не само от инфлацията като самостоятелен фактор</w:t>
      </w:r>
      <w:r w:rsidRPr="006040D3">
        <w:t>.</w:t>
      </w:r>
    </w:p>
    <w:p w14:paraId="0A5F5EC2" w14:textId="0E413488" w:rsidR="000672E8" w:rsidRPr="006040D3" w:rsidRDefault="006E20FE" w:rsidP="006E20FE">
      <w:pPr>
        <w:spacing w:line="360" w:lineRule="auto"/>
        <w:ind w:firstLine="709"/>
        <w:jc w:val="both"/>
      </w:pPr>
      <w:r w:rsidRPr="006040D3">
        <w:rPr>
          <w:b/>
          <w:bCs/>
        </w:rPr>
        <w:t>3.3. Изводи и обобщения</w:t>
      </w:r>
    </w:p>
    <w:p w14:paraId="1F00A4D0" w14:textId="674AE920" w:rsidR="0001508E" w:rsidRPr="0001508E" w:rsidRDefault="0001508E" w:rsidP="0001508E">
      <w:pPr>
        <w:spacing w:line="360" w:lineRule="auto"/>
        <w:ind w:firstLine="709"/>
        <w:jc w:val="both"/>
      </w:pPr>
      <w:r w:rsidRPr="006040D3">
        <w:t>Получените резултати показват</w:t>
      </w:r>
      <w:r w:rsidRPr="0001508E">
        <w:t>, че динамиката на криптопазара не се определя единствено от вътрешни за него фактори, а е в значителна степен обусловена от промените в макроикономическата среда. Това потвърждава, че криптоактивите, и в частност биткойн, не могат да бъдат разглеждани като напълно автономен или изолиран сегмент на финансовата система, а следва да се анализират в тясна връзка с паричната политика, инфлационните процеси, валутната динамика и общите условия на ликвидност на международните пазари.</w:t>
      </w:r>
    </w:p>
    <w:p w14:paraId="76BF7F79" w14:textId="77777777" w:rsidR="0001508E" w:rsidRPr="0001508E" w:rsidRDefault="0001508E" w:rsidP="0001508E">
      <w:pPr>
        <w:spacing w:line="360" w:lineRule="auto"/>
        <w:ind w:firstLine="709"/>
        <w:jc w:val="both"/>
      </w:pPr>
      <w:r w:rsidRPr="0001508E">
        <w:t>Резултатите показват, че инфлацията сама по себе си не действа като пряк и еднозначен фактор за повишаване на доходността на биткойн. Макар в началото на разглеждания период да се наблюдава съвпадение между нарастваща инфлация и значителен ръст в доходността на биткойн, по-задълбоченият анализ показва, че тази връзка е силно зависима от общия макроикономически контекст. В условията на стимулираща парична политика, ниски лихвени проценти и висока ликвидност, инфлацията е съпроводена с положително движение на цената на биткойн. Когато обаче инфлационният натиск е последван от затягане на паричната политика, ефектът става отрицателен. Това означава, че инфлацията влияе върху доходността на биткойн не пряко, а чрез реакцията на централните банки и чрез промяната в инвестиционната среда. Следователно биткойн не може да бъде определен като стабилен и надежден инструмент за защита срещу инфлация в традиционния смисъл на понятието.</w:t>
      </w:r>
    </w:p>
    <w:p w14:paraId="2B8A42D7" w14:textId="77777777" w:rsidR="0001508E" w:rsidRPr="0001508E" w:rsidRDefault="0001508E" w:rsidP="0001508E">
      <w:pPr>
        <w:spacing w:line="360" w:lineRule="auto"/>
        <w:ind w:firstLine="709"/>
        <w:jc w:val="both"/>
      </w:pPr>
      <w:r w:rsidRPr="0001508E">
        <w:t xml:space="preserve">Основният лихвен процент се очертава като най-силния и най-прекия макроикономически фактор за движението на биткойн през анализирания период. Както </w:t>
      </w:r>
      <w:r w:rsidRPr="0001508E">
        <w:lastRenderedPageBreak/>
        <w:t>корелационният, така и регресионният анализ показват много силна отрицателна зависимост между промените в лихвените равнища и доходността на биткойн. Това означава, че при повишаване на основния лихвен процент доходността на биткойн намалява, докато при ниски или стабилизиращи се лихвени равнища се създават условия за възстановяване и растеж. Този резултат е особено показателен, тъй като демонстрира, че биткойн реагира по сходен начин с други високорискови активи. Увеличаването на лихвените проценти прави традиционните финансови инструменти по-привлекателни, повишава цената на финансирането и ограничава склонността на инвеститорите да поемат риск. В този смисъл пазарът на криптоактиви се оказва силно зависим от условията на паричната политика и от достъпа до евтина ликвидност.</w:t>
      </w:r>
    </w:p>
    <w:p w14:paraId="7232EB93" w14:textId="77777777" w:rsidR="0001508E" w:rsidRPr="0001508E" w:rsidRDefault="0001508E" w:rsidP="0001508E">
      <w:pPr>
        <w:spacing w:line="360" w:lineRule="auto"/>
        <w:ind w:firstLine="709"/>
        <w:jc w:val="both"/>
      </w:pPr>
      <w:r w:rsidRPr="0001508E">
        <w:t>Резултатите показват още, че индексът на щатския долар също оказва значимо и предимно отрицателно влияние върху доходността на биткойн. При засилване на долара се наблюдава спад в доходността на криптоактива, докато при отслабване на долара се създават условия за възстановяване на пазара. Тази зависимост показва, че криптоактивите са чувствителни не само към вътрешните парични условия в Съединените американски щати, но и към по-широката международна финансова среда. По-силният долар привлича капитали към по-сигурни и по-ликвидни доларови активи, което намалява интереса към алтернативни и рискови инвестиции. Следователно движението на долара изпълнява ролята на важен външен индикатор за нагласите на глобалните инвеститори, а реакцията на биткойн потвърждава неговата чувствителност към международните капиталови потоци.</w:t>
      </w:r>
    </w:p>
    <w:p w14:paraId="26844C75" w14:textId="77777777" w:rsidR="0001508E" w:rsidRPr="0001508E" w:rsidRDefault="0001508E" w:rsidP="0001508E">
      <w:pPr>
        <w:spacing w:line="360" w:lineRule="auto"/>
        <w:ind w:firstLine="709"/>
        <w:jc w:val="both"/>
      </w:pPr>
      <w:r w:rsidRPr="0001508E">
        <w:t xml:space="preserve">Сравнението между еднофакторните и многомерния регресионен модел показва, че влиянието на разглежданите макроикономически показатели не е равностойно. Еднофакторният анализ показва силни отрицателни зависимости между всеки от включените индикатори и доходността на биткойн. Когато обаче инфлацията, лихвеният процент и индексът на щатския долар се анализират едновременно, се установява, че най-силен ефект запазва лихвеният процент, докато влиянието на инфлацията отслабва в сравнение с еднофакторния модел. Това е особено важно, тъй като показва, че част от въздействието на инфлацията всъщност се реализира чрез последващата реакция на паричната политика. С други думи, инфлацията е значима, но не толкова като самостоятелен определящ фактор, а като източник на решения на централните банки, </w:t>
      </w:r>
      <w:r w:rsidRPr="0001508E">
        <w:lastRenderedPageBreak/>
        <w:t>които от своя страна влияят директно върху пазара на криптоактиви.</w:t>
      </w:r>
    </w:p>
    <w:p w14:paraId="3C75E744" w14:textId="77777777" w:rsidR="0001508E" w:rsidRPr="0001508E" w:rsidRDefault="0001508E" w:rsidP="0001508E">
      <w:pPr>
        <w:spacing w:line="360" w:lineRule="auto"/>
        <w:ind w:firstLine="709"/>
        <w:jc w:val="both"/>
      </w:pPr>
      <w:r w:rsidRPr="0001508E">
        <w:t>Високата стойност на коефициента на детерминация в многомерния регресионен модел показва, че значителна част от измененията в доходността на биткойн могат да бъдат обяснени чрез съвкупното действие на инфлацията, лихвения процент и индекса на щатския долар. Това означава, че пазарът на криптоактиви през периода 2020–2024 г. е бил в силна степен макроикономически обусловен. Следователно движението на биткойн не следва да се интерпретира само през призмата на пазарната спекулация, технологичните особености или вътрешните събития в криптосектора, а и като отражение на по-широки финансови и икономически процеси.</w:t>
      </w:r>
    </w:p>
    <w:p w14:paraId="1235EF7A" w14:textId="77777777" w:rsidR="0001508E" w:rsidRPr="0001508E" w:rsidRDefault="0001508E" w:rsidP="0001508E">
      <w:pPr>
        <w:spacing w:line="360" w:lineRule="auto"/>
        <w:ind w:firstLine="709"/>
        <w:jc w:val="both"/>
      </w:pPr>
      <w:r w:rsidRPr="0001508E">
        <w:t>Емпиричните резултати показват, че през разглеждания период биткойн проявява характеристики на рисков актив, а не на стабилен защитен актив. Тази особеност личи най-ясно в периодите на затягане на паричната политика, когато едновременно с повишаването на лихвените проценти и засилването на долара се наблюдава рязък спад в доходността на криптоактива. Ако биткойн функционираше устойчиво като актив за защита срещу инфлация, би следвало неговата цена да се повишава в периоди на ускорени инфлационни процеси. Емпиричните резултати обаче показват, че това не се случва автоматично. Вместо това биткойн реагира по-скоро като актив с висока чувствителност към ликвидността, инвестиционния риск и очакванията за бъдещата парична политика.</w:t>
      </w:r>
    </w:p>
    <w:p w14:paraId="3A30D1A5" w14:textId="77777777" w:rsidR="0001508E" w:rsidRPr="0001508E" w:rsidRDefault="0001508E" w:rsidP="0001508E">
      <w:pPr>
        <w:spacing w:line="360" w:lineRule="auto"/>
        <w:ind w:firstLine="709"/>
        <w:jc w:val="both"/>
      </w:pPr>
      <w:r w:rsidRPr="0001508E">
        <w:t>Анализът позволява да се направи изводът, че криптопазарът е силно зависим от цикличните промени в глобалната финансова среда. Във фаза на стимулираща политика, евтино финансиране и по-слаба валута на Съединените американски щати се създават предпоставки за силно нарастване на доходността на биткойн. Обратно, при преминаване към ограничителна политика, силен долар и по-висока възвръщаемост по традиционните активи се наблюдава рязко влошаване на пазарните резултати на криптоактивите. Това позволява да се приеме, че криптопазарът е част от по-широкия механизъм на движение на капитали между рискови и по-сигурни активи.</w:t>
      </w:r>
    </w:p>
    <w:p w14:paraId="7DE774DD" w14:textId="77777777" w:rsidR="0001508E" w:rsidRPr="0001508E" w:rsidRDefault="0001508E" w:rsidP="0001508E">
      <w:pPr>
        <w:spacing w:line="360" w:lineRule="auto"/>
        <w:ind w:firstLine="709"/>
        <w:jc w:val="both"/>
      </w:pPr>
      <w:r w:rsidRPr="0001508E">
        <w:t xml:space="preserve">Резултатите показват още, че за анализ на пазара на криптоактиви е необходимо да се прилага комплексен подход. Представените данни сочат, че нито един от разглежданите индикатори не може самостоятелно да обясни в пълна степен изменението в доходността на биткойн. Инфлацията, лихвеният процент и индексът на щатския долар действат едновременно, като взаимно се допълват и усилват. Затова изследването на пазара на </w:t>
      </w:r>
      <w:r w:rsidRPr="0001508E">
        <w:lastRenderedPageBreak/>
        <w:t>криптоактиви само чрез един макроикономически фактор би довело до непълен и опростен анализ. Многомерният модел е по-подходящ, защото отразява реалната сложност на зависимостите и показва, че криптоактивите реагират на цялостната макроикономическа конфигурация.</w:t>
      </w:r>
    </w:p>
    <w:p w14:paraId="337B3EE4" w14:textId="77777777" w:rsidR="0001508E" w:rsidRPr="0001508E" w:rsidRDefault="0001508E" w:rsidP="0001508E">
      <w:pPr>
        <w:spacing w:line="360" w:lineRule="auto"/>
        <w:ind w:firstLine="709"/>
        <w:jc w:val="both"/>
      </w:pPr>
      <w:r w:rsidRPr="0001508E">
        <w:t>От практическа гледна точка тези резултати показват, че оценката на криптоактивите не може да се основава единствено на вътрешни характеристики като ограничено предлагане, технологична инфраструктура или пазарни очаквания в самия сектор. Необходимо е да се следят внимателно инфлационните тенденции, решенията на централните банки и динамиката на щатския долар. По този начин криптоактивите следва да се разглеждат като силно чувствителни към макроикономическите условия активи, при които паричната политика и глобалните финансови нагласи имат определящо значение.</w:t>
      </w:r>
    </w:p>
    <w:p w14:paraId="1A288D5E" w14:textId="77777777" w:rsidR="0001508E" w:rsidRPr="0001508E" w:rsidRDefault="0001508E" w:rsidP="0001508E">
      <w:pPr>
        <w:spacing w:line="360" w:lineRule="auto"/>
        <w:ind w:firstLine="709"/>
        <w:jc w:val="both"/>
      </w:pPr>
      <w:r w:rsidRPr="0001508E">
        <w:t>Следва също да се отчете, че въпреки ясно изразените зависимости, резултатите са изведени на база ограничен брой наблюдения за периода 2020–2024 г., което налага тяхната предпазлива интерпретация. Това означава, че резултатите имат висока аналитична стойност за конкретния период, но не следва автоматично да се обобщават като универсално валидни за всички етапи от развитието на криптопазара. Въпреки това съвпадението между корелационния, еднофакторния и многомерния регресионен анализ подсилва извода, че макроикономическите индикатори действително са ключови детерминанти на доходността на биткойн.</w:t>
      </w:r>
    </w:p>
    <w:p w14:paraId="7751F90F" w14:textId="3FDE63B7" w:rsidR="00D84370" w:rsidRPr="006040D3" w:rsidRDefault="0001508E" w:rsidP="0001508E">
      <w:pPr>
        <w:spacing w:line="360" w:lineRule="auto"/>
        <w:ind w:firstLine="709"/>
        <w:jc w:val="both"/>
      </w:pPr>
      <w:r w:rsidRPr="006040D3">
        <w:t xml:space="preserve">Може </w:t>
      </w:r>
      <w:r w:rsidRPr="0001508E">
        <w:t>да се заключи, че влиянието на макроикономическите индикатори върху пазара на криптоактиви през периода 2020–2024 г. е съществено, многопластово и ясно изразено. Инфлацията оказва предимно косвено въздействие, основният лихвен процент се явява водещ пряк фактор, а индексът на щатския долар играе ролята на важен външен индикатор за глобалната инвестиционна среда. Съвкупното действие на тези показатели показва, че биткойн не функционира като изолиран или автономен актив, а като част от съвременната финансова система, чувствителна към паричната политика, ликвидността и международните капиталови потоци. Именно това позволява да се направи заключението, че пазарът на криптоактиви е в значителна степен зависим от макроикономическата среда и следва да бъде анализиран в рамките на по-широките финансово-икономически процеси.</w:t>
      </w:r>
    </w:p>
    <w:p w14:paraId="6D536277" w14:textId="5301620F" w:rsidR="0001508E" w:rsidRPr="0001508E" w:rsidRDefault="0001508E" w:rsidP="0001508E">
      <w:pPr>
        <w:spacing w:line="360" w:lineRule="auto"/>
        <w:ind w:firstLine="709"/>
        <w:jc w:val="both"/>
      </w:pPr>
      <w:r w:rsidRPr="0001508E">
        <w:t xml:space="preserve">Въз основа на направените изводи могат да се формулират </w:t>
      </w:r>
      <w:r w:rsidRPr="006040D3">
        <w:t xml:space="preserve">няколко </w:t>
      </w:r>
      <w:r w:rsidRPr="0001508E">
        <w:t xml:space="preserve">практически ориентирани препоръки относно инвестирането в криптоактиви, като се отчита силната </w:t>
      </w:r>
      <w:r w:rsidRPr="0001508E">
        <w:lastRenderedPageBreak/>
        <w:t>зависимост на този пазар от макроикономическата среда.</w:t>
      </w:r>
    </w:p>
    <w:p w14:paraId="32F56F22" w14:textId="77777777" w:rsidR="0001508E" w:rsidRPr="0001508E" w:rsidRDefault="0001508E" w:rsidP="0001508E">
      <w:pPr>
        <w:spacing w:line="360" w:lineRule="auto"/>
        <w:ind w:firstLine="709"/>
        <w:jc w:val="both"/>
      </w:pPr>
      <w:r w:rsidRPr="0001508E">
        <w:t>На първо място, инвестиционните решения, свързани с криптоактиви, следва да се основават не само на вътрешни за сектора фактори, но и на внимателен анализ на макроикономическите индикатори. Особено значение има проследяването на паричната политика, тъй като резултатите показват, че промените в основния лихвен процент оказват най-силно въздействие върху доходността на биткойн. В условията на ниски или намаляващи лихвени проценти се създава по-благоприятна среда за инвестиране в криптоактиви, докато при очаквания за повишаване на лихвените равнища следва да се подхожда с повишено внимание и да се ограничават експозициите към този тип активи.</w:t>
      </w:r>
    </w:p>
    <w:p w14:paraId="0CB54797" w14:textId="1B5F1C48" w:rsidR="0001508E" w:rsidRPr="0001508E" w:rsidRDefault="0001508E" w:rsidP="0001508E">
      <w:pPr>
        <w:spacing w:line="360" w:lineRule="auto"/>
        <w:ind w:firstLine="709"/>
        <w:jc w:val="both"/>
      </w:pPr>
      <w:r w:rsidRPr="006040D3">
        <w:t xml:space="preserve">Друга </w:t>
      </w:r>
      <w:r w:rsidRPr="0001508E">
        <w:t>препоръка</w:t>
      </w:r>
      <w:r w:rsidRPr="006040D3">
        <w:t>, която може да се отправи,</w:t>
      </w:r>
      <w:r w:rsidRPr="0001508E">
        <w:t xml:space="preserve"> е свързана и с наблюдението на динамиката на щатския долар. Засилването на долара обикновено е сигнал за пренасочване на капиталите към по-сигурни активи и намаляване на апетита към риск, което предполага по-неблагоприятни условия за криптопазара. В този контекст инвеститорите могат да използват движението на доларовия индекс като индикатор за времето на навлизане или излизане от пазара. Отслабването на долара, съчетано с подобряване на ликвидността, може да се разглежда като сигнал за потенциално възходящо движение на криптоактивите.</w:t>
      </w:r>
    </w:p>
    <w:p w14:paraId="21883656" w14:textId="77777777" w:rsidR="0001508E" w:rsidRPr="0001508E" w:rsidRDefault="0001508E" w:rsidP="0001508E">
      <w:pPr>
        <w:spacing w:line="360" w:lineRule="auto"/>
        <w:ind w:firstLine="709"/>
        <w:jc w:val="both"/>
      </w:pPr>
      <w:r w:rsidRPr="0001508E">
        <w:t>Инфлацията следва да се разглежда по-скоро в контекста на реакцията на централните банки, отколкото като самостоятелен фактор. Високата инфлация не гарантира автоматично повишаване на доходността на криптоактивите. Напротив, ако тя води до затягане на паричната политика, ефектът върху пазара може да бъде отрицателен. Поради това инвеститорите трябва да анализират не само инфлационните данни, но и очакваните решения на централните банки и тяхното въздействие върху ликвидността на пазарите.</w:t>
      </w:r>
    </w:p>
    <w:p w14:paraId="019949DA" w14:textId="77777777" w:rsidR="0001508E" w:rsidRPr="0001508E" w:rsidRDefault="0001508E" w:rsidP="0001508E">
      <w:pPr>
        <w:spacing w:line="360" w:lineRule="auto"/>
        <w:ind w:firstLine="709"/>
        <w:jc w:val="both"/>
      </w:pPr>
      <w:r w:rsidRPr="0001508E">
        <w:t>От гледна точка на управлението на риска, криптоактивите следва да се третират като високорискови инвестиции, а не като сигурно средство за съхраняване на стойност. Това означава, че те не бива да заемат прекомерно голям дял в инвестиционния портфейл. Подходящо е тяхното участие да бъде ограничено и съобразено с индивидуалния риск профил на инвеститора. Диверсификацията остава ключов принцип, като комбинирането на криптоактиви с традиционни финансови инструменти може да намали общия риск.</w:t>
      </w:r>
    </w:p>
    <w:p w14:paraId="70B2E40B" w14:textId="77777777" w:rsidR="0001508E" w:rsidRPr="0001508E" w:rsidRDefault="0001508E" w:rsidP="0001508E">
      <w:pPr>
        <w:spacing w:line="360" w:lineRule="auto"/>
        <w:ind w:firstLine="709"/>
        <w:jc w:val="both"/>
      </w:pPr>
      <w:r w:rsidRPr="0001508E">
        <w:t xml:space="preserve">В условията на висока несигурност и променлива макроикономическа среда е препоръчително да се прилага по-гъвкав инвестиционен подход. Това включва постепенно </w:t>
      </w:r>
      <w:r w:rsidRPr="0001508E">
        <w:lastRenderedPageBreak/>
        <w:t>изграждане на позиции, вместо еднократни големи инвестиции, както и активно управление на портфейла в зависимост от промените в икономическата среда. Подобен подход позволява по-добро адаптиране към цикличните движения на пазара и намаляване на риска от неблагоприятни пазарни колебания.</w:t>
      </w:r>
    </w:p>
    <w:p w14:paraId="19E36E83" w14:textId="77777777" w:rsidR="0001508E" w:rsidRPr="0001508E" w:rsidRDefault="0001508E" w:rsidP="0001508E">
      <w:pPr>
        <w:spacing w:line="360" w:lineRule="auto"/>
        <w:ind w:firstLine="709"/>
        <w:jc w:val="both"/>
      </w:pPr>
      <w:r w:rsidRPr="0001508E">
        <w:t>Допълнително внимание следва да се отделя на връзката между криптоактивите и другите рискови активи. Резултатите показват, че биткойн се държи по-скоро като високорисков актив, отколкото като защитен инструмент. Това означава, че при влошаване на пазарните условия и намаляване на ликвидността той вероятно ще се движи в същата посока като останалите рискови инвестиции. Следователно инвеститорите трябва да избягват разглеждането на криптоактивите като средство за защита в периоди на финансово напрежение.</w:t>
      </w:r>
    </w:p>
    <w:p w14:paraId="451367FD" w14:textId="34B4E387" w:rsidR="0001508E" w:rsidRPr="0001508E" w:rsidRDefault="0001508E" w:rsidP="0001508E">
      <w:pPr>
        <w:spacing w:line="360" w:lineRule="auto"/>
        <w:ind w:firstLine="709"/>
        <w:jc w:val="both"/>
      </w:pPr>
      <w:r w:rsidRPr="006040D3">
        <w:t xml:space="preserve">Важно е </w:t>
      </w:r>
      <w:r w:rsidRPr="0001508E">
        <w:t>използването на количествени модели и индикатори при вземане на инвестиционни решения. Корелационният и регресионният анализ, представени в изследването, показват, че макроикономическите фактори могат да бъдат използвани за прогнозиране на пазарната динамика. Включването на такива инструменти в инвестиционния процес може да подобри качеството на решенията и да намали зависимостта от спекулативни очаквания.</w:t>
      </w:r>
    </w:p>
    <w:p w14:paraId="14892AEE" w14:textId="7EBAD74D" w:rsidR="0001508E" w:rsidRPr="0001508E" w:rsidRDefault="0001508E" w:rsidP="0001508E">
      <w:pPr>
        <w:spacing w:line="360" w:lineRule="auto"/>
        <w:ind w:firstLine="709"/>
        <w:jc w:val="both"/>
      </w:pPr>
      <w:r w:rsidRPr="006040D3">
        <w:t>С</w:t>
      </w:r>
      <w:r w:rsidRPr="0001508E">
        <w:t xml:space="preserve">ледва да се подчертае </w:t>
      </w:r>
      <w:r w:rsidRPr="006040D3">
        <w:t xml:space="preserve">и </w:t>
      </w:r>
      <w:r w:rsidRPr="0001508E">
        <w:t>необходимостта от предпазливост при интерпретацията на резултатите и при вземането на инвестиционни решения. Макар анализът да показва ясно изразени зависимости, те са валидни за конкретния период 2020–2024 г., който се характеризира с изключително динамична и нестандартна икономическа среда. Това означава, че бъдещото поведение на криптоактивите може да се различава, особено при промяна в глобалните икономически условия.</w:t>
      </w:r>
    </w:p>
    <w:p w14:paraId="6D40B404" w14:textId="1902488D" w:rsidR="00CF7AA5" w:rsidRDefault="0001508E" w:rsidP="0001508E">
      <w:pPr>
        <w:spacing w:line="360" w:lineRule="auto"/>
        <w:ind w:firstLine="709"/>
        <w:jc w:val="both"/>
      </w:pPr>
      <w:r w:rsidRPr="006040D3">
        <w:t>У</w:t>
      </w:r>
      <w:r w:rsidRPr="0001508E">
        <w:t>спешното инвестиране в криптоактиви изисква интегриран подход, който съчетава анализ на макроикономическата среда, активно управление на риска и гъвкава инвестиционна стратегия. Най-важно е да се отчита, че криптопазарът е силно чувствителен към паричната политика, ликвидността и глобалните финансови процеси, което налага внимателно и информирано вземане на решения.</w:t>
      </w:r>
    </w:p>
    <w:p w14:paraId="07A5FCED" w14:textId="77777777" w:rsidR="00CF7AA5" w:rsidRDefault="00CF7AA5">
      <w:pPr>
        <w:widowControl/>
        <w:suppressAutoHyphens w:val="0"/>
      </w:pPr>
      <w:r>
        <w:br w:type="page"/>
      </w:r>
    </w:p>
    <w:p w14:paraId="4AE39CC7" w14:textId="0A18BBA5" w:rsidR="0001508E" w:rsidRPr="00CF7AA5" w:rsidRDefault="00CF7AA5" w:rsidP="0001508E">
      <w:pPr>
        <w:spacing w:line="360" w:lineRule="auto"/>
        <w:ind w:firstLine="709"/>
        <w:jc w:val="both"/>
        <w:rPr>
          <w:b/>
          <w:bCs/>
        </w:rPr>
      </w:pPr>
      <w:r w:rsidRPr="00CF7AA5">
        <w:rPr>
          <w:b/>
          <w:bCs/>
        </w:rPr>
        <w:lastRenderedPageBreak/>
        <w:t>Заключение</w:t>
      </w:r>
    </w:p>
    <w:p w14:paraId="3692203A" w14:textId="77777777" w:rsidR="00CF7AA5" w:rsidRPr="00CF7AA5" w:rsidRDefault="00CF7AA5" w:rsidP="00CF7AA5">
      <w:pPr>
        <w:spacing w:line="360" w:lineRule="auto"/>
        <w:ind w:firstLine="709"/>
        <w:jc w:val="both"/>
        <w:rPr>
          <w:lang w:val="en-GB"/>
        </w:rPr>
      </w:pPr>
      <w:proofErr w:type="spellStart"/>
      <w:r w:rsidRPr="00CF7AA5">
        <w:rPr>
          <w:lang w:val="en-GB"/>
        </w:rPr>
        <w:t>Проведеното</w:t>
      </w:r>
      <w:proofErr w:type="spellEnd"/>
      <w:r w:rsidRPr="00CF7AA5">
        <w:rPr>
          <w:lang w:val="en-GB"/>
        </w:rPr>
        <w:t xml:space="preserve"> </w:t>
      </w:r>
      <w:proofErr w:type="spellStart"/>
      <w:r w:rsidRPr="00CF7AA5">
        <w:rPr>
          <w:lang w:val="en-GB"/>
        </w:rPr>
        <w:t>изследване</w:t>
      </w:r>
      <w:proofErr w:type="spellEnd"/>
      <w:r w:rsidRPr="00CF7AA5">
        <w:rPr>
          <w:lang w:val="en-GB"/>
        </w:rPr>
        <w:t xml:space="preserve"> </w:t>
      </w:r>
      <w:proofErr w:type="spellStart"/>
      <w:r w:rsidRPr="00CF7AA5">
        <w:rPr>
          <w:lang w:val="en-GB"/>
        </w:rPr>
        <w:t>върху</w:t>
      </w:r>
      <w:proofErr w:type="spellEnd"/>
      <w:r w:rsidRPr="00CF7AA5">
        <w:rPr>
          <w:lang w:val="en-GB"/>
        </w:rPr>
        <w:t xml:space="preserve"> </w:t>
      </w:r>
      <w:proofErr w:type="spellStart"/>
      <w:r w:rsidRPr="00CF7AA5">
        <w:rPr>
          <w:lang w:val="en-GB"/>
        </w:rPr>
        <w:t>влиянието</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макроикономическите</w:t>
      </w:r>
      <w:proofErr w:type="spellEnd"/>
      <w:r w:rsidRPr="00CF7AA5">
        <w:rPr>
          <w:lang w:val="en-GB"/>
        </w:rPr>
        <w:t xml:space="preserve"> </w:t>
      </w:r>
      <w:proofErr w:type="spellStart"/>
      <w:r w:rsidRPr="00CF7AA5">
        <w:rPr>
          <w:lang w:val="en-GB"/>
        </w:rPr>
        <w:t>индикатори</w:t>
      </w:r>
      <w:proofErr w:type="spellEnd"/>
      <w:r w:rsidRPr="00CF7AA5">
        <w:rPr>
          <w:lang w:val="en-GB"/>
        </w:rPr>
        <w:t xml:space="preserve"> </w:t>
      </w:r>
      <w:proofErr w:type="spellStart"/>
      <w:r w:rsidRPr="00CF7AA5">
        <w:rPr>
          <w:lang w:val="en-GB"/>
        </w:rPr>
        <w:t>върху</w:t>
      </w:r>
      <w:proofErr w:type="spellEnd"/>
      <w:r w:rsidRPr="00CF7AA5">
        <w:rPr>
          <w:lang w:val="en-GB"/>
        </w:rPr>
        <w:t xml:space="preserve"> </w:t>
      </w:r>
      <w:proofErr w:type="spellStart"/>
      <w:r w:rsidRPr="00CF7AA5">
        <w:rPr>
          <w:lang w:val="en-GB"/>
        </w:rPr>
        <w:t>пазара</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криптоактиви</w:t>
      </w:r>
      <w:proofErr w:type="spellEnd"/>
      <w:r w:rsidRPr="00CF7AA5">
        <w:rPr>
          <w:lang w:val="en-GB"/>
        </w:rPr>
        <w:t xml:space="preserve"> </w:t>
      </w:r>
      <w:proofErr w:type="spellStart"/>
      <w:r w:rsidRPr="00CF7AA5">
        <w:rPr>
          <w:lang w:val="en-GB"/>
        </w:rPr>
        <w:t>позволява</w:t>
      </w:r>
      <w:proofErr w:type="spellEnd"/>
      <w:r w:rsidRPr="00CF7AA5">
        <w:rPr>
          <w:lang w:val="en-GB"/>
        </w:rPr>
        <w:t xml:space="preserve"> </w:t>
      </w:r>
      <w:proofErr w:type="spellStart"/>
      <w:r w:rsidRPr="00CF7AA5">
        <w:rPr>
          <w:lang w:val="en-GB"/>
        </w:rPr>
        <w:t>да</w:t>
      </w:r>
      <w:proofErr w:type="spellEnd"/>
      <w:r w:rsidRPr="00CF7AA5">
        <w:rPr>
          <w:lang w:val="en-GB"/>
        </w:rPr>
        <w:t xml:space="preserve"> </w:t>
      </w:r>
      <w:proofErr w:type="spellStart"/>
      <w:r w:rsidRPr="00CF7AA5">
        <w:rPr>
          <w:lang w:val="en-GB"/>
        </w:rPr>
        <w:t>се</w:t>
      </w:r>
      <w:proofErr w:type="spellEnd"/>
      <w:r w:rsidRPr="00CF7AA5">
        <w:rPr>
          <w:lang w:val="en-GB"/>
        </w:rPr>
        <w:t xml:space="preserve"> </w:t>
      </w:r>
      <w:proofErr w:type="spellStart"/>
      <w:r w:rsidRPr="00CF7AA5">
        <w:rPr>
          <w:lang w:val="en-GB"/>
        </w:rPr>
        <w:t>направи</w:t>
      </w:r>
      <w:proofErr w:type="spellEnd"/>
      <w:r w:rsidRPr="00CF7AA5">
        <w:rPr>
          <w:lang w:val="en-GB"/>
        </w:rPr>
        <w:t xml:space="preserve"> </w:t>
      </w:r>
      <w:proofErr w:type="spellStart"/>
      <w:r w:rsidRPr="00CF7AA5">
        <w:rPr>
          <w:lang w:val="en-GB"/>
        </w:rPr>
        <w:t>задълбочен</w:t>
      </w:r>
      <w:proofErr w:type="spellEnd"/>
      <w:r w:rsidRPr="00CF7AA5">
        <w:rPr>
          <w:lang w:val="en-GB"/>
        </w:rPr>
        <w:t xml:space="preserve"> и </w:t>
      </w:r>
      <w:proofErr w:type="spellStart"/>
      <w:r w:rsidRPr="00CF7AA5">
        <w:rPr>
          <w:lang w:val="en-GB"/>
        </w:rPr>
        <w:t>многопластов</w:t>
      </w:r>
      <w:proofErr w:type="spellEnd"/>
      <w:r w:rsidRPr="00CF7AA5">
        <w:rPr>
          <w:lang w:val="en-GB"/>
        </w:rPr>
        <w:t xml:space="preserve"> </w:t>
      </w:r>
      <w:proofErr w:type="spellStart"/>
      <w:r w:rsidRPr="00CF7AA5">
        <w:rPr>
          <w:lang w:val="en-GB"/>
        </w:rPr>
        <w:t>анализ</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взаимодействието</w:t>
      </w:r>
      <w:proofErr w:type="spellEnd"/>
      <w:r w:rsidRPr="00CF7AA5">
        <w:rPr>
          <w:lang w:val="en-GB"/>
        </w:rPr>
        <w:t xml:space="preserve"> </w:t>
      </w:r>
      <w:proofErr w:type="spellStart"/>
      <w:r w:rsidRPr="00CF7AA5">
        <w:rPr>
          <w:lang w:val="en-GB"/>
        </w:rPr>
        <w:t>между</w:t>
      </w:r>
      <w:proofErr w:type="spellEnd"/>
      <w:r w:rsidRPr="00CF7AA5">
        <w:rPr>
          <w:lang w:val="en-GB"/>
        </w:rPr>
        <w:t xml:space="preserve"> </w:t>
      </w:r>
      <w:proofErr w:type="spellStart"/>
      <w:r w:rsidRPr="00CF7AA5">
        <w:rPr>
          <w:lang w:val="en-GB"/>
        </w:rPr>
        <w:t>глобалната</w:t>
      </w:r>
      <w:proofErr w:type="spellEnd"/>
      <w:r w:rsidRPr="00CF7AA5">
        <w:rPr>
          <w:lang w:val="en-GB"/>
        </w:rPr>
        <w:t xml:space="preserve"> </w:t>
      </w:r>
      <w:proofErr w:type="spellStart"/>
      <w:r w:rsidRPr="00CF7AA5">
        <w:rPr>
          <w:lang w:val="en-GB"/>
        </w:rPr>
        <w:t>икономическа</w:t>
      </w:r>
      <w:proofErr w:type="spellEnd"/>
      <w:r w:rsidRPr="00CF7AA5">
        <w:rPr>
          <w:lang w:val="en-GB"/>
        </w:rPr>
        <w:t xml:space="preserve"> </w:t>
      </w:r>
      <w:proofErr w:type="spellStart"/>
      <w:r w:rsidRPr="00CF7AA5">
        <w:rPr>
          <w:lang w:val="en-GB"/>
        </w:rPr>
        <w:t>среда</w:t>
      </w:r>
      <w:proofErr w:type="spellEnd"/>
      <w:r w:rsidRPr="00CF7AA5">
        <w:rPr>
          <w:lang w:val="en-GB"/>
        </w:rPr>
        <w:t xml:space="preserve"> и </w:t>
      </w:r>
      <w:proofErr w:type="spellStart"/>
      <w:r w:rsidRPr="00CF7AA5">
        <w:rPr>
          <w:lang w:val="en-GB"/>
        </w:rPr>
        <w:t>динамиката</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един</w:t>
      </w:r>
      <w:proofErr w:type="spellEnd"/>
      <w:r w:rsidRPr="00CF7AA5">
        <w:rPr>
          <w:lang w:val="en-GB"/>
        </w:rPr>
        <w:t xml:space="preserve"> </w:t>
      </w:r>
      <w:proofErr w:type="spellStart"/>
      <w:r w:rsidRPr="00CF7AA5">
        <w:rPr>
          <w:lang w:val="en-GB"/>
        </w:rPr>
        <w:t>от</w:t>
      </w:r>
      <w:proofErr w:type="spellEnd"/>
      <w:r w:rsidRPr="00CF7AA5">
        <w:rPr>
          <w:lang w:val="en-GB"/>
        </w:rPr>
        <w:t xml:space="preserve"> </w:t>
      </w:r>
      <w:proofErr w:type="spellStart"/>
      <w:r w:rsidRPr="00CF7AA5">
        <w:rPr>
          <w:lang w:val="en-GB"/>
        </w:rPr>
        <w:t>най-значимите</w:t>
      </w:r>
      <w:proofErr w:type="spellEnd"/>
      <w:r w:rsidRPr="00CF7AA5">
        <w:rPr>
          <w:lang w:val="en-GB"/>
        </w:rPr>
        <w:t xml:space="preserve"> </w:t>
      </w:r>
      <w:proofErr w:type="spellStart"/>
      <w:r w:rsidRPr="00CF7AA5">
        <w:rPr>
          <w:lang w:val="en-GB"/>
        </w:rPr>
        <w:t>представители</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този</w:t>
      </w:r>
      <w:proofErr w:type="spellEnd"/>
      <w:r w:rsidRPr="00CF7AA5">
        <w:rPr>
          <w:lang w:val="en-GB"/>
        </w:rPr>
        <w:t xml:space="preserve"> </w:t>
      </w:r>
      <w:proofErr w:type="spellStart"/>
      <w:r w:rsidRPr="00CF7AA5">
        <w:rPr>
          <w:lang w:val="en-GB"/>
        </w:rPr>
        <w:t>пазар</w:t>
      </w:r>
      <w:proofErr w:type="spellEnd"/>
      <w:r w:rsidRPr="00CF7AA5">
        <w:rPr>
          <w:lang w:val="en-GB"/>
        </w:rPr>
        <w:t xml:space="preserve"> – </w:t>
      </w:r>
      <w:proofErr w:type="spellStart"/>
      <w:r w:rsidRPr="00CF7AA5">
        <w:rPr>
          <w:lang w:val="en-GB"/>
        </w:rPr>
        <w:t>биткойн</w:t>
      </w:r>
      <w:proofErr w:type="spellEnd"/>
      <w:r w:rsidRPr="00CF7AA5">
        <w:rPr>
          <w:lang w:val="en-GB"/>
        </w:rPr>
        <w:t xml:space="preserve">. </w:t>
      </w:r>
      <w:proofErr w:type="spellStart"/>
      <w:r w:rsidRPr="00CF7AA5">
        <w:rPr>
          <w:lang w:val="en-GB"/>
        </w:rPr>
        <w:t>Получените</w:t>
      </w:r>
      <w:proofErr w:type="spellEnd"/>
      <w:r w:rsidRPr="00CF7AA5">
        <w:rPr>
          <w:lang w:val="en-GB"/>
        </w:rPr>
        <w:t xml:space="preserve"> </w:t>
      </w:r>
      <w:proofErr w:type="spellStart"/>
      <w:r w:rsidRPr="00CF7AA5">
        <w:rPr>
          <w:lang w:val="en-GB"/>
        </w:rPr>
        <w:t>резултати</w:t>
      </w:r>
      <w:proofErr w:type="spellEnd"/>
      <w:r w:rsidRPr="00CF7AA5">
        <w:rPr>
          <w:lang w:val="en-GB"/>
        </w:rPr>
        <w:t xml:space="preserve"> </w:t>
      </w:r>
      <w:proofErr w:type="spellStart"/>
      <w:r w:rsidRPr="00CF7AA5">
        <w:rPr>
          <w:lang w:val="en-GB"/>
        </w:rPr>
        <w:t>потвърждават</w:t>
      </w:r>
      <w:proofErr w:type="spellEnd"/>
      <w:r w:rsidRPr="00CF7AA5">
        <w:rPr>
          <w:lang w:val="en-GB"/>
        </w:rPr>
        <w:t xml:space="preserve">, </w:t>
      </w:r>
      <w:proofErr w:type="spellStart"/>
      <w:r w:rsidRPr="00CF7AA5">
        <w:rPr>
          <w:lang w:val="en-GB"/>
        </w:rPr>
        <w:t>че</w:t>
      </w:r>
      <w:proofErr w:type="spellEnd"/>
      <w:r w:rsidRPr="00CF7AA5">
        <w:rPr>
          <w:lang w:val="en-GB"/>
        </w:rPr>
        <w:t xml:space="preserve"> </w:t>
      </w:r>
      <w:proofErr w:type="spellStart"/>
      <w:r w:rsidRPr="00CF7AA5">
        <w:rPr>
          <w:lang w:val="en-GB"/>
        </w:rPr>
        <w:t>криптоактивите</w:t>
      </w:r>
      <w:proofErr w:type="spellEnd"/>
      <w:r w:rsidRPr="00CF7AA5">
        <w:rPr>
          <w:lang w:val="en-GB"/>
        </w:rPr>
        <w:t xml:space="preserve"> </w:t>
      </w:r>
      <w:proofErr w:type="spellStart"/>
      <w:r w:rsidRPr="00CF7AA5">
        <w:rPr>
          <w:lang w:val="en-GB"/>
        </w:rPr>
        <w:t>вече</w:t>
      </w:r>
      <w:proofErr w:type="spellEnd"/>
      <w:r w:rsidRPr="00CF7AA5">
        <w:rPr>
          <w:lang w:val="en-GB"/>
        </w:rPr>
        <w:t xml:space="preserve"> </w:t>
      </w:r>
      <w:proofErr w:type="spellStart"/>
      <w:r w:rsidRPr="00CF7AA5">
        <w:rPr>
          <w:lang w:val="en-GB"/>
        </w:rPr>
        <w:t>не</w:t>
      </w:r>
      <w:proofErr w:type="spellEnd"/>
      <w:r w:rsidRPr="00CF7AA5">
        <w:rPr>
          <w:lang w:val="en-GB"/>
        </w:rPr>
        <w:t xml:space="preserve"> </w:t>
      </w:r>
      <w:proofErr w:type="spellStart"/>
      <w:r w:rsidRPr="00CF7AA5">
        <w:rPr>
          <w:lang w:val="en-GB"/>
        </w:rPr>
        <w:t>могат</w:t>
      </w:r>
      <w:proofErr w:type="spellEnd"/>
      <w:r w:rsidRPr="00CF7AA5">
        <w:rPr>
          <w:lang w:val="en-GB"/>
        </w:rPr>
        <w:t xml:space="preserve"> </w:t>
      </w:r>
      <w:proofErr w:type="spellStart"/>
      <w:r w:rsidRPr="00CF7AA5">
        <w:rPr>
          <w:lang w:val="en-GB"/>
        </w:rPr>
        <w:t>да</w:t>
      </w:r>
      <w:proofErr w:type="spellEnd"/>
      <w:r w:rsidRPr="00CF7AA5">
        <w:rPr>
          <w:lang w:val="en-GB"/>
        </w:rPr>
        <w:t xml:space="preserve"> </w:t>
      </w:r>
      <w:proofErr w:type="spellStart"/>
      <w:r w:rsidRPr="00CF7AA5">
        <w:rPr>
          <w:lang w:val="en-GB"/>
        </w:rPr>
        <w:t>бъдат</w:t>
      </w:r>
      <w:proofErr w:type="spellEnd"/>
      <w:r w:rsidRPr="00CF7AA5">
        <w:rPr>
          <w:lang w:val="en-GB"/>
        </w:rPr>
        <w:t xml:space="preserve"> </w:t>
      </w:r>
      <w:proofErr w:type="spellStart"/>
      <w:r w:rsidRPr="00CF7AA5">
        <w:rPr>
          <w:lang w:val="en-GB"/>
        </w:rPr>
        <w:t>разглеждани</w:t>
      </w:r>
      <w:proofErr w:type="spellEnd"/>
      <w:r w:rsidRPr="00CF7AA5">
        <w:rPr>
          <w:lang w:val="en-GB"/>
        </w:rPr>
        <w:t xml:space="preserve"> </w:t>
      </w:r>
      <w:proofErr w:type="spellStart"/>
      <w:r w:rsidRPr="00CF7AA5">
        <w:rPr>
          <w:lang w:val="en-GB"/>
        </w:rPr>
        <w:t>като</w:t>
      </w:r>
      <w:proofErr w:type="spellEnd"/>
      <w:r w:rsidRPr="00CF7AA5">
        <w:rPr>
          <w:lang w:val="en-GB"/>
        </w:rPr>
        <w:t xml:space="preserve"> </w:t>
      </w:r>
      <w:proofErr w:type="spellStart"/>
      <w:r w:rsidRPr="00CF7AA5">
        <w:rPr>
          <w:lang w:val="en-GB"/>
        </w:rPr>
        <w:t>изолирано</w:t>
      </w:r>
      <w:proofErr w:type="spellEnd"/>
      <w:r w:rsidRPr="00CF7AA5">
        <w:rPr>
          <w:lang w:val="en-GB"/>
        </w:rPr>
        <w:t xml:space="preserve"> </w:t>
      </w:r>
      <w:proofErr w:type="spellStart"/>
      <w:r w:rsidRPr="00CF7AA5">
        <w:rPr>
          <w:lang w:val="en-GB"/>
        </w:rPr>
        <w:t>или</w:t>
      </w:r>
      <w:proofErr w:type="spellEnd"/>
      <w:r w:rsidRPr="00CF7AA5">
        <w:rPr>
          <w:lang w:val="en-GB"/>
        </w:rPr>
        <w:t xml:space="preserve"> </w:t>
      </w:r>
      <w:proofErr w:type="spellStart"/>
      <w:r w:rsidRPr="00CF7AA5">
        <w:rPr>
          <w:lang w:val="en-GB"/>
        </w:rPr>
        <w:t>самостоятелно</w:t>
      </w:r>
      <w:proofErr w:type="spellEnd"/>
      <w:r w:rsidRPr="00CF7AA5">
        <w:rPr>
          <w:lang w:val="en-GB"/>
        </w:rPr>
        <w:t xml:space="preserve"> </w:t>
      </w:r>
      <w:proofErr w:type="spellStart"/>
      <w:r w:rsidRPr="00CF7AA5">
        <w:rPr>
          <w:lang w:val="en-GB"/>
        </w:rPr>
        <w:t>явление</w:t>
      </w:r>
      <w:proofErr w:type="spellEnd"/>
      <w:r w:rsidRPr="00CF7AA5">
        <w:rPr>
          <w:lang w:val="en-GB"/>
        </w:rPr>
        <w:t xml:space="preserve">, а </w:t>
      </w:r>
      <w:proofErr w:type="spellStart"/>
      <w:r w:rsidRPr="00CF7AA5">
        <w:rPr>
          <w:lang w:val="en-GB"/>
        </w:rPr>
        <w:t>следва</w:t>
      </w:r>
      <w:proofErr w:type="spellEnd"/>
      <w:r w:rsidRPr="00CF7AA5">
        <w:rPr>
          <w:lang w:val="en-GB"/>
        </w:rPr>
        <w:t xml:space="preserve"> </w:t>
      </w:r>
      <w:proofErr w:type="spellStart"/>
      <w:r w:rsidRPr="00CF7AA5">
        <w:rPr>
          <w:lang w:val="en-GB"/>
        </w:rPr>
        <w:t>да</w:t>
      </w:r>
      <w:proofErr w:type="spellEnd"/>
      <w:r w:rsidRPr="00CF7AA5">
        <w:rPr>
          <w:lang w:val="en-GB"/>
        </w:rPr>
        <w:t xml:space="preserve"> </w:t>
      </w:r>
      <w:proofErr w:type="spellStart"/>
      <w:r w:rsidRPr="00CF7AA5">
        <w:rPr>
          <w:lang w:val="en-GB"/>
        </w:rPr>
        <w:t>се</w:t>
      </w:r>
      <w:proofErr w:type="spellEnd"/>
      <w:r w:rsidRPr="00CF7AA5">
        <w:rPr>
          <w:lang w:val="en-GB"/>
        </w:rPr>
        <w:t xml:space="preserve"> </w:t>
      </w:r>
      <w:proofErr w:type="spellStart"/>
      <w:r w:rsidRPr="00CF7AA5">
        <w:rPr>
          <w:lang w:val="en-GB"/>
        </w:rPr>
        <w:t>анализират</w:t>
      </w:r>
      <w:proofErr w:type="spellEnd"/>
      <w:r w:rsidRPr="00CF7AA5">
        <w:rPr>
          <w:lang w:val="en-GB"/>
        </w:rPr>
        <w:t xml:space="preserve"> </w:t>
      </w:r>
      <w:proofErr w:type="spellStart"/>
      <w:r w:rsidRPr="00CF7AA5">
        <w:rPr>
          <w:lang w:val="en-GB"/>
        </w:rPr>
        <w:t>като</w:t>
      </w:r>
      <w:proofErr w:type="spellEnd"/>
      <w:r w:rsidRPr="00CF7AA5">
        <w:rPr>
          <w:lang w:val="en-GB"/>
        </w:rPr>
        <w:t xml:space="preserve"> </w:t>
      </w:r>
      <w:proofErr w:type="spellStart"/>
      <w:r w:rsidRPr="00CF7AA5">
        <w:rPr>
          <w:lang w:val="en-GB"/>
        </w:rPr>
        <w:t>интегрална</w:t>
      </w:r>
      <w:proofErr w:type="spellEnd"/>
      <w:r w:rsidRPr="00CF7AA5">
        <w:rPr>
          <w:lang w:val="en-GB"/>
        </w:rPr>
        <w:t xml:space="preserve"> </w:t>
      </w:r>
      <w:proofErr w:type="spellStart"/>
      <w:r w:rsidRPr="00CF7AA5">
        <w:rPr>
          <w:lang w:val="en-GB"/>
        </w:rPr>
        <w:t>част</w:t>
      </w:r>
      <w:proofErr w:type="spellEnd"/>
      <w:r w:rsidRPr="00CF7AA5">
        <w:rPr>
          <w:lang w:val="en-GB"/>
        </w:rPr>
        <w:t xml:space="preserve"> </w:t>
      </w:r>
      <w:proofErr w:type="spellStart"/>
      <w:r w:rsidRPr="00CF7AA5">
        <w:rPr>
          <w:lang w:val="en-GB"/>
        </w:rPr>
        <w:t>от</w:t>
      </w:r>
      <w:proofErr w:type="spellEnd"/>
      <w:r w:rsidRPr="00CF7AA5">
        <w:rPr>
          <w:lang w:val="en-GB"/>
        </w:rPr>
        <w:t xml:space="preserve"> </w:t>
      </w:r>
      <w:proofErr w:type="spellStart"/>
      <w:r w:rsidRPr="00CF7AA5">
        <w:rPr>
          <w:lang w:val="en-GB"/>
        </w:rPr>
        <w:t>съвременната</w:t>
      </w:r>
      <w:proofErr w:type="spellEnd"/>
      <w:r w:rsidRPr="00CF7AA5">
        <w:rPr>
          <w:lang w:val="en-GB"/>
        </w:rPr>
        <w:t xml:space="preserve"> </w:t>
      </w:r>
      <w:proofErr w:type="spellStart"/>
      <w:r w:rsidRPr="00CF7AA5">
        <w:rPr>
          <w:lang w:val="en-GB"/>
        </w:rPr>
        <w:t>финансова</w:t>
      </w:r>
      <w:proofErr w:type="spellEnd"/>
      <w:r w:rsidRPr="00CF7AA5">
        <w:rPr>
          <w:lang w:val="en-GB"/>
        </w:rPr>
        <w:t xml:space="preserve"> </w:t>
      </w:r>
      <w:proofErr w:type="spellStart"/>
      <w:r w:rsidRPr="00CF7AA5">
        <w:rPr>
          <w:lang w:val="en-GB"/>
        </w:rPr>
        <w:t>система</w:t>
      </w:r>
      <w:proofErr w:type="spellEnd"/>
      <w:r w:rsidRPr="00CF7AA5">
        <w:rPr>
          <w:lang w:val="en-GB"/>
        </w:rPr>
        <w:t xml:space="preserve">, </w:t>
      </w:r>
      <w:proofErr w:type="spellStart"/>
      <w:r w:rsidRPr="00CF7AA5">
        <w:rPr>
          <w:lang w:val="en-GB"/>
        </w:rPr>
        <w:t>подложена</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въздействието</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същите</w:t>
      </w:r>
      <w:proofErr w:type="spellEnd"/>
      <w:r w:rsidRPr="00CF7AA5">
        <w:rPr>
          <w:lang w:val="en-GB"/>
        </w:rPr>
        <w:t xml:space="preserve"> </w:t>
      </w:r>
      <w:proofErr w:type="spellStart"/>
      <w:r w:rsidRPr="00CF7AA5">
        <w:rPr>
          <w:lang w:val="en-GB"/>
        </w:rPr>
        <w:t>макроикономически</w:t>
      </w:r>
      <w:proofErr w:type="spellEnd"/>
      <w:r w:rsidRPr="00CF7AA5">
        <w:rPr>
          <w:lang w:val="en-GB"/>
        </w:rPr>
        <w:t xml:space="preserve"> </w:t>
      </w:r>
      <w:proofErr w:type="spellStart"/>
      <w:r w:rsidRPr="00CF7AA5">
        <w:rPr>
          <w:lang w:val="en-GB"/>
        </w:rPr>
        <w:t>фактори</w:t>
      </w:r>
      <w:proofErr w:type="spellEnd"/>
      <w:r w:rsidRPr="00CF7AA5">
        <w:rPr>
          <w:lang w:val="en-GB"/>
        </w:rPr>
        <w:t xml:space="preserve">, </w:t>
      </w:r>
      <w:proofErr w:type="spellStart"/>
      <w:r w:rsidRPr="00CF7AA5">
        <w:rPr>
          <w:lang w:val="en-GB"/>
        </w:rPr>
        <w:t>които</w:t>
      </w:r>
      <w:proofErr w:type="spellEnd"/>
      <w:r w:rsidRPr="00CF7AA5">
        <w:rPr>
          <w:lang w:val="en-GB"/>
        </w:rPr>
        <w:t xml:space="preserve"> </w:t>
      </w:r>
      <w:proofErr w:type="spellStart"/>
      <w:r w:rsidRPr="00CF7AA5">
        <w:rPr>
          <w:lang w:val="en-GB"/>
        </w:rPr>
        <w:t>определят</w:t>
      </w:r>
      <w:proofErr w:type="spellEnd"/>
      <w:r w:rsidRPr="00CF7AA5">
        <w:rPr>
          <w:lang w:val="en-GB"/>
        </w:rPr>
        <w:t xml:space="preserve"> </w:t>
      </w:r>
      <w:proofErr w:type="spellStart"/>
      <w:r w:rsidRPr="00CF7AA5">
        <w:rPr>
          <w:lang w:val="en-GB"/>
        </w:rPr>
        <w:t>поведението</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традиционните</w:t>
      </w:r>
      <w:proofErr w:type="spellEnd"/>
      <w:r w:rsidRPr="00CF7AA5">
        <w:rPr>
          <w:lang w:val="en-GB"/>
        </w:rPr>
        <w:t xml:space="preserve"> </w:t>
      </w:r>
      <w:proofErr w:type="spellStart"/>
      <w:r w:rsidRPr="00CF7AA5">
        <w:rPr>
          <w:lang w:val="en-GB"/>
        </w:rPr>
        <w:t>финансови</w:t>
      </w:r>
      <w:proofErr w:type="spellEnd"/>
      <w:r w:rsidRPr="00CF7AA5">
        <w:rPr>
          <w:lang w:val="en-GB"/>
        </w:rPr>
        <w:t xml:space="preserve"> </w:t>
      </w:r>
      <w:proofErr w:type="spellStart"/>
      <w:r w:rsidRPr="00CF7AA5">
        <w:rPr>
          <w:lang w:val="en-GB"/>
        </w:rPr>
        <w:t>активи</w:t>
      </w:r>
      <w:proofErr w:type="spellEnd"/>
      <w:r w:rsidRPr="00CF7AA5">
        <w:rPr>
          <w:lang w:val="en-GB"/>
        </w:rPr>
        <w:t>.</w:t>
      </w:r>
    </w:p>
    <w:p w14:paraId="1EEB194E" w14:textId="25A730F2" w:rsidR="00CF7AA5" w:rsidRPr="00CF7AA5" w:rsidRDefault="00CF7AA5" w:rsidP="00CF7AA5">
      <w:pPr>
        <w:spacing w:line="360" w:lineRule="auto"/>
        <w:ind w:firstLine="709"/>
        <w:jc w:val="both"/>
        <w:rPr>
          <w:lang w:val="en-GB"/>
        </w:rPr>
      </w:pPr>
      <w:proofErr w:type="spellStart"/>
      <w:r w:rsidRPr="00CF7AA5">
        <w:rPr>
          <w:lang w:val="en-GB"/>
        </w:rPr>
        <w:t>Теоретичният</w:t>
      </w:r>
      <w:proofErr w:type="spellEnd"/>
      <w:r w:rsidRPr="00CF7AA5">
        <w:rPr>
          <w:lang w:val="en-GB"/>
        </w:rPr>
        <w:t xml:space="preserve"> </w:t>
      </w:r>
      <w:proofErr w:type="spellStart"/>
      <w:r w:rsidRPr="00CF7AA5">
        <w:rPr>
          <w:lang w:val="en-GB"/>
        </w:rPr>
        <w:t>анализ</w:t>
      </w:r>
      <w:proofErr w:type="spellEnd"/>
      <w:r w:rsidRPr="00CF7AA5">
        <w:rPr>
          <w:lang w:val="en-GB"/>
        </w:rPr>
        <w:t xml:space="preserve"> </w:t>
      </w:r>
      <w:proofErr w:type="spellStart"/>
      <w:r w:rsidRPr="00CF7AA5">
        <w:rPr>
          <w:lang w:val="en-GB"/>
        </w:rPr>
        <w:t>показва</w:t>
      </w:r>
      <w:proofErr w:type="spellEnd"/>
      <w:r w:rsidRPr="00CF7AA5">
        <w:rPr>
          <w:lang w:val="en-GB"/>
        </w:rPr>
        <w:t xml:space="preserve">, </w:t>
      </w:r>
      <w:proofErr w:type="spellStart"/>
      <w:r w:rsidRPr="00CF7AA5">
        <w:rPr>
          <w:lang w:val="en-GB"/>
        </w:rPr>
        <w:t>че</w:t>
      </w:r>
      <w:proofErr w:type="spellEnd"/>
      <w:r w:rsidRPr="00CF7AA5">
        <w:rPr>
          <w:lang w:val="en-GB"/>
        </w:rPr>
        <w:t xml:space="preserve"> </w:t>
      </w:r>
      <w:proofErr w:type="spellStart"/>
      <w:r w:rsidRPr="00CF7AA5">
        <w:rPr>
          <w:lang w:val="en-GB"/>
        </w:rPr>
        <w:t>криптоактивите</w:t>
      </w:r>
      <w:proofErr w:type="spellEnd"/>
      <w:r w:rsidRPr="00CF7AA5">
        <w:rPr>
          <w:lang w:val="en-GB"/>
        </w:rPr>
        <w:t xml:space="preserve"> </w:t>
      </w:r>
      <w:proofErr w:type="spellStart"/>
      <w:r w:rsidRPr="00CF7AA5">
        <w:rPr>
          <w:lang w:val="en-GB"/>
        </w:rPr>
        <w:t>представляват</w:t>
      </w:r>
      <w:proofErr w:type="spellEnd"/>
      <w:r w:rsidRPr="00CF7AA5">
        <w:rPr>
          <w:lang w:val="en-GB"/>
        </w:rPr>
        <w:t xml:space="preserve"> </w:t>
      </w:r>
      <w:proofErr w:type="spellStart"/>
      <w:r w:rsidRPr="00CF7AA5">
        <w:rPr>
          <w:lang w:val="en-GB"/>
        </w:rPr>
        <w:t>сложен</w:t>
      </w:r>
      <w:proofErr w:type="spellEnd"/>
      <w:r w:rsidRPr="00CF7AA5">
        <w:rPr>
          <w:lang w:val="en-GB"/>
        </w:rPr>
        <w:t xml:space="preserve"> </w:t>
      </w:r>
      <w:proofErr w:type="spellStart"/>
      <w:r w:rsidRPr="00CF7AA5">
        <w:rPr>
          <w:lang w:val="en-GB"/>
        </w:rPr>
        <w:t>икономически</w:t>
      </w:r>
      <w:proofErr w:type="spellEnd"/>
      <w:r w:rsidRPr="00CF7AA5">
        <w:rPr>
          <w:lang w:val="en-GB"/>
        </w:rPr>
        <w:t xml:space="preserve"> </w:t>
      </w:r>
      <w:proofErr w:type="spellStart"/>
      <w:r w:rsidRPr="00CF7AA5">
        <w:rPr>
          <w:lang w:val="en-GB"/>
        </w:rPr>
        <w:t>феномен</w:t>
      </w:r>
      <w:proofErr w:type="spellEnd"/>
      <w:r w:rsidRPr="00CF7AA5">
        <w:rPr>
          <w:lang w:val="en-GB"/>
        </w:rPr>
        <w:t xml:space="preserve">, </w:t>
      </w:r>
      <w:proofErr w:type="spellStart"/>
      <w:r w:rsidRPr="00CF7AA5">
        <w:rPr>
          <w:lang w:val="en-GB"/>
        </w:rPr>
        <w:t>който</w:t>
      </w:r>
      <w:proofErr w:type="spellEnd"/>
      <w:r w:rsidRPr="00CF7AA5">
        <w:rPr>
          <w:lang w:val="en-GB"/>
        </w:rPr>
        <w:t xml:space="preserve"> </w:t>
      </w:r>
      <w:proofErr w:type="spellStart"/>
      <w:r w:rsidRPr="00CF7AA5">
        <w:rPr>
          <w:lang w:val="en-GB"/>
        </w:rPr>
        <w:t>съчетава</w:t>
      </w:r>
      <w:proofErr w:type="spellEnd"/>
      <w:r w:rsidRPr="00CF7AA5">
        <w:rPr>
          <w:lang w:val="en-GB"/>
        </w:rPr>
        <w:t xml:space="preserve"> </w:t>
      </w:r>
      <w:proofErr w:type="spellStart"/>
      <w:r w:rsidRPr="00CF7AA5">
        <w:rPr>
          <w:lang w:val="en-GB"/>
        </w:rPr>
        <w:t>характеристики</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платежно</w:t>
      </w:r>
      <w:proofErr w:type="spellEnd"/>
      <w:r w:rsidRPr="00CF7AA5">
        <w:rPr>
          <w:lang w:val="en-GB"/>
        </w:rPr>
        <w:t xml:space="preserve"> </w:t>
      </w:r>
      <w:proofErr w:type="spellStart"/>
      <w:r w:rsidRPr="00CF7AA5">
        <w:rPr>
          <w:lang w:val="en-GB"/>
        </w:rPr>
        <w:t>средство</w:t>
      </w:r>
      <w:proofErr w:type="spellEnd"/>
      <w:r w:rsidRPr="00CF7AA5">
        <w:rPr>
          <w:lang w:val="en-GB"/>
        </w:rPr>
        <w:t xml:space="preserve">, </w:t>
      </w:r>
      <w:proofErr w:type="spellStart"/>
      <w:r w:rsidRPr="00CF7AA5">
        <w:rPr>
          <w:lang w:val="en-GB"/>
        </w:rPr>
        <w:t>инвестиционен</w:t>
      </w:r>
      <w:proofErr w:type="spellEnd"/>
      <w:r w:rsidRPr="00CF7AA5">
        <w:rPr>
          <w:lang w:val="en-GB"/>
        </w:rPr>
        <w:t xml:space="preserve"> </w:t>
      </w:r>
      <w:proofErr w:type="spellStart"/>
      <w:r w:rsidRPr="00CF7AA5">
        <w:rPr>
          <w:lang w:val="en-GB"/>
        </w:rPr>
        <w:t>инструмент</w:t>
      </w:r>
      <w:proofErr w:type="spellEnd"/>
      <w:r w:rsidRPr="00CF7AA5">
        <w:rPr>
          <w:lang w:val="en-GB"/>
        </w:rPr>
        <w:t xml:space="preserve"> и </w:t>
      </w:r>
      <w:proofErr w:type="spellStart"/>
      <w:r w:rsidRPr="00CF7AA5">
        <w:rPr>
          <w:lang w:val="en-GB"/>
        </w:rPr>
        <w:t>технологична</w:t>
      </w:r>
      <w:proofErr w:type="spellEnd"/>
      <w:r w:rsidRPr="00CF7AA5">
        <w:rPr>
          <w:lang w:val="en-GB"/>
        </w:rPr>
        <w:t xml:space="preserve"> </w:t>
      </w:r>
      <w:proofErr w:type="spellStart"/>
      <w:r w:rsidRPr="00CF7AA5">
        <w:rPr>
          <w:lang w:val="en-GB"/>
        </w:rPr>
        <w:t>инфраструктура</w:t>
      </w:r>
      <w:proofErr w:type="spellEnd"/>
      <w:r w:rsidRPr="00CF7AA5">
        <w:rPr>
          <w:lang w:val="en-GB"/>
        </w:rPr>
        <w:t xml:space="preserve">. </w:t>
      </w:r>
      <w:proofErr w:type="spellStart"/>
      <w:r w:rsidRPr="00CF7AA5">
        <w:rPr>
          <w:lang w:val="en-GB"/>
        </w:rPr>
        <w:t>Тяхната</w:t>
      </w:r>
      <w:proofErr w:type="spellEnd"/>
      <w:r w:rsidRPr="00CF7AA5">
        <w:rPr>
          <w:lang w:val="en-GB"/>
        </w:rPr>
        <w:t xml:space="preserve"> </w:t>
      </w:r>
      <w:proofErr w:type="spellStart"/>
      <w:r w:rsidRPr="00CF7AA5">
        <w:rPr>
          <w:lang w:val="en-GB"/>
        </w:rPr>
        <w:t>децентрализирана</w:t>
      </w:r>
      <w:proofErr w:type="spellEnd"/>
      <w:r w:rsidRPr="00CF7AA5">
        <w:rPr>
          <w:lang w:val="en-GB"/>
        </w:rPr>
        <w:t xml:space="preserve"> </w:t>
      </w:r>
      <w:proofErr w:type="spellStart"/>
      <w:r w:rsidRPr="00CF7AA5">
        <w:rPr>
          <w:lang w:val="en-GB"/>
        </w:rPr>
        <w:t>природа</w:t>
      </w:r>
      <w:proofErr w:type="spellEnd"/>
      <w:r w:rsidRPr="00CF7AA5">
        <w:rPr>
          <w:lang w:val="en-GB"/>
        </w:rPr>
        <w:t xml:space="preserve">, </w:t>
      </w:r>
      <w:proofErr w:type="spellStart"/>
      <w:r w:rsidRPr="00CF7AA5">
        <w:rPr>
          <w:lang w:val="en-GB"/>
        </w:rPr>
        <w:t>базирана</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криптография</w:t>
      </w:r>
      <w:proofErr w:type="spellEnd"/>
      <w:r w:rsidRPr="00CF7AA5">
        <w:rPr>
          <w:lang w:val="en-GB"/>
        </w:rPr>
        <w:t xml:space="preserve"> и </w:t>
      </w:r>
      <w:proofErr w:type="spellStart"/>
      <w:r w:rsidRPr="00CF7AA5">
        <w:rPr>
          <w:lang w:val="en-GB"/>
        </w:rPr>
        <w:t>разпределени</w:t>
      </w:r>
      <w:proofErr w:type="spellEnd"/>
      <w:r w:rsidRPr="00CF7AA5">
        <w:rPr>
          <w:lang w:val="en-GB"/>
        </w:rPr>
        <w:t xml:space="preserve"> </w:t>
      </w:r>
      <w:proofErr w:type="spellStart"/>
      <w:r w:rsidRPr="00CF7AA5">
        <w:rPr>
          <w:lang w:val="en-GB"/>
        </w:rPr>
        <w:t>регистри</w:t>
      </w:r>
      <w:proofErr w:type="spellEnd"/>
      <w:r w:rsidRPr="00CF7AA5">
        <w:rPr>
          <w:lang w:val="en-GB"/>
        </w:rPr>
        <w:t xml:space="preserve">, </w:t>
      </w:r>
      <w:proofErr w:type="spellStart"/>
      <w:r w:rsidRPr="00CF7AA5">
        <w:rPr>
          <w:lang w:val="en-GB"/>
        </w:rPr>
        <w:t>създава</w:t>
      </w:r>
      <w:proofErr w:type="spellEnd"/>
      <w:r w:rsidRPr="00CF7AA5">
        <w:rPr>
          <w:lang w:val="en-GB"/>
        </w:rPr>
        <w:t xml:space="preserve"> </w:t>
      </w:r>
      <w:proofErr w:type="spellStart"/>
      <w:r w:rsidRPr="00CF7AA5">
        <w:rPr>
          <w:lang w:val="en-GB"/>
        </w:rPr>
        <w:t>нови</w:t>
      </w:r>
      <w:proofErr w:type="spellEnd"/>
      <w:r w:rsidRPr="00CF7AA5">
        <w:rPr>
          <w:lang w:val="en-GB"/>
        </w:rPr>
        <w:t xml:space="preserve"> </w:t>
      </w:r>
      <w:proofErr w:type="spellStart"/>
      <w:r w:rsidRPr="00CF7AA5">
        <w:rPr>
          <w:lang w:val="en-GB"/>
        </w:rPr>
        <w:t>възможности</w:t>
      </w:r>
      <w:proofErr w:type="spellEnd"/>
      <w:r w:rsidRPr="00CF7AA5">
        <w:rPr>
          <w:lang w:val="en-GB"/>
        </w:rPr>
        <w:t xml:space="preserve"> </w:t>
      </w:r>
      <w:proofErr w:type="spellStart"/>
      <w:r w:rsidRPr="00CF7AA5">
        <w:rPr>
          <w:lang w:val="en-GB"/>
        </w:rPr>
        <w:t>за</w:t>
      </w:r>
      <w:proofErr w:type="spellEnd"/>
      <w:r w:rsidRPr="00CF7AA5">
        <w:rPr>
          <w:lang w:val="en-GB"/>
        </w:rPr>
        <w:t xml:space="preserve"> </w:t>
      </w:r>
      <w:proofErr w:type="spellStart"/>
      <w:r w:rsidRPr="00CF7AA5">
        <w:rPr>
          <w:lang w:val="en-GB"/>
        </w:rPr>
        <w:t>трансакции</w:t>
      </w:r>
      <w:proofErr w:type="spellEnd"/>
      <w:r w:rsidRPr="00CF7AA5">
        <w:rPr>
          <w:lang w:val="en-GB"/>
        </w:rPr>
        <w:t xml:space="preserve">, </w:t>
      </w:r>
      <w:proofErr w:type="spellStart"/>
      <w:r w:rsidRPr="00CF7AA5">
        <w:rPr>
          <w:lang w:val="en-GB"/>
        </w:rPr>
        <w:t>инвестиции</w:t>
      </w:r>
      <w:proofErr w:type="spellEnd"/>
      <w:r w:rsidRPr="00CF7AA5">
        <w:rPr>
          <w:lang w:val="en-GB"/>
        </w:rPr>
        <w:t xml:space="preserve"> и </w:t>
      </w:r>
      <w:proofErr w:type="spellStart"/>
      <w:r w:rsidRPr="00CF7AA5">
        <w:rPr>
          <w:lang w:val="en-GB"/>
        </w:rPr>
        <w:t>финансово</w:t>
      </w:r>
      <w:proofErr w:type="spellEnd"/>
      <w:r w:rsidRPr="00CF7AA5">
        <w:rPr>
          <w:lang w:val="en-GB"/>
        </w:rPr>
        <w:t xml:space="preserve"> </w:t>
      </w:r>
      <w:proofErr w:type="spellStart"/>
      <w:r w:rsidRPr="00CF7AA5">
        <w:rPr>
          <w:lang w:val="en-GB"/>
        </w:rPr>
        <w:t>посредничество</w:t>
      </w:r>
      <w:proofErr w:type="spellEnd"/>
      <w:r w:rsidRPr="00CF7AA5">
        <w:rPr>
          <w:lang w:val="en-GB"/>
        </w:rPr>
        <w:t xml:space="preserve">, </w:t>
      </w:r>
      <w:proofErr w:type="spellStart"/>
      <w:r w:rsidRPr="00CF7AA5">
        <w:rPr>
          <w:lang w:val="en-GB"/>
        </w:rPr>
        <w:t>но</w:t>
      </w:r>
      <w:proofErr w:type="spellEnd"/>
      <w:r w:rsidRPr="00CF7AA5">
        <w:rPr>
          <w:lang w:val="en-GB"/>
        </w:rPr>
        <w:t xml:space="preserve"> </w:t>
      </w:r>
      <w:proofErr w:type="spellStart"/>
      <w:r w:rsidRPr="00CF7AA5">
        <w:rPr>
          <w:lang w:val="en-GB"/>
        </w:rPr>
        <w:t>същевременно</w:t>
      </w:r>
      <w:proofErr w:type="spellEnd"/>
      <w:r w:rsidRPr="00CF7AA5">
        <w:rPr>
          <w:lang w:val="en-GB"/>
        </w:rPr>
        <w:t xml:space="preserve"> </w:t>
      </w:r>
      <w:proofErr w:type="spellStart"/>
      <w:r w:rsidRPr="00CF7AA5">
        <w:rPr>
          <w:lang w:val="en-GB"/>
        </w:rPr>
        <w:t>поражда</w:t>
      </w:r>
      <w:proofErr w:type="spellEnd"/>
      <w:r w:rsidRPr="00CF7AA5">
        <w:rPr>
          <w:lang w:val="en-GB"/>
        </w:rPr>
        <w:t xml:space="preserve"> </w:t>
      </w:r>
      <w:proofErr w:type="spellStart"/>
      <w:r w:rsidRPr="00CF7AA5">
        <w:rPr>
          <w:lang w:val="en-GB"/>
        </w:rPr>
        <w:t>редица</w:t>
      </w:r>
      <w:proofErr w:type="spellEnd"/>
      <w:r w:rsidRPr="00CF7AA5">
        <w:rPr>
          <w:lang w:val="en-GB"/>
        </w:rPr>
        <w:t xml:space="preserve"> </w:t>
      </w:r>
      <w:proofErr w:type="spellStart"/>
      <w:r w:rsidRPr="00CF7AA5">
        <w:rPr>
          <w:lang w:val="en-GB"/>
        </w:rPr>
        <w:t>предизвикателства</w:t>
      </w:r>
      <w:proofErr w:type="spellEnd"/>
      <w:r w:rsidRPr="00CF7AA5">
        <w:rPr>
          <w:lang w:val="en-GB"/>
        </w:rPr>
        <w:t xml:space="preserve">, </w:t>
      </w:r>
      <w:proofErr w:type="spellStart"/>
      <w:r w:rsidRPr="00CF7AA5">
        <w:rPr>
          <w:lang w:val="en-GB"/>
        </w:rPr>
        <w:t>свързани</w:t>
      </w:r>
      <w:proofErr w:type="spellEnd"/>
      <w:r w:rsidRPr="00CF7AA5">
        <w:rPr>
          <w:lang w:val="en-GB"/>
        </w:rPr>
        <w:t xml:space="preserve"> с </w:t>
      </w:r>
      <w:proofErr w:type="spellStart"/>
      <w:r w:rsidRPr="00CF7AA5">
        <w:rPr>
          <w:lang w:val="en-GB"/>
        </w:rPr>
        <w:t>регулацията</w:t>
      </w:r>
      <w:proofErr w:type="spellEnd"/>
      <w:r w:rsidRPr="00CF7AA5">
        <w:rPr>
          <w:lang w:val="en-GB"/>
        </w:rPr>
        <w:t xml:space="preserve">, </w:t>
      </w:r>
      <w:proofErr w:type="spellStart"/>
      <w:r w:rsidRPr="00CF7AA5">
        <w:rPr>
          <w:lang w:val="en-GB"/>
        </w:rPr>
        <w:t>сигурността</w:t>
      </w:r>
      <w:proofErr w:type="spellEnd"/>
      <w:r w:rsidRPr="00CF7AA5">
        <w:rPr>
          <w:lang w:val="en-GB"/>
        </w:rPr>
        <w:t xml:space="preserve"> и </w:t>
      </w:r>
      <w:proofErr w:type="spellStart"/>
      <w:r w:rsidRPr="00CF7AA5">
        <w:rPr>
          <w:lang w:val="en-GB"/>
        </w:rPr>
        <w:t>управлението</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риска</w:t>
      </w:r>
      <w:proofErr w:type="spellEnd"/>
      <w:r w:rsidRPr="00CF7AA5">
        <w:rPr>
          <w:lang w:val="en-GB"/>
        </w:rPr>
        <w:t xml:space="preserve">. </w:t>
      </w:r>
      <w:proofErr w:type="spellStart"/>
      <w:r w:rsidRPr="00CF7AA5">
        <w:rPr>
          <w:lang w:val="en-GB"/>
        </w:rPr>
        <w:t>Разнообразието</w:t>
      </w:r>
      <w:proofErr w:type="spellEnd"/>
      <w:r w:rsidRPr="00CF7AA5">
        <w:rPr>
          <w:lang w:val="en-GB"/>
        </w:rPr>
        <w:t xml:space="preserve"> </w:t>
      </w:r>
      <w:proofErr w:type="spellStart"/>
      <w:r w:rsidRPr="00CF7AA5">
        <w:rPr>
          <w:lang w:val="en-GB"/>
        </w:rPr>
        <w:t>от</w:t>
      </w:r>
      <w:proofErr w:type="spellEnd"/>
      <w:r w:rsidRPr="00CF7AA5">
        <w:rPr>
          <w:lang w:val="en-GB"/>
        </w:rPr>
        <w:t xml:space="preserve"> </w:t>
      </w:r>
      <w:proofErr w:type="spellStart"/>
      <w:r w:rsidRPr="00CF7AA5">
        <w:rPr>
          <w:lang w:val="en-GB"/>
        </w:rPr>
        <w:t>видове</w:t>
      </w:r>
      <w:proofErr w:type="spellEnd"/>
      <w:r w:rsidRPr="00CF7AA5">
        <w:rPr>
          <w:lang w:val="en-GB"/>
        </w:rPr>
        <w:t xml:space="preserve"> </w:t>
      </w:r>
      <w:proofErr w:type="spellStart"/>
      <w:r w:rsidRPr="00CF7AA5">
        <w:rPr>
          <w:lang w:val="en-GB"/>
        </w:rPr>
        <w:t>криптоактиви</w:t>
      </w:r>
      <w:proofErr w:type="spellEnd"/>
      <w:r w:rsidRPr="00CF7AA5">
        <w:rPr>
          <w:lang w:val="en-GB"/>
        </w:rPr>
        <w:t xml:space="preserve"> и </w:t>
      </w:r>
      <w:proofErr w:type="spellStart"/>
      <w:r w:rsidRPr="00CF7AA5">
        <w:rPr>
          <w:lang w:val="en-GB"/>
        </w:rPr>
        <w:t>техните</w:t>
      </w:r>
      <w:proofErr w:type="spellEnd"/>
      <w:r w:rsidRPr="00CF7AA5">
        <w:rPr>
          <w:lang w:val="en-GB"/>
        </w:rPr>
        <w:t xml:space="preserve"> </w:t>
      </w:r>
      <w:proofErr w:type="spellStart"/>
      <w:r w:rsidRPr="00CF7AA5">
        <w:rPr>
          <w:lang w:val="en-GB"/>
        </w:rPr>
        <w:t>функции</w:t>
      </w:r>
      <w:proofErr w:type="spellEnd"/>
      <w:r w:rsidRPr="00CF7AA5">
        <w:rPr>
          <w:lang w:val="en-GB"/>
        </w:rPr>
        <w:t xml:space="preserve"> </w:t>
      </w:r>
      <w:proofErr w:type="spellStart"/>
      <w:r w:rsidRPr="00CF7AA5">
        <w:rPr>
          <w:lang w:val="en-GB"/>
        </w:rPr>
        <w:t>потвърждава</w:t>
      </w:r>
      <w:proofErr w:type="spellEnd"/>
      <w:r w:rsidRPr="00CF7AA5">
        <w:rPr>
          <w:lang w:val="en-GB"/>
        </w:rPr>
        <w:t xml:space="preserve">, </w:t>
      </w:r>
      <w:proofErr w:type="spellStart"/>
      <w:r w:rsidRPr="00CF7AA5">
        <w:rPr>
          <w:lang w:val="en-GB"/>
        </w:rPr>
        <w:t>че</w:t>
      </w:r>
      <w:proofErr w:type="spellEnd"/>
      <w:r w:rsidRPr="00CF7AA5">
        <w:rPr>
          <w:lang w:val="en-GB"/>
        </w:rPr>
        <w:t xml:space="preserve"> </w:t>
      </w:r>
      <w:proofErr w:type="spellStart"/>
      <w:r w:rsidRPr="00CF7AA5">
        <w:rPr>
          <w:lang w:val="en-GB"/>
        </w:rPr>
        <w:t>този</w:t>
      </w:r>
      <w:proofErr w:type="spellEnd"/>
      <w:r w:rsidRPr="00CF7AA5">
        <w:rPr>
          <w:lang w:val="en-GB"/>
        </w:rPr>
        <w:t xml:space="preserve"> </w:t>
      </w:r>
      <w:proofErr w:type="spellStart"/>
      <w:r w:rsidRPr="00CF7AA5">
        <w:rPr>
          <w:lang w:val="en-GB"/>
        </w:rPr>
        <w:t>пазар</w:t>
      </w:r>
      <w:proofErr w:type="spellEnd"/>
      <w:r w:rsidRPr="00CF7AA5">
        <w:rPr>
          <w:lang w:val="en-GB"/>
        </w:rPr>
        <w:t xml:space="preserve"> е </w:t>
      </w:r>
      <w:proofErr w:type="spellStart"/>
      <w:r w:rsidRPr="00CF7AA5">
        <w:rPr>
          <w:lang w:val="en-GB"/>
        </w:rPr>
        <w:t>хетерогенен</w:t>
      </w:r>
      <w:proofErr w:type="spellEnd"/>
      <w:r w:rsidRPr="00CF7AA5">
        <w:rPr>
          <w:lang w:val="en-GB"/>
        </w:rPr>
        <w:t xml:space="preserve"> и </w:t>
      </w:r>
      <w:proofErr w:type="spellStart"/>
      <w:r w:rsidRPr="00CF7AA5">
        <w:rPr>
          <w:lang w:val="en-GB"/>
        </w:rPr>
        <w:t>изисква</w:t>
      </w:r>
      <w:proofErr w:type="spellEnd"/>
      <w:r w:rsidRPr="00CF7AA5">
        <w:rPr>
          <w:lang w:val="en-GB"/>
        </w:rPr>
        <w:t xml:space="preserve"> </w:t>
      </w:r>
      <w:proofErr w:type="spellStart"/>
      <w:r w:rsidRPr="00CF7AA5">
        <w:rPr>
          <w:lang w:val="en-GB"/>
        </w:rPr>
        <w:t>диференциран</w:t>
      </w:r>
      <w:proofErr w:type="spellEnd"/>
      <w:r w:rsidRPr="00CF7AA5">
        <w:rPr>
          <w:lang w:val="en-GB"/>
        </w:rPr>
        <w:t xml:space="preserve"> </w:t>
      </w:r>
      <w:proofErr w:type="spellStart"/>
      <w:r w:rsidRPr="00CF7AA5">
        <w:rPr>
          <w:lang w:val="en-GB"/>
        </w:rPr>
        <w:t>подход</w:t>
      </w:r>
      <w:proofErr w:type="spellEnd"/>
      <w:r w:rsidRPr="00CF7AA5">
        <w:rPr>
          <w:lang w:val="en-GB"/>
        </w:rPr>
        <w:t xml:space="preserve"> </w:t>
      </w:r>
      <w:proofErr w:type="spellStart"/>
      <w:r w:rsidRPr="00CF7AA5">
        <w:rPr>
          <w:lang w:val="en-GB"/>
        </w:rPr>
        <w:t>както</w:t>
      </w:r>
      <w:proofErr w:type="spellEnd"/>
      <w:r w:rsidRPr="00CF7AA5">
        <w:rPr>
          <w:lang w:val="en-GB"/>
        </w:rPr>
        <w:t xml:space="preserve"> </w:t>
      </w:r>
      <w:proofErr w:type="spellStart"/>
      <w:r w:rsidRPr="00CF7AA5">
        <w:rPr>
          <w:lang w:val="en-GB"/>
        </w:rPr>
        <w:t>от</w:t>
      </w:r>
      <w:proofErr w:type="spellEnd"/>
      <w:r w:rsidRPr="00CF7AA5">
        <w:rPr>
          <w:lang w:val="en-GB"/>
        </w:rPr>
        <w:t xml:space="preserve"> </w:t>
      </w:r>
      <w:proofErr w:type="spellStart"/>
      <w:r w:rsidRPr="00CF7AA5">
        <w:rPr>
          <w:lang w:val="en-GB"/>
        </w:rPr>
        <w:t>страна</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инвеститорите</w:t>
      </w:r>
      <w:proofErr w:type="spellEnd"/>
      <w:r w:rsidRPr="00CF7AA5">
        <w:rPr>
          <w:lang w:val="en-GB"/>
        </w:rPr>
        <w:t xml:space="preserve">, </w:t>
      </w:r>
      <w:proofErr w:type="spellStart"/>
      <w:r w:rsidRPr="00CF7AA5">
        <w:rPr>
          <w:lang w:val="en-GB"/>
        </w:rPr>
        <w:t>така</w:t>
      </w:r>
      <w:proofErr w:type="spellEnd"/>
      <w:r w:rsidRPr="00CF7AA5">
        <w:rPr>
          <w:lang w:val="en-GB"/>
        </w:rPr>
        <w:t xml:space="preserve"> и </w:t>
      </w:r>
      <w:proofErr w:type="spellStart"/>
      <w:r w:rsidRPr="00CF7AA5">
        <w:rPr>
          <w:lang w:val="en-GB"/>
        </w:rPr>
        <w:t>от</w:t>
      </w:r>
      <w:proofErr w:type="spellEnd"/>
      <w:r w:rsidRPr="00CF7AA5">
        <w:rPr>
          <w:lang w:val="en-GB"/>
        </w:rPr>
        <w:t xml:space="preserve"> </w:t>
      </w:r>
      <w:proofErr w:type="spellStart"/>
      <w:r w:rsidRPr="00CF7AA5">
        <w:rPr>
          <w:lang w:val="en-GB"/>
        </w:rPr>
        <w:t>страна</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регулаторните</w:t>
      </w:r>
      <w:proofErr w:type="spellEnd"/>
      <w:r w:rsidRPr="00CF7AA5">
        <w:rPr>
          <w:lang w:val="en-GB"/>
        </w:rPr>
        <w:t xml:space="preserve"> </w:t>
      </w:r>
      <w:proofErr w:type="spellStart"/>
      <w:r w:rsidRPr="00CF7AA5">
        <w:rPr>
          <w:lang w:val="en-GB"/>
        </w:rPr>
        <w:t>институции</w:t>
      </w:r>
      <w:proofErr w:type="spellEnd"/>
      <w:r w:rsidRPr="00CF7AA5">
        <w:rPr>
          <w:lang w:val="en-GB"/>
        </w:rPr>
        <w:t xml:space="preserve">. В </w:t>
      </w:r>
      <w:proofErr w:type="spellStart"/>
      <w:r w:rsidRPr="00CF7AA5">
        <w:rPr>
          <w:lang w:val="en-GB"/>
        </w:rPr>
        <w:t>същото</w:t>
      </w:r>
      <w:proofErr w:type="spellEnd"/>
      <w:r w:rsidRPr="00CF7AA5">
        <w:rPr>
          <w:lang w:val="en-GB"/>
        </w:rPr>
        <w:t xml:space="preserve"> </w:t>
      </w:r>
      <w:proofErr w:type="spellStart"/>
      <w:r w:rsidRPr="00CF7AA5">
        <w:rPr>
          <w:lang w:val="en-GB"/>
        </w:rPr>
        <w:t>време</w:t>
      </w:r>
      <w:proofErr w:type="spellEnd"/>
      <w:r w:rsidRPr="00CF7AA5">
        <w:rPr>
          <w:lang w:val="en-GB"/>
        </w:rPr>
        <w:t xml:space="preserve"> </w:t>
      </w:r>
      <w:proofErr w:type="spellStart"/>
      <w:r w:rsidRPr="00CF7AA5">
        <w:rPr>
          <w:lang w:val="en-GB"/>
        </w:rPr>
        <w:t>процесът</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институционализация</w:t>
      </w:r>
      <w:proofErr w:type="spellEnd"/>
      <w:r w:rsidRPr="00CF7AA5">
        <w:rPr>
          <w:lang w:val="en-GB"/>
        </w:rPr>
        <w:t xml:space="preserve"> и </w:t>
      </w:r>
      <w:proofErr w:type="spellStart"/>
      <w:r w:rsidRPr="00CF7AA5">
        <w:rPr>
          <w:lang w:val="en-GB"/>
        </w:rPr>
        <w:t>развитие</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регулаторните</w:t>
      </w:r>
      <w:proofErr w:type="spellEnd"/>
      <w:r w:rsidRPr="00CF7AA5">
        <w:rPr>
          <w:lang w:val="en-GB"/>
        </w:rPr>
        <w:t xml:space="preserve"> </w:t>
      </w:r>
      <w:proofErr w:type="spellStart"/>
      <w:r w:rsidRPr="00CF7AA5">
        <w:rPr>
          <w:lang w:val="en-GB"/>
        </w:rPr>
        <w:t>рамки</w:t>
      </w:r>
      <w:proofErr w:type="spellEnd"/>
      <w:r w:rsidRPr="00CF7AA5">
        <w:rPr>
          <w:lang w:val="en-GB"/>
        </w:rPr>
        <w:t xml:space="preserve"> в </w:t>
      </w:r>
      <w:proofErr w:type="spellStart"/>
      <w:r w:rsidRPr="00CF7AA5">
        <w:rPr>
          <w:lang w:val="en-GB"/>
        </w:rPr>
        <w:t>водещи</w:t>
      </w:r>
      <w:proofErr w:type="spellEnd"/>
      <w:r w:rsidRPr="00CF7AA5">
        <w:rPr>
          <w:lang w:val="en-GB"/>
        </w:rPr>
        <w:t xml:space="preserve"> </w:t>
      </w:r>
      <w:proofErr w:type="spellStart"/>
      <w:r w:rsidRPr="00CF7AA5">
        <w:rPr>
          <w:lang w:val="en-GB"/>
        </w:rPr>
        <w:t>икономики</w:t>
      </w:r>
      <w:proofErr w:type="spellEnd"/>
      <w:r w:rsidRPr="00CF7AA5">
        <w:rPr>
          <w:lang w:val="en-GB"/>
        </w:rPr>
        <w:t xml:space="preserve"> </w:t>
      </w:r>
      <w:proofErr w:type="spellStart"/>
      <w:r w:rsidRPr="00CF7AA5">
        <w:rPr>
          <w:lang w:val="en-GB"/>
        </w:rPr>
        <w:t>показва</w:t>
      </w:r>
      <w:proofErr w:type="spellEnd"/>
      <w:r w:rsidRPr="00CF7AA5">
        <w:rPr>
          <w:lang w:val="en-GB"/>
        </w:rPr>
        <w:t xml:space="preserve">, </w:t>
      </w:r>
      <w:proofErr w:type="spellStart"/>
      <w:r w:rsidRPr="00CF7AA5">
        <w:rPr>
          <w:lang w:val="en-GB"/>
        </w:rPr>
        <w:t>че</w:t>
      </w:r>
      <w:proofErr w:type="spellEnd"/>
      <w:r w:rsidRPr="00CF7AA5">
        <w:rPr>
          <w:lang w:val="en-GB"/>
        </w:rPr>
        <w:t xml:space="preserve"> </w:t>
      </w:r>
      <w:proofErr w:type="spellStart"/>
      <w:r w:rsidRPr="00CF7AA5">
        <w:rPr>
          <w:lang w:val="en-GB"/>
        </w:rPr>
        <w:t>криптоактивите</w:t>
      </w:r>
      <w:proofErr w:type="spellEnd"/>
      <w:r w:rsidRPr="00CF7AA5">
        <w:rPr>
          <w:lang w:val="en-GB"/>
        </w:rPr>
        <w:t xml:space="preserve"> </w:t>
      </w:r>
      <w:proofErr w:type="spellStart"/>
      <w:r w:rsidRPr="00CF7AA5">
        <w:rPr>
          <w:lang w:val="en-GB"/>
        </w:rPr>
        <w:t>постепенно</w:t>
      </w:r>
      <w:proofErr w:type="spellEnd"/>
      <w:r w:rsidRPr="00CF7AA5">
        <w:rPr>
          <w:lang w:val="en-GB"/>
        </w:rPr>
        <w:t xml:space="preserve"> </w:t>
      </w:r>
      <w:proofErr w:type="spellStart"/>
      <w:r w:rsidRPr="00CF7AA5">
        <w:rPr>
          <w:lang w:val="en-GB"/>
        </w:rPr>
        <w:t>се</w:t>
      </w:r>
      <w:proofErr w:type="spellEnd"/>
      <w:r w:rsidRPr="00CF7AA5">
        <w:rPr>
          <w:lang w:val="en-GB"/>
        </w:rPr>
        <w:t xml:space="preserve"> </w:t>
      </w:r>
      <w:proofErr w:type="spellStart"/>
      <w:r w:rsidRPr="00CF7AA5">
        <w:rPr>
          <w:lang w:val="en-GB"/>
        </w:rPr>
        <w:t>интегрират</w:t>
      </w:r>
      <w:proofErr w:type="spellEnd"/>
      <w:r w:rsidRPr="00CF7AA5">
        <w:rPr>
          <w:lang w:val="en-GB"/>
        </w:rPr>
        <w:t xml:space="preserve"> в </w:t>
      </w:r>
      <w:proofErr w:type="spellStart"/>
      <w:r w:rsidRPr="00CF7AA5">
        <w:rPr>
          <w:lang w:val="en-GB"/>
        </w:rPr>
        <w:t>глобалната</w:t>
      </w:r>
      <w:proofErr w:type="spellEnd"/>
      <w:r w:rsidRPr="00CF7AA5">
        <w:rPr>
          <w:lang w:val="en-GB"/>
        </w:rPr>
        <w:t xml:space="preserve"> </w:t>
      </w:r>
      <w:proofErr w:type="spellStart"/>
      <w:r w:rsidRPr="00CF7AA5">
        <w:rPr>
          <w:lang w:val="en-GB"/>
        </w:rPr>
        <w:t>финансова</w:t>
      </w:r>
      <w:proofErr w:type="spellEnd"/>
      <w:r w:rsidRPr="00CF7AA5">
        <w:rPr>
          <w:lang w:val="en-GB"/>
        </w:rPr>
        <w:t xml:space="preserve"> </w:t>
      </w:r>
      <w:proofErr w:type="spellStart"/>
      <w:r w:rsidRPr="00CF7AA5">
        <w:rPr>
          <w:lang w:val="en-GB"/>
        </w:rPr>
        <w:t>архитектура</w:t>
      </w:r>
      <w:proofErr w:type="spellEnd"/>
      <w:r w:rsidRPr="00CF7AA5">
        <w:rPr>
          <w:lang w:val="en-GB"/>
        </w:rPr>
        <w:t>.</w:t>
      </w:r>
    </w:p>
    <w:p w14:paraId="3C367CB5" w14:textId="501A8D2F" w:rsidR="00CF7AA5" w:rsidRPr="00CF7AA5" w:rsidRDefault="00CF7AA5" w:rsidP="00CF7AA5">
      <w:pPr>
        <w:spacing w:line="360" w:lineRule="auto"/>
        <w:ind w:firstLine="709"/>
        <w:jc w:val="both"/>
        <w:rPr>
          <w:lang w:val="en-GB"/>
        </w:rPr>
      </w:pPr>
      <w:proofErr w:type="spellStart"/>
      <w:r w:rsidRPr="00CF7AA5">
        <w:rPr>
          <w:lang w:val="en-GB"/>
        </w:rPr>
        <w:t>Анализът</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макроикономическите</w:t>
      </w:r>
      <w:proofErr w:type="spellEnd"/>
      <w:r w:rsidRPr="00CF7AA5">
        <w:rPr>
          <w:lang w:val="en-GB"/>
        </w:rPr>
        <w:t xml:space="preserve"> </w:t>
      </w:r>
      <w:proofErr w:type="spellStart"/>
      <w:r w:rsidRPr="00CF7AA5">
        <w:rPr>
          <w:lang w:val="en-GB"/>
        </w:rPr>
        <w:t>детерминанти</w:t>
      </w:r>
      <w:proofErr w:type="spellEnd"/>
      <w:r w:rsidRPr="00CF7AA5">
        <w:rPr>
          <w:lang w:val="en-GB"/>
        </w:rPr>
        <w:t xml:space="preserve"> </w:t>
      </w:r>
      <w:proofErr w:type="spellStart"/>
      <w:r w:rsidRPr="00CF7AA5">
        <w:rPr>
          <w:lang w:val="en-GB"/>
        </w:rPr>
        <w:t>доказва</w:t>
      </w:r>
      <w:proofErr w:type="spellEnd"/>
      <w:r w:rsidRPr="00CF7AA5">
        <w:rPr>
          <w:lang w:val="en-GB"/>
        </w:rPr>
        <w:t xml:space="preserve">, </w:t>
      </w:r>
      <w:proofErr w:type="spellStart"/>
      <w:r w:rsidRPr="00CF7AA5">
        <w:rPr>
          <w:lang w:val="en-GB"/>
        </w:rPr>
        <w:t>че</w:t>
      </w:r>
      <w:proofErr w:type="spellEnd"/>
      <w:r w:rsidRPr="00CF7AA5">
        <w:rPr>
          <w:lang w:val="en-GB"/>
        </w:rPr>
        <w:t xml:space="preserve"> </w:t>
      </w:r>
      <w:proofErr w:type="spellStart"/>
      <w:r w:rsidRPr="00CF7AA5">
        <w:rPr>
          <w:lang w:val="en-GB"/>
        </w:rPr>
        <w:t>индикатори</w:t>
      </w:r>
      <w:proofErr w:type="spellEnd"/>
      <w:r w:rsidRPr="00CF7AA5">
        <w:rPr>
          <w:lang w:val="en-GB"/>
        </w:rPr>
        <w:t xml:space="preserve"> </w:t>
      </w:r>
      <w:proofErr w:type="spellStart"/>
      <w:r w:rsidRPr="00CF7AA5">
        <w:rPr>
          <w:lang w:val="en-GB"/>
        </w:rPr>
        <w:t>като</w:t>
      </w:r>
      <w:proofErr w:type="spellEnd"/>
      <w:r w:rsidRPr="00CF7AA5">
        <w:rPr>
          <w:lang w:val="en-GB"/>
        </w:rPr>
        <w:t xml:space="preserve"> </w:t>
      </w:r>
      <w:proofErr w:type="spellStart"/>
      <w:r w:rsidRPr="00CF7AA5">
        <w:rPr>
          <w:lang w:val="en-GB"/>
        </w:rPr>
        <w:t>инфлация</w:t>
      </w:r>
      <w:proofErr w:type="spellEnd"/>
      <w:r w:rsidRPr="00CF7AA5">
        <w:rPr>
          <w:lang w:val="en-GB"/>
        </w:rPr>
        <w:t xml:space="preserve">, </w:t>
      </w:r>
      <w:proofErr w:type="spellStart"/>
      <w:r w:rsidRPr="00CF7AA5">
        <w:rPr>
          <w:lang w:val="en-GB"/>
        </w:rPr>
        <w:t>лихвени</w:t>
      </w:r>
      <w:proofErr w:type="spellEnd"/>
      <w:r w:rsidRPr="00CF7AA5">
        <w:rPr>
          <w:lang w:val="en-GB"/>
        </w:rPr>
        <w:t xml:space="preserve"> </w:t>
      </w:r>
      <w:proofErr w:type="spellStart"/>
      <w:r w:rsidRPr="00CF7AA5">
        <w:rPr>
          <w:lang w:val="en-GB"/>
        </w:rPr>
        <w:t>проценти</w:t>
      </w:r>
      <w:proofErr w:type="spellEnd"/>
      <w:r w:rsidRPr="00CF7AA5">
        <w:rPr>
          <w:lang w:val="en-GB"/>
        </w:rPr>
        <w:t xml:space="preserve"> и </w:t>
      </w:r>
      <w:proofErr w:type="spellStart"/>
      <w:r w:rsidRPr="00CF7AA5">
        <w:rPr>
          <w:lang w:val="en-GB"/>
        </w:rPr>
        <w:t>валутни</w:t>
      </w:r>
      <w:proofErr w:type="spellEnd"/>
      <w:r w:rsidRPr="00CF7AA5">
        <w:rPr>
          <w:lang w:val="en-GB"/>
        </w:rPr>
        <w:t xml:space="preserve"> </w:t>
      </w:r>
      <w:proofErr w:type="spellStart"/>
      <w:r w:rsidRPr="00CF7AA5">
        <w:rPr>
          <w:lang w:val="en-GB"/>
        </w:rPr>
        <w:t>курсове</w:t>
      </w:r>
      <w:proofErr w:type="spellEnd"/>
      <w:r w:rsidRPr="00CF7AA5">
        <w:rPr>
          <w:lang w:val="en-GB"/>
        </w:rPr>
        <w:t xml:space="preserve"> </w:t>
      </w:r>
      <w:proofErr w:type="spellStart"/>
      <w:r w:rsidRPr="00CF7AA5">
        <w:rPr>
          <w:lang w:val="en-GB"/>
        </w:rPr>
        <w:t>оказват</w:t>
      </w:r>
      <w:proofErr w:type="spellEnd"/>
      <w:r w:rsidRPr="00CF7AA5">
        <w:rPr>
          <w:lang w:val="en-GB"/>
        </w:rPr>
        <w:t xml:space="preserve"> </w:t>
      </w:r>
      <w:proofErr w:type="spellStart"/>
      <w:r w:rsidRPr="00CF7AA5">
        <w:rPr>
          <w:lang w:val="en-GB"/>
        </w:rPr>
        <w:t>съществено</w:t>
      </w:r>
      <w:proofErr w:type="spellEnd"/>
      <w:r w:rsidRPr="00CF7AA5">
        <w:rPr>
          <w:lang w:val="en-GB"/>
        </w:rPr>
        <w:t xml:space="preserve"> </w:t>
      </w:r>
      <w:proofErr w:type="spellStart"/>
      <w:r w:rsidRPr="00CF7AA5">
        <w:rPr>
          <w:lang w:val="en-GB"/>
        </w:rPr>
        <w:t>влияние</w:t>
      </w:r>
      <w:proofErr w:type="spellEnd"/>
      <w:r w:rsidRPr="00CF7AA5">
        <w:rPr>
          <w:lang w:val="en-GB"/>
        </w:rPr>
        <w:t xml:space="preserve"> </w:t>
      </w:r>
      <w:proofErr w:type="spellStart"/>
      <w:r w:rsidRPr="00CF7AA5">
        <w:rPr>
          <w:lang w:val="en-GB"/>
        </w:rPr>
        <w:t>върху</w:t>
      </w:r>
      <w:proofErr w:type="spellEnd"/>
      <w:r w:rsidRPr="00CF7AA5">
        <w:rPr>
          <w:lang w:val="en-GB"/>
        </w:rPr>
        <w:t xml:space="preserve"> </w:t>
      </w:r>
      <w:proofErr w:type="spellStart"/>
      <w:r w:rsidRPr="00CF7AA5">
        <w:rPr>
          <w:lang w:val="en-GB"/>
        </w:rPr>
        <w:t>финансовите</w:t>
      </w:r>
      <w:proofErr w:type="spellEnd"/>
      <w:r w:rsidRPr="00CF7AA5">
        <w:rPr>
          <w:lang w:val="en-GB"/>
        </w:rPr>
        <w:t xml:space="preserve"> </w:t>
      </w:r>
      <w:proofErr w:type="spellStart"/>
      <w:r w:rsidRPr="00CF7AA5">
        <w:rPr>
          <w:lang w:val="en-GB"/>
        </w:rPr>
        <w:t>пазари</w:t>
      </w:r>
      <w:proofErr w:type="spellEnd"/>
      <w:r w:rsidRPr="00CF7AA5">
        <w:rPr>
          <w:lang w:val="en-GB"/>
        </w:rPr>
        <w:t xml:space="preserve"> </w:t>
      </w:r>
      <w:proofErr w:type="spellStart"/>
      <w:r w:rsidRPr="00CF7AA5">
        <w:rPr>
          <w:lang w:val="en-GB"/>
        </w:rPr>
        <w:t>чрез</w:t>
      </w:r>
      <w:proofErr w:type="spellEnd"/>
      <w:r w:rsidRPr="00CF7AA5">
        <w:rPr>
          <w:lang w:val="en-GB"/>
        </w:rPr>
        <w:t xml:space="preserve"> </w:t>
      </w:r>
      <w:proofErr w:type="spellStart"/>
      <w:r w:rsidRPr="00CF7AA5">
        <w:rPr>
          <w:lang w:val="en-GB"/>
        </w:rPr>
        <w:t>различни</w:t>
      </w:r>
      <w:proofErr w:type="spellEnd"/>
      <w:r w:rsidRPr="00CF7AA5">
        <w:rPr>
          <w:lang w:val="en-GB"/>
        </w:rPr>
        <w:t xml:space="preserve"> </w:t>
      </w:r>
      <w:proofErr w:type="spellStart"/>
      <w:r w:rsidRPr="00CF7AA5">
        <w:rPr>
          <w:lang w:val="en-GB"/>
        </w:rPr>
        <w:t>механизми</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предаване</w:t>
      </w:r>
      <w:proofErr w:type="spellEnd"/>
      <w:r w:rsidRPr="00CF7AA5">
        <w:rPr>
          <w:lang w:val="en-GB"/>
        </w:rPr>
        <w:t xml:space="preserve">, </w:t>
      </w:r>
      <w:proofErr w:type="spellStart"/>
      <w:r w:rsidRPr="00CF7AA5">
        <w:rPr>
          <w:lang w:val="en-GB"/>
        </w:rPr>
        <w:t>включително</w:t>
      </w:r>
      <w:proofErr w:type="spellEnd"/>
      <w:r w:rsidRPr="00CF7AA5">
        <w:rPr>
          <w:lang w:val="en-GB"/>
        </w:rPr>
        <w:t xml:space="preserve"> </w:t>
      </w:r>
      <w:proofErr w:type="spellStart"/>
      <w:r w:rsidRPr="00CF7AA5">
        <w:rPr>
          <w:lang w:val="en-GB"/>
        </w:rPr>
        <w:t>дисконтирането</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бъдещи</w:t>
      </w:r>
      <w:proofErr w:type="spellEnd"/>
      <w:r w:rsidRPr="00CF7AA5">
        <w:rPr>
          <w:lang w:val="en-GB"/>
        </w:rPr>
        <w:t xml:space="preserve"> </w:t>
      </w:r>
      <w:proofErr w:type="spellStart"/>
      <w:r w:rsidRPr="00CF7AA5">
        <w:rPr>
          <w:lang w:val="en-GB"/>
        </w:rPr>
        <w:t>парични</w:t>
      </w:r>
      <w:proofErr w:type="spellEnd"/>
      <w:r w:rsidRPr="00CF7AA5">
        <w:rPr>
          <w:lang w:val="en-GB"/>
        </w:rPr>
        <w:t xml:space="preserve"> </w:t>
      </w:r>
      <w:proofErr w:type="spellStart"/>
      <w:r w:rsidRPr="00CF7AA5">
        <w:rPr>
          <w:lang w:val="en-GB"/>
        </w:rPr>
        <w:t>потоци</w:t>
      </w:r>
      <w:proofErr w:type="spellEnd"/>
      <w:r w:rsidRPr="00CF7AA5">
        <w:rPr>
          <w:lang w:val="en-GB"/>
        </w:rPr>
        <w:t xml:space="preserve">, </w:t>
      </w:r>
      <w:proofErr w:type="spellStart"/>
      <w:r w:rsidRPr="00CF7AA5">
        <w:rPr>
          <w:lang w:val="en-GB"/>
        </w:rPr>
        <w:t>каналите</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паричната</w:t>
      </w:r>
      <w:proofErr w:type="spellEnd"/>
      <w:r w:rsidRPr="00CF7AA5">
        <w:rPr>
          <w:lang w:val="en-GB"/>
        </w:rPr>
        <w:t xml:space="preserve"> </w:t>
      </w:r>
      <w:proofErr w:type="spellStart"/>
      <w:r w:rsidRPr="00CF7AA5">
        <w:rPr>
          <w:lang w:val="en-GB"/>
        </w:rPr>
        <w:t>политика</w:t>
      </w:r>
      <w:proofErr w:type="spellEnd"/>
      <w:r w:rsidRPr="00CF7AA5">
        <w:rPr>
          <w:lang w:val="en-GB"/>
        </w:rPr>
        <w:t xml:space="preserve">, </w:t>
      </w:r>
      <w:proofErr w:type="spellStart"/>
      <w:r w:rsidRPr="00CF7AA5">
        <w:rPr>
          <w:lang w:val="en-GB"/>
        </w:rPr>
        <w:t>пазарните</w:t>
      </w:r>
      <w:proofErr w:type="spellEnd"/>
      <w:r w:rsidRPr="00CF7AA5">
        <w:rPr>
          <w:lang w:val="en-GB"/>
        </w:rPr>
        <w:t xml:space="preserve"> </w:t>
      </w:r>
      <w:proofErr w:type="spellStart"/>
      <w:r w:rsidRPr="00CF7AA5">
        <w:rPr>
          <w:lang w:val="en-GB"/>
        </w:rPr>
        <w:t>очаквания</w:t>
      </w:r>
      <w:proofErr w:type="spellEnd"/>
      <w:r w:rsidRPr="00CF7AA5">
        <w:rPr>
          <w:lang w:val="en-GB"/>
        </w:rPr>
        <w:t xml:space="preserve"> и </w:t>
      </w:r>
      <w:proofErr w:type="spellStart"/>
      <w:r w:rsidRPr="00CF7AA5">
        <w:rPr>
          <w:lang w:val="en-GB"/>
        </w:rPr>
        <w:t>валутната</w:t>
      </w:r>
      <w:proofErr w:type="spellEnd"/>
      <w:r w:rsidRPr="00CF7AA5">
        <w:rPr>
          <w:lang w:val="en-GB"/>
        </w:rPr>
        <w:t xml:space="preserve"> </w:t>
      </w:r>
      <w:proofErr w:type="spellStart"/>
      <w:r w:rsidRPr="00CF7AA5">
        <w:rPr>
          <w:lang w:val="en-GB"/>
        </w:rPr>
        <w:t>динамика</w:t>
      </w:r>
      <w:proofErr w:type="spellEnd"/>
      <w:r w:rsidRPr="00CF7AA5">
        <w:rPr>
          <w:lang w:val="en-GB"/>
        </w:rPr>
        <w:t xml:space="preserve">. </w:t>
      </w:r>
      <w:proofErr w:type="spellStart"/>
      <w:r w:rsidRPr="00CF7AA5">
        <w:rPr>
          <w:lang w:val="en-GB"/>
        </w:rPr>
        <w:t>Тези</w:t>
      </w:r>
      <w:proofErr w:type="spellEnd"/>
      <w:r w:rsidRPr="00CF7AA5">
        <w:rPr>
          <w:lang w:val="en-GB"/>
        </w:rPr>
        <w:t xml:space="preserve"> </w:t>
      </w:r>
      <w:proofErr w:type="spellStart"/>
      <w:r w:rsidRPr="00CF7AA5">
        <w:rPr>
          <w:lang w:val="en-GB"/>
        </w:rPr>
        <w:t>механизми</w:t>
      </w:r>
      <w:proofErr w:type="spellEnd"/>
      <w:r w:rsidRPr="00CF7AA5">
        <w:rPr>
          <w:lang w:val="en-GB"/>
        </w:rPr>
        <w:t xml:space="preserve"> </w:t>
      </w:r>
      <w:proofErr w:type="spellStart"/>
      <w:r w:rsidRPr="00CF7AA5">
        <w:rPr>
          <w:lang w:val="en-GB"/>
        </w:rPr>
        <w:t>са</w:t>
      </w:r>
      <w:proofErr w:type="spellEnd"/>
      <w:r w:rsidRPr="00CF7AA5">
        <w:rPr>
          <w:lang w:val="en-GB"/>
        </w:rPr>
        <w:t xml:space="preserve"> </w:t>
      </w:r>
      <w:proofErr w:type="spellStart"/>
      <w:r w:rsidRPr="00CF7AA5">
        <w:rPr>
          <w:lang w:val="en-GB"/>
        </w:rPr>
        <w:t>напълно</w:t>
      </w:r>
      <w:proofErr w:type="spellEnd"/>
      <w:r w:rsidRPr="00CF7AA5">
        <w:rPr>
          <w:lang w:val="en-GB"/>
        </w:rPr>
        <w:t xml:space="preserve"> </w:t>
      </w:r>
      <w:proofErr w:type="spellStart"/>
      <w:r w:rsidRPr="00CF7AA5">
        <w:rPr>
          <w:lang w:val="en-GB"/>
        </w:rPr>
        <w:t>приложими</w:t>
      </w:r>
      <w:proofErr w:type="spellEnd"/>
      <w:r w:rsidRPr="00CF7AA5">
        <w:rPr>
          <w:lang w:val="en-GB"/>
        </w:rPr>
        <w:t xml:space="preserve"> и </w:t>
      </w:r>
      <w:proofErr w:type="spellStart"/>
      <w:r w:rsidRPr="00CF7AA5">
        <w:rPr>
          <w:lang w:val="en-GB"/>
        </w:rPr>
        <w:t>към</w:t>
      </w:r>
      <w:proofErr w:type="spellEnd"/>
      <w:r w:rsidRPr="00CF7AA5">
        <w:rPr>
          <w:lang w:val="en-GB"/>
        </w:rPr>
        <w:t xml:space="preserve"> </w:t>
      </w:r>
      <w:proofErr w:type="spellStart"/>
      <w:r w:rsidRPr="00CF7AA5">
        <w:rPr>
          <w:lang w:val="en-GB"/>
        </w:rPr>
        <w:t>криптоактивите</w:t>
      </w:r>
      <w:proofErr w:type="spellEnd"/>
      <w:r w:rsidRPr="00CF7AA5">
        <w:rPr>
          <w:lang w:val="en-GB"/>
        </w:rPr>
        <w:t xml:space="preserve">, </w:t>
      </w:r>
      <w:proofErr w:type="spellStart"/>
      <w:r w:rsidRPr="00CF7AA5">
        <w:rPr>
          <w:lang w:val="en-GB"/>
        </w:rPr>
        <w:t>което</w:t>
      </w:r>
      <w:proofErr w:type="spellEnd"/>
      <w:r w:rsidRPr="00CF7AA5">
        <w:rPr>
          <w:lang w:val="en-GB"/>
        </w:rPr>
        <w:t xml:space="preserve"> </w:t>
      </w:r>
      <w:proofErr w:type="spellStart"/>
      <w:r w:rsidRPr="00CF7AA5">
        <w:rPr>
          <w:lang w:val="en-GB"/>
        </w:rPr>
        <w:t>допълнително</w:t>
      </w:r>
      <w:proofErr w:type="spellEnd"/>
      <w:r w:rsidRPr="00CF7AA5">
        <w:rPr>
          <w:lang w:val="en-GB"/>
        </w:rPr>
        <w:t xml:space="preserve"> </w:t>
      </w:r>
      <w:proofErr w:type="spellStart"/>
      <w:r w:rsidRPr="00CF7AA5">
        <w:rPr>
          <w:lang w:val="en-GB"/>
        </w:rPr>
        <w:t>потвърждава</w:t>
      </w:r>
      <w:proofErr w:type="spellEnd"/>
      <w:r w:rsidRPr="00CF7AA5">
        <w:rPr>
          <w:lang w:val="en-GB"/>
        </w:rPr>
        <w:t xml:space="preserve"> </w:t>
      </w:r>
      <w:proofErr w:type="spellStart"/>
      <w:r w:rsidRPr="00CF7AA5">
        <w:rPr>
          <w:lang w:val="en-GB"/>
        </w:rPr>
        <w:t>тяхната</w:t>
      </w:r>
      <w:proofErr w:type="spellEnd"/>
      <w:r w:rsidRPr="00CF7AA5">
        <w:rPr>
          <w:lang w:val="en-GB"/>
        </w:rPr>
        <w:t xml:space="preserve"> </w:t>
      </w:r>
      <w:proofErr w:type="spellStart"/>
      <w:r w:rsidRPr="00CF7AA5">
        <w:rPr>
          <w:lang w:val="en-GB"/>
        </w:rPr>
        <w:t>принадлежност</w:t>
      </w:r>
      <w:proofErr w:type="spellEnd"/>
      <w:r w:rsidRPr="00CF7AA5">
        <w:rPr>
          <w:lang w:val="en-GB"/>
        </w:rPr>
        <w:t xml:space="preserve"> </w:t>
      </w:r>
      <w:proofErr w:type="spellStart"/>
      <w:r w:rsidRPr="00CF7AA5">
        <w:rPr>
          <w:lang w:val="en-GB"/>
        </w:rPr>
        <w:t>към</w:t>
      </w:r>
      <w:proofErr w:type="spellEnd"/>
      <w:r w:rsidRPr="00CF7AA5">
        <w:rPr>
          <w:lang w:val="en-GB"/>
        </w:rPr>
        <w:t xml:space="preserve"> </w:t>
      </w:r>
      <w:proofErr w:type="spellStart"/>
      <w:r w:rsidRPr="00CF7AA5">
        <w:rPr>
          <w:lang w:val="en-GB"/>
        </w:rPr>
        <w:t>по-широкия</w:t>
      </w:r>
      <w:proofErr w:type="spellEnd"/>
      <w:r w:rsidRPr="00CF7AA5">
        <w:rPr>
          <w:lang w:val="en-GB"/>
        </w:rPr>
        <w:t xml:space="preserve"> </w:t>
      </w:r>
      <w:proofErr w:type="spellStart"/>
      <w:r w:rsidRPr="00CF7AA5">
        <w:rPr>
          <w:lang w:val="en-GB"/>
        </w:rPr>
        <w:t>контекст</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глобалните</w:t>
      </w:r>
      <w:proofErr w:type="spellEnd"/>
      <w:r w:rsidRPr="00CF7AA5">
        <w:rPr>
          <w:lang w:val="en-GB"/>
        </w:rPr>
        <w:t xml:space="preserve"> </w:t>
      </w:r>
      <w:proofErr w:type="spellStart"/>
      <w:r w:rsidRPr="00CF7AA5">
        <w:rPr>
          <w:lang w:val="en-GB"/>
        </w:rPr>
        <w:t>финансови</w:t>
      </w:r>
      <w:proofErr w:type="spellEnd"/>
      <w:r w:rsidRPr="00CF7AA5">
        <w:rPr>
          <w:lang w:val="en-GB"/>
        </w:rPr>
        <w:t xml:space="preserve"> </w:t>
      </w:r>
      <w:proofErr w:type="spellStart"/>
      <w:r w:rsidRPr="00CF7AA5">
        <w:rPr>
          <w:lang w:val="en-GB"/>
        </w:rPr>
        <w:t>пазари</w:t>
      </w:r>
      <w:proofErr w:type="spellEnd"/>
      <w:r w:rsidRPr="00CF7AA5">
        <w:rPr>
          <w:lang w:val="en-GB"/>
        </w:rPr>
        <w:t xml:space="preserve">. </w:t>
      </w:r>
      <w:proofErr w:type="spellStart"/>
      <w:r w:rsidRPr="00CF7AA5">
        <w:rPr>
          <w:lang w:val="en-GB"/>
        </w:rPr>
        <w:t>Особено</w:t>
      </w:r>
      <w:proofErr w:type="spellEnd"/>
      <w:r w:rsidRPr="00CF7AA5">
        <w:rPr>
          <w:lang w:val="en-GB"/>
        </w:rPr>
        <w:t xml:space="preserve"> </w:t>
      </w:r>
      <w:proofErr w:type="spellStart"/>
      <w:r w:rsidRPr="00CF7AA5">
        <w:rPr>
          <w:lang w:val="en-GB"/>
        </w:rPr>
        <w:t>важно</w:t>
      </w:r>
      <w:proofErr w:type="spellEnd"/>
      <w:r w:rsidRPr="00CF7AA5">
        <w:rPr>
          <w:lang w:val="en-GB"/>
        </w:rPr>
        <w:t xml:space="preserve"> е </w:t>
      </w:r>
      <w:proofErr w:type="spellStart"/>
      <w:r w:rsidRPr="00CF7AA5">
        <w:rPr>
          <w:lang w:val="en-GB"/>
        </w:rPr>
        <w:t>обстоятелството</w:t>
      </w:r>
      <w:proofErr w:type="spellEnd"/>
      <w:r w:rsidRPr="00CF7AA5">
        <w:rPr>
          <w:lang w:val="en-GB"/>
        </w:rPr>
        <w:t xml:space="preserve">, </w:t>
      </w:r>
      <w:proofErr w:type="spellStart"/>
      <w:r w:rsidRPr="00CF7AA5">
        <w:rPr>
          <w:lang w:val="en-GB"/>
        </w:rPr>
        <w:t>че</w:t>
      </w:r>
      <w:proofErr w:type="spellEnd"/>
      <w:r w:rsidRPr="00CF7AA5">
        <w:rPr>
          <w:lang w:val="en-GB"/>
        </w:rPr>
        <w:t xml:space="preserve"> </w:t>
      </w:r>
      <w:proofErr w:type="spellStart"/>
      <w:r w:rsidRPr="00CF7AA5">
        <w:rPr>
          <w:lang w:val="en-GB"/>
        </w:rPr>
        <w:t>влиянието</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макроикономическите</w:t>
      </w:r>
      <w:proofErr w:type="spellEnd"/>
      <w:r w:rsidRPr="00CF7AA5">
        <w:rPr>
          <w:lang w:val="en-GB"/>
        </w:rPr>
        <w:t xml:space="preserve"> </w:t>
      </w:r>
      <w:proofErr w:type="spellStart"/>
      <w:r w:rsidRPr="00CF7AA5">
        <w:rPr>
          <w:lang w:val="en-GB"/>
        </w:rPr>
        <w:t>фактори</w:t>
      </w:r>
      <w:proofErr w:type="spellEnd"/>
      <w:r w:rsidRPr="00CF7AA5">
        <w:rPr>
          <w:lang w:val="en-GB"/>
        </w:rPr>
        <w:t xml:space="preserve"> </w:t>
      </w:r>
      <w:proofErr w:type="spellStart"/>
      <w:r w:rsidRPr="00CF7AA5">
        <w:rPr>
          <w:lang w:val="en-GB"/>
        </w:rPr>
        <w:t>върху</w:t>
      </w:r>
      <w:proofErr w:type="spellEnd"/>
      <w:r w:rsidRPr="00CF7AA5">
        <w:rPr>
          <w:lang w:val="en-GB"/>
        </w:rPr>
        <w:t xml:space="preserve"> </w:t>
      </w:r>
      <w:proofErr w:type="spellStart"/>
      <w:r w:rsidRPr="00CF7AA5">
        <w:rPr>
          <w:lang w:val="en-GB"/>
        </w:rPr>
        <w:t>криптоактивите</w:t>
      </w:r>
      <w:proofErr w:type="spellEnd"/>
      <w:r w:rsidRPr="00CF7AA5">
        <w:rPr>
          <w:lang w:val="en-GB"/>
        </w:rPr>
        <w:t xml:space="preserve"> </w:t>
      </w:r>
      <w:proofErr w:type="spellStart"/>
      <w:r w:rsidRPr="00CF7AA5">
        <w:rPr>
          <w:lang w:val="en-GB"/>
        </w:rPr>
        <w:t>не</w:t>
      </w:r>
      <w:proofErr w:type="spellEnd"/>
      <w:r w:rsidRPr="00CF7AA5">
        <w:rPr>
          <w:lang w:val="en-GB"/>
        </w:rPr>
        <w:t xml:space="preserve"> е </w:t>
      </w:r>
      <w:proofErr w:type="spellStart"/>
      <w:r w:rsidRPr="00CF7AA5">
        <w:rPr>
          <w:lang w:val="en-GB"/>
        </w:rPr>
        <w:t>еднозначно</w:t>
      </w:r>
      <w:proofErr w:type="spellEnd"/>
      <w:r w:rsidRPr="00CF7AA5">
        <w:rPr>
          <w:lang w:val="en-GB"/>
        </w:rPr>
        <w:t xml:space="preserve">, а </w:t>
      </w:r>
      <w:proofErr w:type="spellStart"/>
      <w:r w:rsidRPr="00CF7AA5">
        <w:rPr>
          <w:lang w:val="en-GB"/>
        </w:rPr>
        <w:t>зависи</w:t>
      </w:r>
      <w:proofErr w:type="spellEnd"/>
      <w:r w:rsidRPr="00CF7AA5">
        <w:rPr>
          <w:lang w:val="en-GB"/>
        </w:rPr>
        <w:t xml:space="preserve"> </w:t>
      </w:r>
      <w:proofErr w:type="spellStart"/>
      <w:r w:rsidRPr="00CF7AA5">
        <w:rPr>
          <w:lang w:val="en-GB"/>
        </w:rPr>
        <w:t>от</w:t>
      </w:r>
      <w:proofErr w:type="spellEnd"/>
      <w:r w:rsidRPr="00CF7AA5">
        <w:rPr>
          <w:lang w:val="en-GB"/>
        </w:rPr>
        <w:t xml:space="preserve"> </w:t>
      </w:r>
      <w:proofErr w:type="spellStart"/>
      <w:r w:rsidRPr="00CF7AA5">
        <w:rPr>
          <w:lang w:val="en-GB"/>
        </w:rPr>
        <w:t>конкретната</w:t>
      </w:r>
      <w:proofErr w:type="spellEnd"/>
      <w:r w:rsidRPr="00CF7AA5">
        <w:rPr>
          <w:lang w:val="en-GB"/>
        </w:rPr>
        <w:t xml:space="preserve"> </w:t>
      </w:r>
      <w:proofErr w:type="spellStart"/>
      <w:r w:rsidRPr="00CF7AA5">
        <w:rPr>
          <w:lang w:val="en-GB"/>
        </w:rPr>
        <w:t>икономическа</w:t>
      </w:r>
      <w:proofErr w:type="spellEnd"/>
      <w:r w:rsidRPr="00CF7AA5">
        <w:rPr>
          <w:lang w:val="en-GB"/>
        </w:rPr>
        <w:t xml:space="preserve"> </w:t>
      </w:r>
      <w:proofErr w:type="spellStart"/>
      <w:r w:rsidRPr="00CF7AA5">
        <w:rPr>
          <w:lang w:val="en-GB"/>
        </w:rPr>
        <w:t>среда</w:t>
      </w:r>
      <w:proofErr w:type="spellEnd"/>
      <w:r w:rsidRPr="00CF7AA5">
        <w:rPr>
          <w:lang w:val="en-GB"/>
        </w:rPr>
        <w:t xml:space="preserve">, </w:t>
      </w:r>
      <w:proofErr w:type="spellStart"/>
      <w:r w:rsidRPr="00CF7AA5">
        <w:rPr>
          <w:lang w:val="en-GB"/>
        </w:rPr>
        <w:t>от</w:t>
      </w:r>
      <w:proofErr w:type="spellEnd"/>
      <w:r w:rsidRPr="00CF7AA5">
        <w:rPr>
          <w:lang w:val="en-GB"/>
        </w:rPr>
        <w:t xml:space="preserve"> </w:t>
      </w:r>
      <w:proofErr w:type="spellStart"/>
      <w:r w:rsidRPr="00CF7AA5">
        <w:rPr>
          <w:lang w:val="en-GB"/>
        </w:rPr>
        <w:t>фазата</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икономическия</w:t>
      </w:r>
      <w:proofErr w:type="spellEnd"/>
      <w:r w:rsidRPr="00CF7AA5">
        <w:rPr>
          <w:lang w:val="en-GB"/>
        </w:rPr>
        <w:t xml:space="preserve"> </w:t>
      </w:r>
      <w:proofErr w:type="spellStart"/>
      <w:r w:rsidRPr="00CF7AA5">
        <w:rPr>
          <w:lang w:val="en-GB"/>
        </w:rPr>
        <w:t>цикъл</w:t>
      </w:r>
      <w:proofErr w:type="spellEnd"/>
      <w:r w:rsidRPr="00CF7AA5">
        <w:rPr>
          <w:lang w:val="en-GB"/>
        </w:rPr>
        <w:t xml:space="preserve"> и </w:t>
      </w:r>
      <w:proofErr w:type="spellStart"/>
      <w:r w:rsidRPr="00CF7AA5">
        <w:rPr>
          <w:lang w:val="en-GB"/>
        </w:rPr>
        <w:t>от</w:t>
      </w:r>
      <w:proofErr w:type="spellEnd"/>
      <w:r w:rsidRPr="00CF7AA5">
        <w:rPr>
          <w:lang w:val="en-GB"/>
        </w:rPr>
        <w:t xml:space="preserve"> </w:t>
      </w:r>
      <w:proofErr w:type="spellStart"/>
      <w:r w:rsidRPr="00CF7AA5">
        <w:rPr>
          <w:lang w:val="en-GB"/>
        </w:rPr>
        <w:t>поведението</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инвеститорите</w:t>
      </w:r>
      <w:proofErr w:type="spellEnd"/>
      <w:r w:rsidRPr="00CF7AA5">
        <w:rPr>
          <w:lang w:val="en-GB"/>
        </w:rPr>
        <w:t>.</w:t>
      </w:r>
    </w:p>
    <w:p w14:paraId="115B0E83" w14:textId="7B964D25" w:rsidR="00CF7AA5" w:rsidRPr="00CF7AA5" w:rsidRDefault="00CF7AA5" w:rsidP="00CF7AA5">
      <w:pPr>
        <w:spacing w:line="360" w:lineRule="auto"/>
        <w:ind w:firstLine="709"/>
        <w:jc w:val="both"/>
        <w:rPr>
          <w:lang w:val="en-GB"/>
        </w:rPr>
      </w:pPr>
      <w:proofErr w:type="spellStart"/>
      <w:r w:rsidRPr="00CF7AA5">
        <w:rPr>
          <w:lang w:val="en-GB"/>
        </w:rPr>
        <w:t>Емпиричн</w:t>
      </w:r>
      <w:proofErr w:type="spellEnd"/>
      <w:r>
        <w:t xml:space="preserve">ото изследване </w:t>
      </w:r>
      <w:proofErr w:type="spellStart"/>
      <w:r w:rsidRPr="00CF7AA5">
        <w:rPr>
          <w:lang w:val="en-GB"/>
        </w:rPr>
        <w:t>предоставя</w:t>
      </w:r>
      <w:proofErr w:type="spellEnd"/>
      <w:r w:rsidRPr="00CF7AA5">
        <w:rPr>
          <w:lang w:val="en-GB"/>
        </w:rPr>
        <w:t xml:space="preserve"> </w:t>
      </w:r>
      <w:proofErr w:type="spellStart"/>
      <w:r w:rsidRPr="00CF7AA5">
        <w:rPr>
          <w:lang w:val="en-GB"/>
        </w:rPr>
        <w:t>конкретни</w:t>
      </w:r>
      <w:proofErr w:type="spellEnd"/>
      <w:r w:rsidRPr="00CF7AA5">
        <w:rPr>
          <w:lang w:val="en-GB"/>
        </w:rPr>
        <w:t xml:space="preserve"> </w:t>
      </w:r>
      <w:proofErr w:type="spellStart"/>
      <w:r w:rsidRPr="00CF7AA5">
        <w:rPr>
          <w:lang w:val="en-GB"/>
        </w:rPr>
        <w:t>количествени</w:t>
      </w:r>
      <w:proofErr w:type="spellEnd"/>
      <w:r w:rsidRPr="00CF7AA5">
        <w:rPr>
          <w:lang w:val="en-GB"/>
        </w:rPr>
        <w:t xml:space="preserve"> </w:t>
      </w:r>
      <w:proofErr w:type="spellStart"/>
      <w:r w:rsidRPr="00CF7AA5">
        <w:rPr>
          <w:lang w:val="en-GB"/>
        </w:rPr>
        <w:t>доказателства</w:t>
      </w:r>
      <w:proofErr w:type="spellEnd"/>
      <w:r w:rsidRPr="00CF7AA5">
        <w:rPr>
          <w:lang w:val="en-GB"/>
        </w:rPr>
        <w:t xml:space="preserve"> </w:t>
      </w:r>
      <w:proofErr w:type="spellStart"/>
      <w:r w:rsidRPr="00CF7AA5">
        <w:rPr>
          <w:lang w:val="en-GB"/>
        </w:rPr>
        <w:t>за</w:t>
      </w:r>
      <w:proofErr w:type="spellEnd"/>
      <w:r w:rsidRPr="00CF7AA5">
        <w:rPr>
          <w:lang w:val="en-GB"/>
        </w:rPr>
        <w:t xml:space="preserve"> </w:t>
      </w:r>
      <w:proofErr w:type="spellStart"/>
      <w:r w:rsidRPr="00CF7AA5">
        <w:rPr>
          <w:lang w:val="en-GB"/>
        </w:rPr>
        <w:lastRenderedPageBreak/>
        <w:t>съществуването</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силни</w:t>
      </w:r>
      <w:proofErr w:type="spellEnd"/>
      <w:r w:rsidRPr="00CF7AA5">
        <w:rPr>
          <w:lang w:val="en-GB"/>
        </w:rPr>
        <w:t xml:space="preserve"> </w:t>
      </w:r>
      <w:proofErr w:type="spellStart"/>
      <w:r w:rsidRPr="00CF7AA5">
        <w:rPr>
          <w:lang w:val="en-GB"/>
        </w:rPr>
        <w:t>зависимости</w:t>
      </w:r>
      <w:proofErr w:type="spellEnd"/>
      <w:r w:rsidRPr="00CF7AA5">
        <w:rPr>
          <w:lang w:val="en-GB"/>
        </w:rPr>
        <w:t xml:space="preserve"> </w:t>
      </w:r>
      <w:proofErr w:type="spellStart"/>
      <w:r w:rsidRPr="00CF7AA5">
        <w:rPr>
          <w:lang w:val="en-GB"/>
        </w:rPr>
        <w:t>между</w:t>
      </w:r>
      <w:proofErr w:type="spellEnd"/>
      <w:r w:rsidRPr="00CF7AA5">
        <w:rPr>
          <w:lang w:val="en-GB"/>
        </w:rPr>
        <w:t xml:space="preserve"> </w:t>
      </w:r>
      <w:proofErr w:type="spellStart"/>
      <w:r w:rsidRPr="00CF7AA5">
        <w:rPr>
          <w:lang w:val="en-GB"/>
        </w:rPr>
        <w:t>разглежданите</w:t>
      </w:r>
      <w:proofErr w:type="spellEnd"/>
      <w:r w:rsidRPr="00CF7AA5">
        <w:rPr>
          <w:lang w:val="en-GB"/>
        </w:rPr>
        <w:t xml:space="preserve"> </w:t>
      </w:r>
      <w:proofErr w:type="spellStart"/>
      <w:r w:rsidRPr="00CF7AA5">
        <w:rPr>
          <w:lang w:val="en-GB"/>
        </w:rPr>
        <w:t>макроикономически</w:t>
      </w:r>
      <w:proofErr w:type="spellEnd"/>
      <w:r w:rsidRPr="00CF7AA5">
        <w:rPr>
          <w:lang w:val="en-GB"/>
        </w:rPr>
        <w:t xml:space="preserve"> </w:t>
      </w:r>
      <w:proofErr w:type="spellStart"/>
      <w:r w:rsidRPr="00CF7AA5">
        <w:rPr>
          <w:lang w:val="en-GB"/>
        </w:rPr>
        <w:t>индикатори</w:t>
      </w:r>
      <w:proofErr w:type="spellEnd"/>
      <w:r w:rsidRPr="00CF7AA5">
        <w:rPr>
          <w:lang w:val="en-GB"/>
        </w:rPr>
        <w:t xml:space="preserve"> и </w:t>
      </w:r>
      <w:proofErr w:type="spellStart"/>
      <w:r w:rsidRPr="00CF7AA5">
        <w:rPr>
          <w:lang w:val="en-GB"/>
        </w:rPr>
        <w:t>доходността</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биткойн</w:t>
      </w:r>
      <w:proofErr w:type="spellEnd"/>
      <w:r w:rsidRPr="00CF7AA5">
        <w:rPr>
          <w:lang w:val="en-GB"/>
        </w:rPr>
        <w:t xml:space="preserve">. </w:t>
      </w:r>
      <w:proofErr w:type="spellStart"/>
      <w:r w:rsidRPr="00CF7AA5">
        <w:rPr>
          <w:lang w:val="en-GB"/>
        </w:rPr>
        <w:t>Получените</w:t>
      </w:r>
      <w:proofErr w:type="spellEnd"/>
      <w:r w:rsidRPr="00CF7AA5">
        <w:rPr>
          <w:lang w:val="en-GB"/>
        </w:rPr>
        <w:t xml:space="preserve"> </w:t>
      </w:r>
      <w:proofErr w:type="spellStart"/>
      <w:r w:rsidRPr="00CF7AA5">
        <w:rPr>
          <w:lang w:val="en-GB"/>
        </w:rPr>
        <w:t>резултати</w:t>
      </w:r>
      <w:proofErr w:type="spellEnd"/>
      <w:r w:rsidRPr="00CF7AA5">
        <w:rPr>
          <w:lang w:val="en-GB"/>
        </w:rPr>
        <w:t xml:space="preserve"> </w:t>
      </w:r>
      <w:proofErr w:type="spellStart"/>
      <w:r w:rsidRPr="00CF7AA5">
        <w:rPr>
          <w:lang w:val="en-GB"/>
        </w:rPr>
        <w:t>показват</w:t>
      </w:r>
      <w:proofErr w:type="spellEnd"/>
      <w:r w:rsidRPr="00CF7AA5">
        <w:rPr>
          <w:lang w:val="en-GB"/>
        </w:rPr>
        <w:t xml:space="preserve">, </w:t>
      </w:r>
      <w:proofErr w:type="spellStart"/>
      <w:r w:rsidRPr="00CF7AA5">
        <w:rPr>
          <w:lang w:val="en-GB"/>
        </w:rPr>
        <w:t>че</w:t>
      </w:r>
      <w:proofErr w:type="spellEnd"/>
      <w:r w:rsidRPr="00CF7AA5">
        <w:rPr>
          <w:lang w:val="en-GB"/>
        </w:rPr>
        <w:t xml:space="preserve"> </w:t>
      </w:r>
      <w:proofErr w:type="spellStart"/>
      <w:r w:rsidRPr="00CF7AA5">
        <w:rPr>
          <w:lang w:val="en-GB"/>
        </w:rPr>
        <w:t>инфлацията</w:t>
      </w:r>
      <w:proofErr w:type="spellEnd"/>
      <w:r w:rsidRPr="00CF7AA5">
        <w:rPr>
          <w:lang w:val="en-GB"/>
        </w:rPr>
        <w:t xml:space="preserve"> </w:t>
      </w:r>
      <w:proofErr w:type="spellStart"/>
      <w:r w:rsidRPr="00CF7AA5">
        <w:rPr>
          <w:lang w:val="en-GB"/>
        </w:rPr>
        <w:t>има</w:t>
      </w:r>
      <w:proofErr w:type="spellEnd"/>
      <w:r w:rsidRPr="00CF7AA5">
        <w:rPr>
          <w:lang w:val="en-GB"/>
        </w:rPr>
        <w:t xml:space="preserve"> </w:t>
      </w:r>
      <w:proofErr w:type="spellStart"/>
      <w:r w:rsidRPr="00CF7AA5">
        <w:rPr>
          <w:lang w:val="en-GB"/>
        </w:rPr>
        <w:t>променливо</w:t>
      </w:r>
      <w:proofErr w:type="spellEnd"/>
      <w:r w:rsidRPr="00CF7AA5">
        <w:rPr>
          <w:lang w:val="en-GB"/>
        </w:rPr>
        <w:t xml:space="preserve"> и </w:t>
      </w:r>
      <w:proofErr w:type="spellStart"/>
      <w:r w:rsidRPr="00CF7AA5">
        <w:rPr>
          <w:lang w:val="en-GB"/>
        </w:rPr>
        <w:t>до</w:t>
      </w:r>
      <w:proofErr w:type="spellEnd"/>
      <w:r w:rsidRPr="00CF7AA5">
        <w:rPr>
          <w:lang w:val="en-GB"/>
        </w:rPr>
        <w:t xml:space="preserve"> </w:t>
      </w:r>
      <w:proofErr w:type="spellStart"/>
      <w:r w:rsidRPr="00CF7AA5">
        <w:rPr>
          <w:lang w:val="en-GB"/>
        </w:rPr>
        <w:t>голяма</w:t>
      </w:r>
      <w:proofErr w:type="spellEnd"/>
      <w:r w:rsidRPr="00CF7AA5">
        <w:rPr>
          <w:lang w:val="en-GB"/>
        </w:rPr>
        <w:t xml:space="preserve"> </w:t>
      </w:r>
      <w:proofErr w:type="spellStart"/>
      <w:r w:rsidRPr="00CF7AA5">
        <w:rPr>
          <w:lang w:val="en-GB"/>
        </w:rPr>
        <w:t>степен</w:t>
      </w:r>
      <w:proofErr w:type="spellEnd"/>
      <w:r w:rsidRPr="00CF7AA5">
        <w:rPr>
          <w:lang w:val="en-GB"/>
        </w:rPr>
        <w:t xml:space="preserve"> </w:t>
      </w:r>
      <w:proofErr w:type="spellStart"/>
      <w:r w:rsidRPr="00CF7AA5">
        <w:rPr>
          <w:lang w:val="en-GB"/>
        </w:rPr>
        <w:t>опосредствано</w:t>
      </w:r>
      <w:proofErr w:type="spellEnd"/>
      <w:r w:rsidRPr="00CF7AA5">
        <w:rPr>
          <w:lang w:val="en-GB"/>
        </w:rPr>
        <w:t xml:space="preserve"> </w:t>
      </w:r>
      <w:proofErr w:type="spellStart"/>
      <w:r w:rsidRPr="00CF7AA5">
        <w:rPr>
          <w:lang w:val="en-GB"/>
        </w:rPr>
        <w:t>влияние</w:t>
      </w:r>
      <w:proofErr w:type="spellEnd"/>
      <w:r w:rsidRPr="00CF7AA5">
        <w:rPr>
          <w:lang w:val="en-GB"/>
        </w:rPr>
        <w:t xml:space="preserve"> </w:t>
      </w:r>
      <w:proofErr w:type="spellStart"/>
      <w:r w:rsidRPr="00CF7AA5">
        <w:rPr>
          <w:lang w:val="en-GB"/>
        </w:rPr>
        <w:t>върху</w:t>
      </w:r>
      <w:proofErr w:type="spellEnd"/>
      <w:r w:rsidRPr="00CF7AA5">
        <w:rPr>
          <w:lang w:val="en-GB"/>
        </w:rPr>
        <w:t xml:space="preserve"> </w:t>
      </w:r>
      <w:proofErr w:type="spellStart"/>
      <w:r w:rsidRPr="00CF7AA5">
        <w:rPr>
          <w:lang w:val="en-GB"/>
        </w:rPr>
        <w:t>криптоактива</w:t>
      </w:r>
      <w:proofErr w:type="spellEnd"/>
      <w:r w:rsidRPr="00CF7AA5">
        <w:rPr>
          <w:lang w:val="en-GB"/>
        </w:rPr>
        <w:t xml:space="preserve">. В </w:t>
      </w:r>
      <w:proofErr w:type="spellStart"/>
      <w:r w:rsidRPr="00CF7AA5">
        <w:rPr>
          <w:lang w:val="en-GB"/>
        </w:rPr>
        <w:t>периоди</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висока</w:t>
      </w:r>
      <w:proofErr w:type="spellEnd"/>
      <w:r w:rsidRPr="00CF7AA5">
        <w:rPr>
          <w:lang w:val="en-GB"/>
        </w:rPr>
        <w:t xml:space="preserve"> </w:t>
      </w:r>
      <w:proofErr w:type="spellStart"/>
      <w:r w:rsidRPr="00CF7AA5">
        <w:rPr>
          <w:lang w:val="en-GB"/>
        </w:rPr>
        <w:t>ликвидност</w:t>
      </w:r>
      <w:proofErr w:type="spellEnd"/>
      <w:r w:rsidRPr="00CF7AA5">
        <w:rPr>
          <w:lang w:val="en-GB"/>
        </w:rPr>
        <w:t xml:space="preserve"> и </w:t>
      </w:r>
      <w:proofErr w:type="spellStart"/>
      <w:r w:rsidRPr="00CF7AA5">
        <w:rPr>
          <w:lang w:val="en-GB"/>
        </w:rPr>
        <w:t>стимулираща</w:t>
      </w:r>
      <w:proofErr w:type="spellEnd"/>
      <w:r w:rsidRPr="00CF7AA5">
        <w:rPr>
          <w:lang w:val="en-GB"/>
        </w:rPr>
        <w:t xml:space="preserve"> </w:t>
      </w:r>
      <w:proofErr w:type="spellStart"/>
      <w:r w:rsidRPr="00CF7AA5">
        <w:rPr>
          <w:lang w:val="en-GB"/>
        </w:rPr>
        <w:t>парична</w:t>
      </w:r>
      <w:proofErr w:type="spellEnd"/>
      <w:r w:rsidRPr="00CF7AA5">
        <w:rPr>
          <w:lang w:val="en-GB"/>
        </w:rPr>
        <w:t xml:space="preserve"> </w:t>
      </w:r>
      <w:proofErr w:type="spellStart"/>
      <w:r w:rsidRPr="00CF7AA5">
        <w:rPr>
          <w:lang w:val="en-GB"/>
        </w:rPr>
        <w:t>политика</w:t>
      </w:r>
      <w:proofErr w:type="spellEnd"/>
      <w:r w:rsidRPr="00CF7AA5">
        <w:rPr>
          <w:lang w:val="en-GB"/>
        </w:rPr>
        <w:t xml:space="preserve"> </w:t>
      </w:r>
      <w:proofErr w:type="spellStart"/>
      <w:r w:rsidRPr="00CF7AA5">
        <w:rPr>
          <w:lang w:val="en-GB"/>
        </w:rPr>
        <w:t>инфлацията</w:t>
      </w:r>
      <w:proofErr w:type="spellEnd"/>
      <w:r w:rsidRPr="00CF7AA5">
        <w:rPr>
          <w:lang w:val="en-GB"/>
        </w:rPr>
        <w:t xml:space="preserve"> </w:t>
      </w:r>
      <w:proofErr w:type="spellStart"/>
      <w:r w:rsidRPr="00CF7AA5">
        <w:rPr>
          <w:lang w:val="en-GB"/>
        </w:rPr>
        <w:t>може</w:t>
      </w:r>
      <w:proofErr w:type="spellEnd"/>
      <w:r w:rsidRPr="00CF7AA5">
        <w:rPr>
          <w:lang w:val="en-GB"/>
        </w:rPr>
        <w:t xml:space="preserve"> </w:t>
      </w:r>
      <w:proofErr w:type="spellStart"/>
      <w:r w:rsidRPr="00CF7AA5">
        <w:rPr>
          <w:lang w:val="en-GB"/>
        </w:rPr>
        <w:t>да</w:t>
      </w:r>
      <w:proofErr w:type="spellEnd"/>
      <w:r w:rsidRPr="00CF7AA5">
        <w:rPr>
          <w:lang w:val="en-GB"/>
        </w:rPr>
        <w:t xml:space="preserve"> </w:t>
      </w:r>
      <w:proofErr w:type="spellStart"/>
      <w:r w:rsidRPr="00CF7AA5">
        <w:rPr>
          <w:lang w:val="en-GB"/>
        </w:rPr>
        <w:t>съдейства</w:t>
      </w:r>
      <w:proofErr w:type="spellEnd"/>
      <w:r w:rsidRPr="00CF7AA5">
        <w:rPr>
          <w:lang w:val="en-GB"/>
        </w:rPr>
        <w:t xml:space="preserve"> </w:t>
      </w:r>
      <w:proofErr w:type="spellStart"/>
      <w:r w:rsidRPr="00CF7AA5">
        <w:rPr>
          <w:lang w:val="en-GB"/>
        </w:rPr>
        <w:t>за</w:t>
      </w:r>
      <w:proofErr w:type="spellEnd"/>
      <w:r w:rsidRPr="00CF7AA5">
        <w:rPr>
          <w:lang w:val="en-GB"/>
        </w:rPr>
        <w:t xml:space="preserve"> </w:t>
      </w:r>
      <w:proofErr w:type="spellStart"/>
      <w:r w:rsidRPr="00CF7AA5">
        <w:rPr>
          <w:lang w:val="en-GB"/>
        </w:rPr>
        <w:t>повишаване</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интереса</w:t>
      </w:r>
      <w:proofErr w:type="spellEnd"/>
      <w:r w:rsidRPr="00CF7AA5">
        <w:rPr>
          <w:lang w:val="en-GB"/>
        </w:rPr>
        <w:t xml:space="preserve"> </w:t>
      </w:r>
      <w:proofErr w:type="spellStart"/>
      <w:r w:rsidRPr="00CF7AA5">
        <w:rPr>
          <w:lang w:val="en-GB"/>
        </w:rPr>
        <w:t>към</w:t>
      </w:r>
      <w:proofErr w:type="spellEnd"/>
      <w:r w:rsidRPr="00CF7AA5">
        <w:rPr>
          <w:lang w:val="en-GB"/>
        </w:rPr>
        <w:t xml:space="preserve"> </w:t>
      </w:r>
      <w:proofErr w:type="spellStart"/>
      <w:r w:rsidRPr="00CF7AA5">
        <w:rPr>
          <w:lang w:val="en-GB"/>
        </w:rPr>
        <w:t>биткойн</w:t>
      </w:r>
      <w:proofErr w:type="spellEnd"/>
      <w:r w:rsidRPr="00CF7AA5">
        <w:rPr>
          <w:lang w:val="en-GB"/>
        </w:rPr>
        <w:t xml:space="preserve"> </w:t>
      </w:r>
      <w:proofErr w:type="spellStart"/>
      <w:r w:rsidRPr="00CF7AA5">
        <w:rPr>
          <w:lang w:val="en-GB"/>
        </w:rPr>
        <w:t>като</w:t>
      </w:r>
      <w:proofErr w:type="spellEnd"/>
      <w:r w:rsidRPr="00CF7AA5">
        <w:rPr>
          <w:lang w:val="en-GB"/>
        </w:rPr>
        <w:t xml:space="preserve"> </w:t>
      </w:r>
      <w:proofErr w:type="spellStart"/>
      <w:r w:rsidRPr="00CF7AA5">
        <w:rPr>
          <w:lang w:val="en-GB"/>
        </w:rPr>
        <w:t>алтернативен</w:t>
      </w:r>
      <w:proofErr w:type="spellEnd"/>
      <w:r w:rsidRPr="00CF7AA5">
        <w:rPr>
          <w:lang w:val="en-GB"/>
        </w:rPr>
        <w:t xml:space="preserve"> </w:t>
      </w:r>
      <w:proofErr w:type="spellStart"/>
      <w:r w:rsidRPr="00CF7AA5">
        <w:rPr>
          <w:lang w:val="en-GB"/>
        </w:rPr>
        <w:t>актив</w:t>
      </w:r>
      <w:proofErr w:type="spellEnd"/>
      <w:r w:rsidRPr="00CF7AA5">
        <w:rPr>
          <w:lang w:val="en-GB"/>
        </w:rPr>
        <w:t xml:space="preserve">, </w:t>
      </w:r>
      <w:proofErr w:type="spellStart"/>
      <w:r w:rsidRPr="00CF7AA5">
        <w:rPr>
          <w:lang w:val="en-GB"/>
        </w:rPr>
        <w:t>но</w:t>
      </w:r>
      <w:proofErr w:type="spellEnd"/>
      <w:r w:rsidRPr="00CF7AA5">
        <w:rPr>
          <w:lang w:val="en-GB"/>
        </w:rPr>
        <w:t xml:space="preserve"> </w:t>
      </w:r>
      <w:proofErr w:type="spellStart"/>
      <w:r w:rsidRPr="00CF7AA5">
        <w:rPr>
          <w:lang w:val="en-GB"/>
        </w:rPr>
        <w:t>при</w:t>
      </w:r>
      <w:proofErr w:type="spellEnd"/>
      <w:r w:rsidRPr="00CF7AA5">
        <w:rPr>
          <w:lang w:val="en-GB"/>
        </w:rPr>
        <w:t xml:space="preserve"> </w:t>
      </w:r>
      <w:proofErr w:type="spellStart"/>
      <w:r w:rsidRPr="00CF7AA5">
        <w:rPr>
          <w:lang w:val="en-GB"/>
        </w:rPr>
        <w:t>преминаване</w:t>
      </w:r>
      <w:proofErr w:type="spellEnd"/>
      <w:r w:rsidRPr="00CF7AA5">
        <w:rPr>
          <w:lang w:val="en-GB"/>
        </w:rPr>
        <w:t xml:space="preserve"> </w:t>
      </w:r>
      <w:proofErr w:type="spellStart"/>
      <w:r w:rsidRPr="00CF7AA5">
        <w:rPr>
          <w:lang w:val="en-GB"/>
        </w:rPr>
        <w:t>към</w:t>
      </w:r>
      <w:proofErr w:type="spellEnd"/>
      <w:r w:rsidRPr="00CF7AA5">
        <w:rPr>
          <w:lang w:val="en-GB"/>
        </w:rPr>
        <w:t xml:space="preserve"> </w:t>
      </w:r>
      <w:proofErr w:type="spellStart"/>
      <w:r w:rsidRPr="00CF7AA5">
        <w:rPr>
          <w:lang w:val="en-GB"/>
        </w:rPr>
        <w:t>рестриктивна</w:t>
      </w:r>
      <w:proofErr w:type="spellEnd"/>
      <w:r w:rsidRPr="00CF7AA5">
        <w:rPr>
          <w:lang w:val="en-GB"/>
        </w:rPr>
        <w:t xml:space="preserve"> </w:t>
      </w:r>
      <w:proofErr w:type="spellStart"/>
      <w:r w:rsidRPr="00CF7AA5">
        <w:rPr>
          <w:lang w:val="en-GB"/>
        </w:rPr>
        <w:t>политика</w:t>
      </w:r>
      <w:proofErr w:type="spellEnd"/>
      <w:r w:rsidRPr="00CF7AA5">
        <w:rPr>
          <w:lang w:val="en-GB"/>
        </w:rPr>
        <w:t xml:space="preserve"> </w:t>
      </w:r>
      <w:proofErr w:type="spellStart"/>
      <w:r w:rsidRPr="00CF7AA5">
        <w:rPr>
          <w:lang w:val="en-GB"/>
        </w:rPr>
        <w:t>нейното</w:t>
      </w:r>
      <w:proofErr w:type="spellEnd"/>
      <w:r w:rsidRPr="00CF7AA5">
        <w:rPr>
          <w:lang w:val="en-GB"/>
        </w:rPr>
        <w:t xml:space="preserve"> </w:t>
      </w:r>
      <w:proofErr w:type="spellStart"/>
      <w:r w:rsidRPr="00CF7AA5">
        <w:rPr>
          <w:lang w:val="en-GB"/>
        </w:rPr>
        <w:t>въздействие</w:t>
      </w:r>
      <w:proofErr w:type="spellEnd"/>
      <w:r w:rsidRPr="00CF7AA5">
        <w:rPr>
          <w:lang w:val="en-GB"/>
        </w:rPr>
        <w:t xml:space="preserve"> </w:t>
      </w:r>
      <w:proofErr w:type="spellStart"/>
      <w:r w:rsidRPr="00CF7AA5">
        <w:rPr>
          <w:lang w:val="en-GB"/>
        </w:rPr>
        <w:t>става</w:t>
      </w:r>
      <w:proofErr w:type="spellEnd"/>
      <w:r w:rsidRPr="00CF7AA5">
        <w:rPr>
          <w:lang w:val="en-GB"/>
        </w:rPr>
        <w:t xml:space="preserve"> </w:t>
      </w:r>
      <w:proofErr w:type="spellStart"/>
      <w:r w:rsidRPr="00CF7AA5">
        <w:rPr>
          <w:lang w:val="en-GB"/>
        </w:rPr>
        <w:t>отрицателно</w:t>
      </w:r>
      <w:proofErr w:type="spellEnd"/>
      <w:r w:rsidRPr="00CF7AA5">
        <w:rPr>
          <w:lang w:val="en-GB"/>
        </w:rPr>
        <w:t xml:space="preserve">. </w:t>
      </w:r>
      <w:proofErr w:type="spellStart"/>
      <w:r w:rsidRPr="00CF7AA5">
        <w:rPr>
          <w:lang w:val="en-GB"/>
        </w:rPr>
        <w:t>Това</w:t>
      </w:r>
      <w:proofErr w:type="spellEnd"/>
      <w:r w:rsidRPr="00CF7AA5">
        <w:rPr>
          <w:lang w:val="en-GB"/>
        </w:rPr>
        <w:t xml:space="preserve"> </w:t>
      </w:r>
      <w:proofErr w:type="spellStart"/>
      <w:r w:rsidRPr="00CF7AA5">
        <w:rPr>
          <w:lang w:val="en-GB"/>
        </w:rPr>
        <w:t>потвърждава</w:t>
      </w:r>
      <w:proofErr w:type="spellEnd"/>
      <w:r w:rsidRPr="00CF7AA5">
        <w:rPr>
          <w:lang w:val="en-GB"/>
        </w:rPr>
        <w:t xml:space="preserve">, </w:t>
      </w:r>
      <w:proofErr w:type="spellStart"/>
      <w:r w:rsidRPr="00CF7AA5">
        <w:rPr>
          <w:lang w:val="en-GB"/>
        </w:rPr>
        <w:t>че</w:t>
      </w:r>
      <w:proofErr w:type="spellEnd"/>
      <w:r w:rsidRPr="00CF7AA5">
        <w:rPr>
          <w:lang w:val="en-GB"/>
        </w:rPr>
        <w:t xml:space="preserve"> </w:t>
      </w:r>
      <w:proofErr w:type="spellStart"/>
      <w:r w:rsidRPr="00CF7AA5">
        <w:rPr>
          <w:lang w:val="en-GB"/>
        </w:rPr>
        <w:t>инфлацията</w:t>
      </w:r>
      <w:proofErr w:type="spellEnd"/>
      <w:r w:rsidRPr="00CF7AA5">
        <w:rPr>
          <w:lang w:val="en-GB"/>
        </w:rPr>
        <w:t xml:space="preserve"> </w:t>
      </w:r>
      <w:proofErr w:type="spellStart"/>
      <w:r w:rsidRPr="00CF7AA5">
        <w:rPr>
          <w:lang w:val="en-GB"/>
        </w:rPr>
        <w:t>не</w:t>
      </w:r>
      <w:proofErr w:type="spellEnd"/>
      <w:r w:rsidRPr="00CF7AA5">
        <w:rPr>
          <w:lang w:val="en-GB"/>
        </w:rPr>
        <w:t xml:space="preserve"> </w:t>
      </w:r>
      <w:proofErr w:type="spellStart"/>
      <w:r w:rsidRPr="00CF7AA5">
        <w:rPr>
          <w:lang w:val="en-GB"/>
        </w:rPr>
        <w:t>действа</w:t>
      </w:r>
      <w:proofErr w:type="spellEnd"/>
      <w:r w:rsidRPr="00CF7AA5">
        <w:rPr>
          <w:lang w:val="en-GB"/>
        </w:rPr>
        <w:t xml:space="preserve"> </w:t>
      </w:r>
      <w:proofErr w:type="spellStart"/>
      <w:r w:rsidRPr="00CF7AA5">
        <w:rPr>
          <w:lang w:val="en-GB"/>
        </w:rPr>
        <w:t>самостоятелно</w:t>
      </w:r>
      <w:proofErr w:type="spellEnd"/>
      <w:r w:rsidRPr="00CF7AA5">
        <w:rPr>
          <w:lang w:val="en-GB"/>
        </w:rPr>
        <w:t xml:space="preserve">, а </w:t>
      </w:r>
      <w:proofErr w:type="spellStart"/>
      <w:r w:rsidRPr="00CF7AA5">
        <w:rPr>
          <w:lang w:val="en-GB"/>
        </w:rPr>
        <w:t>чрез</w:t>
      </w:r>
      <w:proofErr w:type="spellEnd"/>
      <w:r w:rsidRPr="00CF7AA5">
        <w:rPr>
          <w:lang w:val="en-GB"/>
        </w:rPr>
        <w:t xml:space="preserve"> </w:t>
      </w:r>
      <w:proofErr w:type="spellStart"/>
      <w:r w:rsidRPr="00CF7AA5">
        <w:rPr>
          <w:lang w:val="en-GB"/>
        </w:rPr>
        <w:t>реакцията</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централните</w:t>
      </w:r>
      <w:proofErr w:type="spellEnd"/>
      <w:r w:rsidRPr="00CF7AA5">
        <w:rPr>
          <w:lang w:val="en-GB"/>
        </w:rPr>
        <w:t xml:space="preserve"> </w:t>
      </w:r>
      <w:proofErr w:type="spellStart"/>
      <w:r w:rsidRPr="00CF7AA5">
        <w:rPr>
          <w:lang w:val="en-GB"/>
        </w:rPr>
        <w:t>банки</w:t>
      </w:r>
      <w:proofErr w:type="spellEnd"/>
      <w:r w:rsidRPr="00CF7AA5">
        <w:rPr>
          <w:lang w:val="en-GB"/>
        </w:rPr>
        <w:t xml:space="preserve"> и </w:t>
      </w:r>
      <w:proofErr w:type="spellStart"/>
      <w:r w:rsidRPr="00CF7AA5">
        <w:rPr>
          <w:lang w:val="en-GB"/>
        </w:rPr>
        <w:t>последващите</w:t>
      </w:r>
      <w:proofErr w:type="spellEnd"/>
      <w:r w:rsidRPr="00CF7AA5">
        <w:rPr>
          <w:lang w:val="en-GB"/>
        </w:rPr>
        <w:t xml:space="preserve"> </w:t>
      </w:r>
      <w:proofErr w:type="spellStart"/>
      <w:r w:rsidRPr="00CF7AA5">
        <w:rPr>
          <w:lang w:val="en-GB"/>
        </w:rPr>
        <w:t>промени</w:t>
      </w:r>
      <w:proofErr w:type="spellEnd"/>
      <w:r w:rsidRPr="00CF7AA5">
        <w:rPr>
          <w:lang w:val="en-GB"/>
        </w:rPr>
        <w:t xml:space="preserve"> в </w:t>
      </w:r>
      <w:proofErr w:type="spellStart"/>
      <w:r w:rsidRPr="00CF7AA5">
        <w:rPr>
          <w:lang w:val="en-GB"/>
        </w:rPr>
        <w:t>лихвените</w:t>
      </w:r>
      <w:proofErr w:type="spellEnd"/>
      <w:r w:rsidRPr="00CF7AA5">
        <w:rPr>
          <w:lang w:val="en-GB"/>
        </w:rPr>
        <w:t xml:space="preserve"> </w:t>
      </w:r>
      <w:proofErr w:type="spellStart"/>
      <w:r w:rsidRPr="00CF7AA5">
        <w:rPr>
          <w:lang w:val="en-GB"/>
        </w:rPr>
        <w:t>равнища</w:t>
      </w:r>
      <w:proofErr w:type="spellEnd"/>
      <w:r w:rsidRPr="00CF7AA5">
        <w:rPr>
          <w:lang w:val="en-GB"/>
        </w:rPr>
        <w:t>.</w:t>
      </w:r>
    </w:p>
    <w:p w14:paraId="6D487A80" w14:textId="77777777" w:rsidR="00CF7AA5" w:rsidRPr="00CF7AA5" w:rsidRDefault="00CF7AA5" w:rsidP="00CF7AA5">
      <w:pPr>
        <w:spacing w:line="360" w:lineRule="auto"/>
        <w:ind w:firstLine="709"/>
        <w:jc w:val="both"/>
        <w:rPr>
          <w:lang w:val="en-GB"/>
        </w:rPr>
      </w:pPr>
      <w:proofErr w:type="spellStart"/>
      <w:r w:rsidRPr="00CF7AA5">
        <w:rPr>
          <w:lang w:val="en-GB"/>
        </w:rPr>
        <w:t>Най-силно</w:t>
      </w:r>
      <w:proofErr w:type="spellEnd"/>
      <w:r w:rsidRPr="00CF7AA5">
        <w:rPr>
          <w:lang w:val="en-GB"/>
        </w:rPr>
        <w:t xml:space="preserve"> </w:t>
      </w:r>
      <w:proofErr w:type="spellStart"/>
      <w:r w:rsidRPr="00CF7AA5">
        <w:rPr>
          <w:lang w:val="en-GB"/>
        </w:rPr>
        <w:t>изразено</w:t>
      </w:r>
      <w:proofErr w:type="spellEnd"/>
      <w:r w:rsidRPr="00CF7AA5">
        <w:rPr>
          <w:lang w:val="en-GB"/>
        </w:rPr>
        <w:t xml:space="preserve"> </w:t>
      </w:r>
      <w:proofErr w:type="spellStart"/>
      <w:r w:rsidRPr="00CF7AA5">
        <w:rPr>
          <w:lang w:val="en-GB"/>
        </w:rPr>
        <w:t>влияние</w:t>
      </w:r>
      <w:proofErr w:type="spellEnd"/>
      <w:r w:rsidRPr="00CF7AA5">
        <w:rPr>
          <w:lang w:val="en-GB"/>
        </w:rPr>
        <w:t xml:space="preserve"> </w:t>
      </w:r>
      <w:proofErr w:type="spellStart"/>
      <w:r w:rsidRPr="00CF7AA5">
        <w:rPr>
          <w:lang w:val="en-GB"/>
        </w:rPr>
        <w:t>върху</w:t>
      </w:r>
      <w:proofErr w:type="spellEnd"/>
      <w:r w:rsidRPr="00CF7AA5">
        <w:rPr>
          <w:lang w:val="en-GB"/>
        </w:rPr>
        <w:t xml:space="preserve"> </w:t>
      </w:r>
      <w:proofErr w:type="spellStart"/>
      <w:r w:rsidRPr="00CF7AA5">
        <w:rPr>
          <w:lang w:val="en-GB"/>
        </w:rPr>
        <w:t>доходността</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биткойн</w:t>
      </w:r>
      <w:proofErr w:type="spellEnd"/>
      <w:r w:rsidRPr="00CF7AA5">
        <w:rPr>
          <w:lang w:val="en-GB"/>
        </w:rPr>
        <w:t xml:space="preserve"> </w:t>
      </w:r>
      <w:proofErr w:type="spellStart"/>
      <w:r w:rsidRPr="00CF7AA5">
        <w:rPr>
          <w:lang w:val="en-GB"/>
        </w:rPr>
        <w:t>оказва</w:t>
      </w:r>
      <w:proofErr w:type="spellEnd"/>
      <w:r w:rsidRPr="00CF7AA5">
        <w:rPr>
          <w:lang w:val="en-GB"/>
        </w:rPr>
        <w:t xml:space="preserve"> </w:t>
      </w:r>
      <w:proofErr w:type="spellStart"/>
      <w:r w:rsidRPr="00CF7AA5">
        <w:rPr>
          <w:lang w:val="en-GB"/>
        </w:rPr>
        <w:t>основният</w:t>
      </w:r>
      <w:proofErr w:type="spellEnd"/>
      <w:r w:rsidRPr="00CF7AA5">
        <w:rPr>
          <w:lang w:val="en-GB"/>
        </w:rPr>
        <w:t xml:space="preserve"> </w:t>
      </w:r>
      <w:proofErr w:type="spellStart"/>
      <w:r w:rsidRPr="00CF7AA5">
        <w:rPr>
          <w:lang w:val="en-GB"/>
        </w:rPr>
        <w:t>лихвен</w:t>
      </w:r>
      <w:proofErr w:type="spellEnd"/>
      <w:r w:rsidRPr="00CF7AA5">
        <w:rPr>
          <w:lang w:val="en-GB"/>
        </w:rPr>
        <w:t xml:space="preserve"> </w:t>
      </w:r>
      <w:proofErr w:type="spellStart"/>
      <w:r w:rsidRPr="00CF7AA5">
        <w:rPr>
          <w:lang w:val="en-GB"/>
        </w:rPr>
        <w:t>процент</w:t>
      </w:r>
      <w:proofErr w:type="spellEnd"/>
      <w:r w:rsidRPr="00CF7AA5">
        <w:rPr>
          <w:lang w:val="en-GB"/>
        </w:rPr>
        <w:t xml:space="preserve">. </w:t>
      </w:r>
      <w:proofErr w:type="spellStart"/>
      <w:r w:rsidRPr="00CF7AA5">
        <w:rPr>
          <w:lang w:val="en-GB"/>
        </w:rPr>
        <w:t>Резултатите</w:t>
      </w:r>
      <w:proofErr w:type="spellEnd"/>
      <w:r w:rsidRPr="00CF7AA5">
        <w:rPr>
          <w:lang w:val="en-GB"/>
        </w:rPr>
        <w:t xml:space="preserve"> </w:t>
      </w:r>
      <w:proofErr w:type="spellStart"/>
      <w:r w:rsidRPr="00CF7AA5">
        <w:rPr>
          <w:lang w:val="en-GB"/>
        </w:rPr>
        <w:t>от</w:t>
      </w:r>
      <w:proofErr w:type="spellEnd"/>
      <w:r w:rsidRPr="00CF7AA5">
        <w:rPr>
          <w:lang w:val="en-GB"/>
        </w:rPr>
        <w:t xml:space="preserve"> </w:t>
      </w:r>
      <w:proofErr w:type="spellStart"/>
      <w:r w:rsidRPr="00CF7AA5">
        <w:rPr>
          <w:lang w:val="en-GB"/>
        </w:rPr>
        <w:t>корелационния</w:t>
      </w:r>
      <w:proofErr w:type="spellEnd"/>
      <w:r w:rsidRPr="00CF7AA5">
        <w:rPr>
          <w:lang w:val="en-GB"/>
        </w:rPr>
        <w:t xml:space="preserve"> и </w:t>
      </w:r>
      <w:proofErr w:type="spellStart"/>
      <w:r w:rsidRPr="00CF7AA5">
        <w:rPr>
          <w:lang w:val="en-GB"/>
        </w:rPr>
        <w:t>регресионния</w:t>
      </w:r>
      <w:proofErr w:type="spellEnd"/>
      <w:r w:rsidRPr="00CF7AA5">
        <w:rPr>
          <w:lang w:val="en-GB"/>
        </w:rPr>
        <w:t xml:space="preserve"> </w:t>
      </w:r>
      <w:proofErr w:type="spellStart"/>
      <w:r w:rsidRPr="00CF7AA5">
        <w:rPr>
          <w:lang w:val="en-GB"/>
        </w:rPr>
        <w:t>анализ</w:t>
      </w:r>
      <w:proofErr w:type="spellEnd"/>
      <w:r w:rsidRPr="00CF7AA5">
        <w:rPr>
          <w:lang w:val="en-GB"/>
        </w:rPr>
        <w:t xml:space="preserve"> </w:t>
      </w:r>
      <w:proofErr w:type="spellStart"/>
      <w:r w:rsidRPr="00CF7AA5">
        <w:rPr>
          <w:lang w:val="en-GB"/>
        </w:rPr>
        <w:t>показват</w:t>
      </w:r>
      <w:proofErr w:type="spellEnd"/>
      <w:r w:rsidRPr="00CF7AA5">
        <w:rPr>
          <w:lang w:val="en-GB"/>
        </w:rPr>
        <w:t xml:space="preserve"> </w:t>
      </w:r>
      <w:proofErr w:type="spellStart"/>
      <w:r w:rsidRPr="00CF7AA5">
        <w:rPr>
          <w:lang w:val="en-GB"/>
        </w:rPr>
        <w:t>ясно</w:t>
      </w:r>
      <w:proofErr w:type="spellEnd"/>
      <w:r w:rsidRPr="00CF7AA5">
        <w:rPr>
          <w:lang w:val="en-GB"/>
        </w:rPr>
        <w:t xml:space="preserve"> </w:t>
      </w:r>
      <w:proofErr w:type="spellStart"/>
      <w:r w:rsidRPr="00CF7AA5">
        <w:rPr>
          <w:lang w:val="en-GB"/>
        </w:rPr>
        <w:t>изразена</w:t>
      </w:r>
      <w:proofErr w:type="spellEnd"/>
      <w:r w:rsidRPr="00CF7AA5">
        <w:rPr>
          <w:lang w:val="en-GB"/>
        </w:rPr>
        <w:t xml:space="preserve"> и </w:t>
      </w:r>
      <w:proofErr w:type="spellStart"/>
      <w:r w:rsidRPr="00CF7AA5">
        <w:rPr>
          <w:lang w:val="en-GB"/>
        </w:rPr>
        <w:t>устойчива</w:t>
      </w:r>
      <w:proofErr w:type="spellEnd"/>
      <w:r w:rsidRPr="00CF7AA5">
        <w:rPr>
          <w:lang w:val="en-GB"/>
        </w:rPr>
        <w:t xml:space="preserve"> </w:t>
      </w:r>
      <w:proofErr w:type="spellStart"/>
      <w:r w:rsidRPr="00CF7AA5">
        <w:rPr>
          <w:lang w:val="en-GB"/>
        </w:rPr>
        <w:t>отрицателна</w:t>
      </w:r>
      <w:proofErr w:type="spellEnd"/>
      <w:r w:rsidRPr="00CF7AA5">
        <w:rPr>
          <w:lang w:val="en-GB"/>
        </w:rPr>
        <w:t xml:space="preserve"> </w:t>
      </w:r>
      <w:proofErr w:type="spellStart"/>
      <w:r w:rsidRPr="00CF7AA5">
        <w:rPr>
          <w:lang w:val="en-GB"/>
        </w:rPr>
        <w:t>зависимост</w:t>
      </w:r>
      <w:proofErr w:type="spellEnd"/>
      <w:r w:rsidRPr="00CF7AA5">
        <w:rPr>
          <w:lang w:val="en-GB"/>
        </w:rPr>
        <w:t xml:space="preserve"> </w:t>
      </w:r>
      <w:proofErr w:type="spellStart"/>
      <w:r w:rsidRPr="00CF7AA5">
        <w:rPr>
          <w:lang w:val="en-GB"/>
        </w:rPr>
        <w:t>между</w:t>
      </w:r>
      <w:proofErr w:type="spellEnd"/>
      <w:r w:rsidRPr="00CF7AA5">
        <w:rPr>
          <w:lang w:val="en-GB"/>
        </w:rPr>
        <w:t xml:space="preserve"> </w:t>
      </w:r>
      <w:proofErr w:type="spellStart"/>
      <w:r w:rsidRPr="00CF7AA5">
        <w:rPr>
          <w:lang w:val="en-GB"/>
        </w:rPr>
        <w:t>лихвените</w:t>
      </w:r>
      <w:proofErr w:type="spellEnd"/>
      <w:r w:rsidRPr="00CF7AA5">
        <w:rPr>
          <w:lang w:val="en-GB"/>
        </w:rPr>
        <w:t xml:space="preserve"> </w:t>
      </w:r>
      <w:proofErr w:type="spellStart"/>
      <w:r w:rsidRPr="00CF7AA5">
        <w:rPr>
          <w:lang w:val="en-GB"/>
        </w:rPr>
        <w:t>равнища</w:t>
      </w:r>
      <w:proofErr w:type="spellEnd"/>
      <w:r w:rsidRPr="00CF7AA5">
        <w:rPr>
          <w:lang w:val="en-GB"/>
        </w:rPr>
        <w:t xml:space="preserve"> и </w:t>
      </w:r>
      <w:proofErr w:type="spellStart"/>
      <w:r w:rsidRPr="00CF7AA5">
        <w:rPr>
          <w:lang w:val="en-GB"/>
        </w:rPr>
        <w:t>доходността</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криптоактива</w:t>
      </w:r>
      <w:proofErr w:type="spellEnd"/>
      <w:r w:rsidRPr="00CF7AA5">
        <w:rPr>
          <w:lang w:val="en-GB"/>
        </w:rPr>
        <w:t xml:space="preserve">. </w:t>
      </w:r>
      <w:proofErr w:type="spellStart"/>
      <w:r w:rsidRPr="00CF7AA5">
        <w:rPr>
          <w:lang w:val="en-GB"/>
        </w:rPr>
        <w:t>Това</w:t>
      </w:r>
      <w:proofErr w:type="spellEnd"/>
      <w:r w:rsidRPr="00CF7AA5">
        <w:rPr>
          <w:lang w:val="en-GB"/>
        </w:rPr>
        <w:t xml:space="preserve"> </w:t>
      </w:r>
      <w:proofErr w:type="spellStart"/>
      <w:r w:rsidRPr="00CF7AA5">
        <w:rPr>
          <w:lang w:val="en-GB"/>
        </w:rPr>
        <w:t>означава</w:t>
      </w:r>
      <w:proofErr w:type="spellEnd"/>
      <w:r w:rsidRPr="00CF7AA5">
        <w:rPr>
          <w:lang w:val="en-GB"/>
        </w:rPr>
        <w:t xml:space="preserve">, </w:t>
      </w:r>
      <w:proofErr w:type="spellStart"/>
      <w:r w:rsidRPr="00CF7AA5">
        <w:rPr>
          <w:lang w:val="en-GB"/>
        </w:rPr>
        <w:t>че</w:t>
      </w:r>
      <w:proofErr w:type="spellEnd"/>
      <w:r w:rsidRPr="00CF7AA5">
        <w:rPr>
          <w:lang w:val="en-GB"/>
        </w:rPr>
        <w:t xml:space="preserve"> </w:t>
      </w:r>
      <w:proofErr w:type="spellStart"/>
      <w:r w:rsidRPr="00CF7AA5">
        <w:rPr>
          <w:lang w:val="en-GB"/>
        </w:rPr>
        <w:t>затягането</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паричната</w:t>
      </w:r>
      <w:proofErr w:type="spellEnd"/>
      <w:r w:rsidRPr="00CF7AA5">
        <w:rPr>
          <w:lang w:val="en-GB"/>
        </w:rPr>
        <w:t xml:space="preserve"> </w:t>
      </w:r>
      <w:proofErr w:type="spellStart"/>
      <w:r w:rsidRPr="00CF7AA5">
        <w:rPr>
          <w:lang w:val="en-GB"/>
        </w:rPr>
        <w:t>политика</w:t>
      </w:r>
      <w:proofErr w:type="spellEnd"/>
      <w:r w:rsidRPr="00CF7AA5">
        <w:rPr>
          <w:lang w:val="en-GB"/>
        </w:rPr>
        <w:t xml:space="preserve"> </w:t>
      </w:r>
      <w:proofErr w:type="spellStart"/>
      <w:r w:rsidRPr="00CF7AA5">
        <w:rPr>
          <w:lang w:val="en-GB"/>
        </w:rPr>
        <w:t>води</w:t>
      </w:r>
      <w:proofErr w:type="spellEnd"/>
      <w:r w:rsidRPr="00CF7AA5">
        <w:rPr>
          <w:lang w:val="en-GB"/>
        </w:rPr>
        <w:t xml:space="preserve"> </w:t>
      </w:r>
      <w:proofErr w:type="spellStart"/>
      <w:r w:rsidRPr="00CF7AA5">
        <w:rPr>
          <w:lang w:val="en-GB"/>
        </w:rPr>
        <w:t>до</w:t>
      </w:r>
      <w:proofErr w:type="spellEnd"/>
      <w:r w:rsidRPr="00CF7AA5">
        <w:rPr>
          <w:lang w:val="en-GB"/>
        </w:rPr>
        <w:t xml:space="preserve"> </w:t>
      </w:r>
      <w:proofErr w:type="spellStart"/>
      <w:r w:rsidRPr="00CF7AA5">
        <w:rPr>
          <w:lang w:val="en-GB"/>
        </w:rPr>
        <w:t>ограничаване</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ликвидността</w:t>
      </w:r>
      <w:proofErr w:type="spellEnd"/>
      <w:r w:rsidRPr="00CF7AA5">
        <w:rPr>
          <w:lang w:val="en-GB"/>
        </w:rPr>
        <w:t xml:space="preserve">, </w:t>
      </w:r>
      <w:proofErr w:type="spellStart"/>
      <w:r w:rsidRPr="00CF7AA5">
        <w:rPr>
          <w:lang w:val="en-GB"/>
        </w:rPr>
        <w:t>увеличаване</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алтернативната</w:t>
      </w:r>
      <w:proofErr w:type="spellEnd"/>
      <w:r w:rsidRPr="00CF7AA5">
        <w:rPr>
          <w:lang w:val="en-GB"/>
        </w:rPr>
        <w:t xml:space="preserve"> </w:t>
      </w:r>
      <w:proofErr w:type="spellStart"/>
      <w:r w:rsidRPr="00CF7AA5">
        <w:rPr>
          <w:lang w:val="en-GB"/>
        </w:rPr>
        <w:t>доходност</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традиционните</w:t>
      </w:r>
      <w:proofErr w:type="spellEnd"/>
      <w:r w:rsidRPr="00CF7AA5">
        <w:rPr>
          <w:lang w:val="en-GB"/>
        </w:rPr>
        <w:t xml:space="preserve"> </w:t>
      </w:r>
      <w:proofErr w:type="spellStart"/>
      <w:r w:rsidRPr="00CF7AA5">
        <w:rPr>
          <w:lang w:val="en-GB"/>
        </w:rPr>
        <w:t>финансови</w:t>
      </w:r>
      <w:proofErr w:type="spellEnd"/>
      <w:r w:rsidRPr="00CF7AA5">
        <w:rPr>
          <w:lang w:val="en-GB"/>
        </w:rPr>
        <w:t xml:space="preserve"> </w:t>
      </w:r>
      <w:proofErr w:type="spellStart"/>
      <w:r w:rsidRPr="00CF7AA5">
        <w:rPr>
          <w:lang w:val="en-GB"/>
        </w:rPr>
        <w:t>инструменти</w:t>
      </w:r>
      <w:proofErr w:type="spellEnd"/>
      <w:r w:rsidRPr="00CF7AA5">
        <w:rPr>
          <w:lang w:val="en-GB"/>
        </w:rPr>
        <w:t xml:space="preserve"> и </w:t>
      </w:r>
      <w:proofErr w:type="spellStart"/>
      <w:r w:rsidRPr="00CF7AA5">
        <w:rPr>
          <w:lang w:val="en-GB"/>
        </w:rPr>
        <w:t>съответно</w:t>
      </w:r>
      <w:proofErr w:type="spellEnd"/>
      <w:r w:rsidRPr="00CF7AA5">
        <w:rPr>
          <w:lang w:val="en-GB"/>
        </w:rPr>
        <w:t xml:space="preserve"> </w:t>
      </w:r>
      <w:proofErr w:type="spellStart"/>
      <w:r w:rsidRPr="00CF7AA5">
        <w:rPr>
          <w:lang w:val="en-GB"/>
        </w:rPr>
        <w:t>до</w:t>
      </w:r>
      <w:proofErr w:type="spellEnd"/>
      <w:r w:rsidRPr="00CF7AA5">
        <w:rPr>
          <w:lang w:val="en-GB"/>
        </w:rPr>
        <w:t xml:space="preserve"> </w:t>
      </w:r>
      <w:proofErr w:type="spellStart"/>
      <w:r w:rsidRPr="00CF7AA5">
        <w:rPr>
          <w:lang w:val="en-GB"/>
        </w:rPr>
        <w:t>спад</w:t>
      </w:r>
      <w:proofErr w:type="spellEnd"/>
      <w:r w:rsidRPr="00CF7AA5">
        <w:rPr>
          <w:lang w:val="en-GB"/>
        </w:rPr>
        <w:t xml:space="preserve"> в </w:t>
      </w:r>
      <w:proofErr w:type="spellStart"/>
      <w:r w:rsidRPr="00CF7AA5">
        <w:rPr>
          <w:lang w:val="en-GB"/>
        </w:rPr>
        <w:t>интереса</w:t>
      </w:r>
      <w:proofErr w:type="spellEnd"/>
      <w:r w:rsidRPr="00CF7AA5">
        <w:rPr>
          <w:lang w:val="en-GB"/>
        </w:rPr>
        <w:t xml:space="preserve"> </w:t>
      </w:r>
      <w:proofErr w:type="spellStart"/>
      <w:r w:rsidRPr="00CF7AA5">
        <w:rPr>
          <w:lang w:val="en-GB"/>
        </w:rPr>
        <w:t>към</w:t>
      </w:r>
      <w:proofErr w:type="spellEnd"/>
      <w:r w:rsidRPr="00CF7AA5">
        <w:rPr>
          <w:lang w:val="en-GB"/>
        </w:rPr>
        <w:t xml:space="preserve"> </w:t>
      </w:r>
      <w:proofErr w:type="spellStart"/>
      <w:r w:rsidRPr="00CF7AA5">
        <w:rPr>
          <w:lang w:val="en-GB"/>
        </w:rPr>
        <w:t>рискови</w:t>
      </w:r>
      <w:proofErr w:type="spellEnd"/>
      <w:r w:rsidRPr="00CF7AA5">
        <w:rPr>
          <w:lang w:val="en-GB"/>
        </w:rPr>
        <w:t xml:space="preserve"> </w:t>
      </w:r>
      <w:proofErr w:type="spellStart"/>
      <w:r w:rsidRPr="00CF7AA5">
        <w:rPr>
          <w:lang w:val="en-GB"/>
        </w:rPr>
        <w:t>активи</w:t>
      </w:r>
      <w:proofErr w:type="spellEnd"/>
      <w:r w:rsidRPr="00CF7AA5">
        <w:rPr>
          <w:lang w:val="en-GB"/>
        </w:rPr>
        <w:t xml:space="preserve"> </w:t>
      </w:r>
      <w:proofErr w:type="spellStart"/>
      <w:r w:rsidRPr="00CF7AA5">
        <w:rPr>
          <w:lang w:val="en-GB"/>
        </w:rPr>
        <w:t>като</w:t>
      </w:r>
      <w:proofErr w:type="spellEnd"/>
      <w:r w:rsidRPr="00CF7AA5">
        <w:rPr>
          <w:lang w:val="en-GB"/>
        </w:rPr>
        <w:t xml:space="preserve"> </w:t>
      </w:r>
      <w:proofErr w:type="spellStart"/>
      <w:r w:rsidRPr="00CF7AA5">
        <w:rPr>
          <w:lang w:val="en-GB"/>
        </w:rPr>
        <w:t>криптовалутите</w:t>
      </w:r>
      <w:proofErr w:type="spellEnd"/>
      <w:r w:rsidRPr="00CF7AA5">
        <w:rPr>
          <w:lang w:val="en-GB"/>
        </w:rPr>
        <w:t xml:space="preserve">. </w:t>
      </w:r>
      <w:proofErr w:type="spellStart"/>
      <w:r w:rsidRPr="00CF7AA5">
        <w:rPr>
          <w:lang w:val="en-GB"/>
        </w:rPr>
        <w:t>Обратно</w:t>
      </w:r>
      <w:proofErr w:type="spellEnd"/>
      <w:r w:rsidRPr="00CF7AA5">
        <w:rPr>
          <w:lang w:val="en-GB"/>
        </w:rPr>
        <w:t xml:space="preserve">, </w:t>
      </w:r>
      <w:proofErr w:type="spellStart"/>
      <w:r w:rsidRPr="00CF7AA5">
        <w:rPr>
          <w:lang w:val="en-GB"/>
        </w:rPr>
        <w:t>ниските</w:t>
      </w:r>
      <w:proofErr w:type="spellEnd"/>
      <w:r w:rsidRPr="00CF7AA5">
        <w:rPr>
          <w:lang w:val="en-GB"/>
        </w:rPr>
        <w:t xml:space="preserve"> </w:t>
      </w:r>
      <w:proofErr w:type="spellStart"/>
      <w:r w:rsidRPr="00CF7AA5">
        <w:rPr>
          <w:lang w:val="en-GB"/>
        </w:rPr>
        <w:t>лихвени</w:t>
      </w:r>
      <w:proofErr w:type="spellEnd"/>
      <w:r w:rsidRPr="00CF7AA5">
        <w:rPr>
          <w:lang w:val="en-GB"/>
        </w:rPr>
        <w:t xml:space="preserve"> </w:t>
      </w:r>
      <w:proofErr w:type="spellStart"/>
      <w:r w:rsidRPr="00CF7AA5">
        <w:rPr>
          <w:lang w:val="en-GB"/>
        </w:rPr>
        <w:t>проценти</w:t>
      </w:r>
      <w:proofErr w:type="spellEnd"/>
      <w:r w:rsidRPr="00CF7AA5">
        <w:rPr>
          <w:lang w:val="en-GB"/>
        </w:rPr>
        <w:t xml:space="preserve"> </w:t>
      </w:r>
      <w:proofErr w:type="spellStart"/>
      <w:r w:rsidRPr="00CF7AA5">
        <w:rPr>
          <w:lang w:val="en-GB"/>
        </w:rPr>
        <w:t>създават</w:t>
      </w:r>
      <w:proofErr w:type="spellEnd"/>
      <w:r w:rsidRPr="00CF7AA5">
        <w:rPr>
          <w:lang w:val="en-GB"/>
        </w:rPr>
        <w:t xml:space="preserve"> </w:t>
      </w:r>
      <w:proofErr w:type="spellStart"/>
      <w:r w:rsidRPr="00CF7AA5">
        <w:rPr>
          <w:lang w:val="en-GB"/>
        </w:rPr>
        <w:t>благоприятна</w:t>
      </w:r>
      <w:proofErr w:type="spellEnd"/>
      <w:r w:rsidRPr="00CF7AA5">
        <w:rPr>
          <w:lang w:val="en-GB"/>
        </w:rPr>
        <w:t xml:space="preserve"> </w:t>
      </w:r>
      <w:proofErr w:type="spellStart"/>
      <w:r w:rsidRPr="00CF7AA5">
        <w:rPr>
          <w:lang w:val="en-GB"/>
        </w:rPr>
        <w:t>среда</w:t>
      </w:r>
      <w:proofErr w:type="spellEnd"/>
      <w:r w:rsidRPr="00CF7AA5">
        <w:rPr>
          <w:lang w:val="en-GB"/>
        </w:rPr>
        <w:t xml:space="preserve"> </w:t>
      </w:r>
      <w:proofErr w:type="spellStart"/>
      <w:r w:rsidRPr="00CF7AA5">
        <w:rPr>
          <w:lang w:val="en-GB"/>
        </w:rPr>
        <w:t>за</w:t>
      </w:r>
      <w:proofErr w:type="spellEnd"/>
      <w:r w:rsidRPr="00CF7AA5">
        <w:rPr>
          <w:lang w:val="en-GB"/>
        </w:rPr>
        <w:t xml:space="preserve"> </w:t>
      </w:r>
      <w:proofErr w:type="spellStart"/>
      <w:r w:rsidRPr="00CF7AA5">
        <w:rPr>
          <w:lang w:val="en-GB"/>
        </w:rPr>
        <w:t>инвестиции</w:t>
      </w:r>
      <w:proofErr w:type="spellEnd"/>
      <w:r w:rsidRPr="00CF7AA5">
        <w:rPr>
          <w:lang w:val="en-GB"/>
        </w:rPr>
        <w:t xml:space="preserve"> в </w:t>
      </w:r>
      <w:proofErr w:type="spellStart"/>
      <w:r w:rsidRPr="00CF7AA5">
        <w:rPr>
          <w:lang w:val="en-GB"/>
        </w:rPr>
        <w:t>криптоактиви</w:t>
      </w:r>
      <w:proofErr w:type="spellEnd"/>
      <w:r w:rsidRPr="00CF7AA5">
        <w:rPr>
          <w:lang w:val="en-GB"/>
        </w:rPr>
        <w:t xml:space="preserve"> </w:t>
      </w:r>
      <w:proofErr w:type="spellStart"/>
      <w:r w:rsidRPr="00CF7AA5">
        <w:rPr>
          <w:lang w:val="en-GB"/>
        </w:rPr>
        <w:t>чрез</w:t>
      </w:r>
      <w:proofErr w:type="spellEnd"/>
      <w:r w:rsidRPr="00CF7AA5">
        <w:rPr>
          <w:lang w:val="en-GB"/>
        </w:rPr>
        <w:t xml:space="preserve"> </w:t>
      </w:r>
      <w:proofErr w:type="spellStart"/>
      <w:r w:rsidRPr="00CF7AA5">
        <w:rPr>
          <w:lang w:val="en-GB"/>
        </w:rPr>
        <w:t>увеличаване</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ликвидността</w:t>
      </w:r>
      <w:proofErr w:type="spellEnd"/>
      <w:r w:rsidRPr="00CF7AA5">
        <w:rPr>
          <w:lang w:val="en-GB"/>
        </w:rPr>
        <w:t xml:space="preserve"> и </w:t>
      </w:r>
      <w:proofErr w:type="spellStart"/>
      <w:r w:rsidRPr="00CF7AA5">
        <w:rPr>
          <w:lang w:val="en-GB"/>
        </w:rPr>
        <w:t>насърчаване</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поемането</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риск</w:t>
      </w:r>
      <w:proofErr w:type="spellEnd"/>
      <w:r w:rsidRPr="00CF7AA5">
        <w:rPr>
          <w:lang w:val="en-GB"/>
        </w:rPr>
        <w:t>.</w:t>
      </w:r>
    </w:p>
    <w:p w14:paraId="10906236" w14:textId="77777777" w:rsidR="00CF7AA5" w:rsidRPr="00CF7AA5" w:rsidRDefault="00CF7AA5" w:rsidP="00CF7AA5">
      <w:pPr>
        <w:spacing w:line="360" w:lineRule="auto"/>
        <w:ind w:firstLine="709"/>
        <w:jc w:val="both"/>
        <w:rPr>
          <w:lang w:val="en-GB"/>
        </w:rPr>
      </w:pPr>
      <w:proofErr w:type="spellStart"/>
      <w:r w:rsidRPr="00CF7AA5">
        <w:rPr>
          <w:lang w:val="en-GB"/>
        </w:rPr>
        <w:t>Валутният</w:t>
      </w:r>
      <w:proofErr w:type="spellEnd"/>
      <w:r w:rsidRPr="00CF7AA5">
        <w:rPr>
          <w:lang w:val="en-GB"/>
        </w:rPr>
        <w:t xml:space="preserve"> </w:t>
      </w:r>
      <w:proofErr w:type="spellStart"/>
      <w:r w:rsidRPr="00CF7AA5">
        <w:rPr>
          <w:lang w:val="en-GB"/>
        </w:rPr>
        <w:t>фактор</w:t>
      </w:r>
      <w:proofErr w:type="spellEnd"/>
      <w:r w:rsidRPr="00CF7AA5">
        <w:rPr>
          <w:lang w:val="en-GB"/>
        </w:rPr>
        <w:t xml:space="preserve">, </w:t>
      </w:r>
      <w:proofErr w:type="spellStart"/>
      <w:r w:rsidRPr="00CF7AA5">
        <w:rPr>
          <w:lang w:val="en-GB"/>
        </w:rPr>
        <w:t>представен</w:t>
      </w:r>
      <w:proofErr w:type="spellEnd"/>
      <w:r w:rsidRPr="00CF7AA5">
        <w:rPr>
          <w:lang w:val="en-GB"/>
        </w:rPr>
        <w:t xml:space="preserve"> </w:t>
      </w:r>
      <w:proofErr w:type="spellStart"/>
      <w:r w:rsidRPr="00CF7AA5">
        <w:rPr>
          <w:lang w:val="en-GB"/>
        </w:rPr>
        <w:t>чрез</w:t>
      </w:r>
      <w:proofErr w:type="spellEnd"/>
      <w:r w:rsidRPr="00CF7AA5">
        <w:rPr>
          <w:lang w:val="en-GB"/>
        </w:rPr>
        <w:t xml:space="preserve"> </w:t>
      </w:r>
      <w:proofErr w:type="spellStart"/>
      <w:r w:rsidRPr="00CF7AA5">
        <w:rPr>
          <w:lang w:val="en-GB"/>
        </w:rPr>
        <w:t>индекса</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щатския</w:t>
      </w:r>
      <w:proofErr w:type="spellEnd"/>
      <w:r w:rsidRPr="00CF7AA5">
        <w:rPr>
          <w:lang w:val="en-GB"/>
        </w:rPr>
        <w:t xml:space="preserve"> </w:t>
      </w:r>
      <w:proofErr w:type="spellStart"/>
      <w:r w:rsidRPr="00CF7AA5">
        <w:rPr>
          <w:lang w:val="en-GB"/>
        </w:rPr>
        <w:t>долар</w:t>
      </w:r>
      <w:proofErr w:type="spellEnd"/>
      <w:r w:rsidRPr="00CF7AA5">
        <w:rPr>
          <w:lang w:val="en-GB"/>
        </w:rPr>
        <w:t xml:space="preserve">, </w:t>
      </w:r>
      <w:proofErr w:type="spellStart"/>
      <w:r w:rsidRPr="00CF7AA5">
        <w:rPr>
          <w:lang w:val="en-GB"/>
        </w:rPr>
        <w:t>също</w:t>
      </w:r>
      <w:proofErr w:type="spellEnd"/>
      <w:r w:rsidRPr="00CF7AA5">
        <w:rPr>
          <w:lang w:val="en-GB"/>
        </w:rPr>
        <w:t xml:space="preserve"> </w:t>
      </w:r>
      <w:proofErr w:type="spellStart"/>
      <w:r w:rsidRPr="00CF7AA5">
        <w:rPr>
          <w:lang w:val="en-GB"/>
        </w:rPr>
        <w:t>демонстрира</w:t>
      </w:r>
      <w:proofErr w:type="spellEnd"/>
      <w:r w:rsidRPr="00CF7AA5">
        <w:rPr>
          <w:lang w:val="en-GB"/>
        </w:rPr>
        <w:t xml:space="preserve"> </w:t>
      </w:r>
      <w:proofErr w:type="spellStart"/>
      <w:r w:rsidRPr="00CF7AA5">
        <w:rPr>
          <w:lang w:val="en-GB"/>
        </w:rPr>
        <w:t>съществено</w:t>
      </w:r>
      <w:proofErr w:type="spellEnd"/>
      <w:r w:rsidRPr="00CF7AA5">
        <w:rPr>
          <w:lang w:val="en-GB"/>
        </w:rPr>
        <w:t xml:space="preserve"> и </w:t>
      </w:r>
      <w:proofErr w:type="spellStart"/>
      <w:r w:rsidRPr="00CF7AA5">
        <w:rPr>
          <w:lang w:val="en-GB"/>
        </w:rPr>
        <w:t>статистически</w:t>
      </w:r>
      <w:proofErr w:type="spellEnd"/>
      <w:r w:rsidRPr="00CF7AA5">
        <w:rPr>
          <w:lang w:val="en-GB"/>
        </w:rPr>
        <w:t xml:space="preserve"> </w:t>
      </w:r>
      <w:proofErr w:type="spellStart"/>
      <w:r w:rsidRPr="00CF7AA5">
        <w:rPr>
          <w:lang w:val="en-GB"/>
        </w:rPr>
        <w:t>значимо</w:t>
      </w:r>
      <w:proofErr w:type="spellEnd"/>
      <w:r w:rsidRPr="00CF7AA5">
        <w:rPr>
          <w:lang w:val="en-GB"/>
        </w:rPr>
        <w:t xml:space="preserve"> </w:t>
      </w:r>
      <w:proofErr w:type="spellStart"/>
      <w:r w:rsidRPr="00CF7AA5">
        <w:rPr>
          <w:lang w:val="en-GB"/>
        </w:rPr>
        <w:t>влияние</w:t>
      </w:r>
      <w:proofErr w:type="spellEnd"/>
      <w:r w:rsidRPr="00CF7AA5">
        <w:rPr>
          <w:lang w:val="en-GB"/>
        </w:rPr>
        <w:t xml:space="preserve"> </w:t>
      </w:r>
      <w:proofErr w:type="spellStart"/>
      <w:r w:rsidRPr="00CF7AA5">
        <w:rPr>
          <w:lang w:val="en-GB"/>
        </w:rPr>
        <w:t>върху</w:t>
      </w:r>
      <w:proofErr w:type="spellEnd"/>
      <w:r w:rsidRPr="00CF7AA5">
        <w:rPr>
          <w:lang w:val="en-GB"/>
        </w:rPr>
        <w:t xml:space="preserve"> </w:t>
      </w:r>
      <w:proofErr w:type="spellStart"/>
      <w:r w:rsidRPr="00CF7AA5">
        <w:rPr>
          <w:lang w:val="en-GB"/>
        </w:rPr>
        <w:t>доходността</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биткойн</w:t>
      </w:r>
      <w:proofErr w:type="spellEnd"/>
      <w:r w:rsidRPr="00CF7AA5">
        <w:rPr>
          <w:lang w:val="en-GB"/>
        </w:rPr>
        <w:t xml:space="preserve">. </w:t>
      </w:r>
      <w:proofErr w:type="spellStart"/>
      <w:r w:rsidRPr="00CF7AA5">
        <w:rPr>
          <w:lang w:val="en-GB"/>
        </w:rPr>
        <w:t>Наблюдава</w:t>
      </w:r>
      <w:proofErr w:type="spellEnd"/>
      <w:r w:rsidRPr="00CF7AA5">
        <w:rPr>
          <w:lang w:val="en-GB"/>
        </w:rPr>
        <w:t xml:space="preserve"> </w:t>
      </w:r>
      <w:proofErr w:type="spellStart"/>
      <w:r w:rsidRPr="00CF7AA5">
        <w:rPr>
          <w:lang w:val="en-GB"/>
        </w:rPr>
        <w:t>се</w:t>
      </w:r>
      <w:proofErr w:type="spellEnd"/>
      <w:r w:rsidRPr="00CF7AA5">
        <w:rPr>
          <w:lang w:val="en-GB"/>
        </w:rPr>
        <w:t xml:space="preserve"> </w:t>
      </w:r>
      <w:proofErr w:type="spellStart"/>
      <w:r w:rsidRPr="00CF7AA5">
        <w:rPr>
          <w:lang w:val="en-GB"/>
        </w:rPr>
        <w:t>силна</w:t>
      </w:r>
      <w:proofErr w:type="spellEnd"/>
      <w:r w:rsidRPr="00CF7AA5">
        <w:rPr>
          <w:lang w:val="en-GB"/>
        </w:rPr>
        <w:t xml:space="preserve"> </w:t>
      </w:r>
      <w:proofErr w:type="spellStart"/>
      <w:r w:rsidRPr="00CF7AA5">
        <w:rPr>
          <w:lang w:val="en-GB"/>
        </w:rPr>
        <w:t>отрицателна</w:t>
      </w:r>
      <w:proofErr w:type="spellEnd"/>
      <w:r w:rsidRPr="00CF7AA5">
        <w:rPr>
          <w:lang w:val="en-GB"/>
        </w:rPr>
        <w:t xml:space="preserve"> </w:t>
      </w:r>
      <w:proofErr w:type="spellStart"/>
      <w:r w:rsidRPr="00CF7AA5">
        <w:rPr>
          <w:lang w:val="en-GB"/>
        </w:rPr>
        <w:t>зависимост</w:t>
      </w:r>
      <w:proofErr w:type="spellEnd"/>
      <w:r w:rsidRPr="00CF7AA5">
        <w:rPr>
          <w:lang w:val="en-GB"/>
        </w:rPr>
        <w:t xml:space="preserve">, </w:t>
      </w:r>
      <w:proofErr w:type="spellStart"/>
      <w:r w:rsidRPr="00CF7AA5">
        <w:rPr>
          <w:lang w:val="en-GB"/>
        </w:rPr>
        <w:t>при</w:t>
      </w:r>
      <w:proofErr w:type="spellEnd"/>
      <w:r w:rsidRPr="00CF7AA5">
        <w:rPr>
          <w:lang w:val="en-GB"/>
        </w:rPr>
        <w:t xml:space="preserve"> </w:t>
      </w:r>
      <w:proofErr w:type="spellStart"/>
      <w:r w:rsidRPr="00CF7AA5">
        <w:rPr>
          <w:lang w:val="en-GB"/>
        </w:rPr>
        <w:t>която</w:t>
      </w:r>
      <w:proofErr w:type="spellEnd"/>
      <w:r w:rsidRPr="00CF7AA5">
        <w:rPr>
          <w:lang w:val="en-GB"/>
        </w:rPr>
        <w:t xml:space="preserve"> </w:t>
      </w:r>
      <w:proofErr w:type="spellStart"/>
      <w:r w:rsidRPr="00CF7AA5">
        <w:rPr>
          <w:lang w:val="en-GB"/>
        </w:rPr>
        <w:t>засилването</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долара</w:t>
      </w:r>
      <w:proofErr w:type="spellEnd"/>
      <w:r w:rsidRPr="00CF7AA5">
        <w:rPr>
          <w:lang w:val="en-GB"/>
        </w:rPr>
        <w:t xml:space="preserve"> </w:t>
      </w:r>
      <w:proofErr w:type="spellStart"/>
      <w:r w:rsidRPr="00CF7AA5">
        <w:rPr>
          <w:lang w:val="en-GB"/>
        </w:rPr>
        <w:t>води</w:t>
      </w:r>
      <w:proofErr w:type="spellEnd"/>
      <w:r w:rsidRPr="00CF7AA5">
        <w:rPr>
          <w:lang w:val="en-GB"/>
        </w:rPr>
        <w:t xml:space="preserve"> </w:t>
      </w:r>
      <w:proofErr w:type="spellStart"/>
      <w:r w:rsidRPr="00CF7AA5">
        <w:rPr>
          <w:lang w:val="en-GB"/>
        </w:rPr>
        <w:t>до</w:t>
      </w:r>
      <w:proofErr w:type="spellEnd"/>
      <w:r w:rsidRPr="00CF7AA5">
        <w:rPr>
          <w:lang w:val="en-GB"/>
        </w:rPr>
        <w:t xml:space="preserve"> </w:t>
      </w:r>
      <w:proofErr w:type="spellStart"/>
      <w:r w:rsidRPr="00CF7AA5">
        <w:rPr>
          <w:lang w:val="en-GB"/>
        </w:rPr>
        <w:t>спад</w:t>
      </w:r>
      <w:proofErr w:type="spellEnd"/>
      <w:r w:rsidRPr="00CF7AA5">
        <w:rPr>
          <w:lang w:val="en-GB"/>
        </w:rPr>
        <w:t xml:space="preserve"> в </w:t>
      </w:r>
      <w:proofErr w:type="spellStart"/>
      <w:r w:rsidRPr="00CF7AA5">
        <w:rPr>
          <w:lang w:val="en-GB"/>
        </w:rPr>
        <w:t>доходността</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криптоактива</w:t>
      </w:r>
      <w:proofErr w:type="spellEnd"/>
      <w:r w:rsidRPr="00CF7AA5">
        <w:rPr>
          <w:lang w:val="en-GB"/>
        </w:rPr>
        <w:t xml:space="preserve">, </w:t>
      </w:r>
      <w:proofErr w:type="spellStart"/>
      <w:r w:rsidRPr="00CF7AA5">
        <w:rPr>
          <w:lang w:val="en-GB"/>
        </w:rPr>
        <w:t>докато</w:t>
      </w:r>
      <w:proofErr w:type="spellEnd"/>
      <w:r w:rsidRPr="00CF7AA5">
        <w:rPr>
          <w:lang w:val="en-GB"/>
        </w:rPr>
        <w:t xml:space="preserve"> </w:t>
      </w:r>
      <w:proofErr w:type="spellStart"/>
      <w:r w:rsidRPr="00CF7AA5">
        <w:rPr>
          <w:lang w:val="en-GB"/>
        </w:rPr>
        <w:t>отслабването</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валутата</w:t>
      </w:r>
      <w:proofErr w:type="spellEnd"/>
      <w:r w:rsidRPr="00CF7AA5">
        <w:rPr>
          <w:lang w:val="en-GB"/>
        </w:rPr>
        <w:t xml:space="preserve"> </w:t>
      </w:r>
      <w:proofErr w:type="spellStart"/>
      <w:r w:rsidRPr="00CF7AA5">
        <w:rPr>
          <w:lang w:val="en-GB"/>
        </w:rPr>
        <w:t>създава</w:t>
      </w:r>
      <w:proofErr w:type="spellEnd"/>
      <w:r w:rsidRPr="00CF7AA5">
        <w:rPr>
          <w:lang w:val="en-GB"/>
        </w:rPr>
        <w:t xml:space="preserve"> </w:t>
      </w:r>
      <w:proofErr w:type="spellStart"/>
      <w:r w:rsidRPr="00CF7AA5">
        <w:rPr>
          <w:lang w:val="en-GB"/>
        </w:rPr>
        <w:t>условия</w:t>
      </w:r>
      <w:proofErr w:type="spellEnd"/>
      <w:r w:rsidRPr="00CF7AA5">
        <w:rPr>
          <w:lang w:val="en-GB"/>
        </w:rPr>
        <w:t xml:space="preserve"> </w:t>
      </w:r>
      <w:proofErr w:type="spellStart"/>
      <w:r w:rsidRPr="00CF7AA5">
        <w:rPr>
          <w:lang w:val="en-GB"/>
        </w:rPr>
        <w:t>за</w:t>
      </w:r>
      <w:proofErr w:type="spellEnd"/>
      <w:r w:rsidRPr="00CF7AA5">
        <w:rPr>
          <w:lang w:val="en-GB"/>
        </w:rPr>
        <w:t xml:space="preserve"> </w:t>
      </w:r>
      <w:proofErr w:type="spellStart"/>
      <w:r w:rsidRPr="00CF7AA5">
        <w:rPr>
          <w:lang w:val="en-GB"/>
        </w:rPr>
        <w:t>възходящо</w:t>
      </w:r>
      <w:proofErr w:type="spellEnd"/>
      <w:r w:rsidRPr="00CF7AA5">
        <w:rPr>
          <w:lang w:val="en-GB"/>
        </w:rPr>
        <w:t xml:space="preserve"> </w:t>
      </w:r>
      <w:proofErr w:type="spellStart"/>
      <w:r w:rsidRPr="00CF7AA5">
        <w:rPr>
          <w:lang w:val="en-GB"/>
        </w:rPr>
        <w:t>движение</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пазара</w:t>
      </w:r>
      <w:proofErr w:type="spellEnd"/>
      <w:r w:rsidRPr="00CF7AA5">
        <w:rPr>
          <w:lang w:val="en-GB"/>
        </w:rPr>
        <w:t xml:space="preserve">. </w:t>
      </w:r>
      <w:proofErr w:type="spellStart"/>
      <w:r w:rsidRPr="00CF7AA5">
        <w:rPr>
          <w:lang w:val="en-GB"/>
        </w:rPr>
        <w:t>Това</w:t>
      </w:r>
      <w:proofErr w:type="spellEnd"/>
      <w:r w:rsidRPr="00CF7AA5">
        <w:rPr>
          <w:lang w:val="en-GB"/>
        </w:rPr>
        <w:t xml:space="preserve"> </w:t>
      </w:r>
      <w:proofErr w:type="spellStart"/>
      <w:r w:rsidRPr="00CF7AA5">
        <w:rPr>
          <w:lang w:val="en-GB"/>
        </w:rPr>
        <w:t>може</w:t>
      </w:r>
      <w:proofErr w:type="spellEnd"/>
      <w:r w:rsidRPr="00CF7AA5">
        <w:rPr>
          <w:lang w:val="en-GB"/>
        </w:rPr>
        <w:t xml:space="preserve"> </w:t>
      </w:r>
      <w:proofErr w:type="spellStart"/>
      <w:r w:rsidRPr="00CF7AA5">
        <w:rPr>
          <w:lang w:val="en-GB"/>
        </w:rPr>
        <w:t>да</w:t>
      </w:r>
      <w:proofErr w:type="spellEnd"/>
      <w:r w:rsidRPr="00CF7AA5">
        <w:rPr>
          <w:lang w:val="en-GB"/>
        </w:rPr>
        <w:t xml:space="preserve"> </w:t>
      </w:r>
      <w:proofErr w:type="spellStart"/>
      <w:r w:rsidRPr="00CF7AA5">
        <w:rPr>
          <w:lang w:val="en-GB"/>
        </w:rPr>
        <w:t>се</w:t>
      </w:r>
      <w:proofErr w:type="spellEnd"/>
      <w:r w:rsidRPr="00CF7AA5">
        <w:rPr>
          <w:lang w:val="en-GB"/>
        </w:rPr>
        <w:t xml:space="preserve"> </w:t>
      </w:r>
      <w:proofErr w:type="spellStart"/>
      <w:r w:rsidRPr="00CF7AA5">
        <w:rPr>
          <w:lang w:val="en-GB"/>
        </w:rPr>
        <w:t>обясни</w:t>
      </w:r>
      <w:proofErr w:type="spellEnd"/>
      <w:r w:rsidRPr="00CF7AA5">
        <w:rPr>
          <w:lang w:val="en-GB"/>
        </w:rPr>
        <w:t xml:space="preserve"> с </w:t>
      </w:r>
      <w:proofErr w:type="spellStart"/>
      <w:r w:rsidRPr="00CF7AA5">
        <w:rPr>
          <w:lang w:val="en-GB"/>
        </w:rPr>
        <w:t>пренасочването</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капиталови</w:t>
      </w:r>
      <w:proofErr w:type="spellEnd"/>
      <w:r w:rsidRPr="00CF7AA5">
        <w:rPr>
          <w:lang w:val="en-GB"/>
        </w:rPr>
        <w:t xml:space="preserve"> </w:t>
      </w:r>
      <w:proofErr w:type="spellStart"/>
      <w:r w:rsidRPr="00CF7AA5">
        <w:rPr>
          <w:lang w:val="en-GB"/>
        </w:rPr>
        <w:t>потоци</w:t>
      </w:r>
      <w:proofErr w:type="spellEnd"/>
      <w:r w:rsidRPr="00CF7AA5">
        <w:rPr>
          <w:lang w:val="en-GB"/>
        </w:rPr>
        <w:t xml:space="preserve"> </w:t>
      </w:r>
      <w:proofErr w:type="spellStart"/>
      <w:r w:rsidRPr="00CF7AA5">
        <w:rPr>
          <w:lang w:val="en-GB"/>
        </w:rPr>
        <w:t>към</w:t>
      </w:r>
      <w:proofErr w:type="spellEnd"/>
      <w:r w:rsidRPr="00CF7AA5">
        <w:rPr>
          <w:lang w:val="en-GB"/>
        </w:rPr>
        <w:t xml:space="preserve"> </w:t>
      </w:r>
      <w:proofErr w:type="spellStart"/>
      <w:r w:rsidRPr="00CF7AA5">
        <w:rPr>
          <w:lang w:val="en-GB"/>
        </w:rPr>
        <w:t>доларови</w:t>
      </w:r>
      <w:proofErr w:type="spellEnd"/>
      <w:r w:rsidRPr="00CF7AA5">
        <w:rPr>
          <w:lang w:val="en-GB"/>
        </w:rPr>
        <w:t xml:space="preserve"> </w:t>
      </w:r>
      <w:proofErr w:type="spellStart"/>
      <w:r w:rsidRPr="00CF7AA5">
        <w:rPr>
          <w:lang w:val="en-GB"/>
        </w:rPr>
        <w:t>активи</w:t>
      </w:r>
      <w:proofErr w:type="spellEnd"/>
      <w:r w:rsidRPr="00CF7AA5">
        <w:rPr>
          <w:lang w:val="en-GB"/>
        </w:rPr>
        <w:t xml:space="preserve"> </w:t>
      </w:r>
      <w:proofErr w:type="spellStart"/>
      <w:r w:rsidRPr="00CF7AA5">
        <w:rPr>
          <w:lang w:val="en-GB"/>
        </w:rPr>
        <w:t>при</w:t>
      </w:r>
      <w:proofErr w:type="spellEnd"/>
      <w:r w:rsidRPr="00CF7AA5">
        <w:rPr>
          <w:lang w:val="en-GB"/>
        </w:rPr>
        <w:t xml:space="preserve"> </w:t>
      </w:r>
      <w:proofErr w:type="spellStart"/>
      <w:r w:rsidRPr="00CF7AA5">
        <w:rPr>
          <w:lang w:val="en-GB"/>
        </w:rPr>
        <w:t>силен</w:t>
      </w:r>
      <w:proofErr w:type="spellEnd"/>
      <w:r w:rsidRPr="00CF7AA5">
        <w:rPr>
          <w:lang w:val="en-GB"/>
        </w:rPr>
        <w:t xml:space="preserve"> </w:t>
      </w:r>
      <w:proofErr w:type="spellStart"/>
      <w:r w:rsidRPr="00CF7AA5">
        <w:rPr>
          <w:lang w:val="en-GB"/>
        </w:rPr>
        <w:t>долар</w:t>
      </w:r>
      <w:proofErr w:type="spellEnd"/>
      <w:r w:rsidRPr="00CF7AA5">
        <w:rPr>
          <w:lang w:val="en-GB"/>
        </w:rPr>
        <w:t xml:space="preserve"> и </w:t>
      </w:r>
      <w:proofErr w:type="spellStart"/>
      <w:r w:rsidRPr="00CF7AA5">
        <w:rPr>
          <w:lang w:val="en-GB"/>
        </w:rPr>
        <w:t>обратно</w:t>
      </w:r>
      <w:proofErr w:type="spellEnd"/>
      <w:r w:rsidRPr="00CF7AA5">
        <w:rPr>
          <w:lang w:val="en-GB"/>
        </w:rPr>
        <w:t xml:space="preserve"> – </w:t>
      </w:r>
      <w:proofErr w:type="spellStart"/>
      <w:r w:rsidRPr="00CF7AA5">
        <w:rPr>
          <w:lang w:val="en-GB"/>
        </w:rPr>
        <w:t>към</w:t>
      </w:r>
      <w:proofErr w:type="spellEnd"/>
      <w:r w:rsidRPr="00CF7AA5">
        <w:rPr>
          <w:lang w:val="en-GB"/>
        </w:rPr>
        <w:t xml:space="preserve"> </w:t>
      </w:r>
      <w:proofErr w:type="spellStart"/>
      <w:r w:rsidRPr="00CF7AA5">
        <w:rPr>
          <w:lang w:val="en-GB"/>
        </w:rPr>
        <w:t>алтернативни</w:t>
      </w:r>
      <w:proofErr w:type="spellEnd"/>
      <w:r w:rsidRPr="00CF7AA5">
        <w:rPr>
          <w:lang w:val="en-GB"/>
        </w:rPr>
        <w:t xml:space="preserve"> </w:t>
      </w:r>
      <w:proofErr w:type="spellStart"/>
      <w:r w:rsidRPr="00CF7AA5">
        <w:rPr>
          <w:lang w:val="en-GB"/>
        </w:rPr>
        <w:t>инвестиции</w:t>
      </w:r>
      <w:proofErr w:type="spellEnd"/>
      <w:r w:rsidRPr="00CF7AA5">
        <w:rPr>
          <w:lang w:val="en-GB"/>
        </w:rPr>
        <w:t xml:space="preserve"> </w:t>
      </w:r>
      <w:proofErr w:type="spellStart"/>
      <w:r w:rsidRPr="00CF7AA5">
        <w:rPr>
          <w:lang w:val="en-GB"/>
        </w:rPr>
        <w:t>при</w:t>
      </w:r>
      <w:proofErr w:type="spellEnd"/>
      <w:r w:rsidRPr="00CF7AA5">
        <w:rPr>
          <w:lang w:val="en-GB"/>
        </w:rPr>
        <w:t xml:space="preserve"> </w:t>
      </w:r>
      <w:proofErr w:type="spellStart"/>
      <w:r w:rsidRPr="00CF7AA5">
        <w:rPr>
          <w:lang w:val="en-GB"/>
        </w:rPr>
        <w:t>неговото</w:t>
      </w:r>
      <w:proofErr w:type="spellEnd"/>
      <w:r w:rsidRPr="00CF7AA5">
        <w:rPr>
          <w:lang w:val="en-GB"/>
        </w:rPr>
        <w:t xml:space="preserve"> </w:t>
      </w:r>
      <w:proofErr w:type="spellStart"/>
      <w:r w:rsidRPr="00CF7AA5">
        <w:rPr>
          <w:lang w:val="en-GB"/>
        </w:rPr>
        <w:t>отслабване</w:t>
      </w:r>
      <w:proofErr w:type="spellEnd"/>
      <w:r w:rsidRPr="00CF7AA5">
        <w:rPr>
          <w:lang w:val="en-GB"/>
        </w:rPr>
        <w:t xml:space="preserve">. </w:t>
      </w:r>
      <w:proofErr w:type="spellStart"/>
      <w:r w:rsidRPr="00CF7AA5">
        <w:rPr>
          <w:lang w:val="en-GB"/>
        </w:rPr>
        <w:t>Този</w:t>
      </w:r>
      <w:proofErr w:type="spellEnd"/>
      <w:r w:rsidRPr="00CF7AA5">
        <w:rPr>
          <w:lang w:val="en-GB"/>
        </w:rPr>
        <w:t xml:space="preserve"> </w:t>
      </w:r>
      <w:proofErr w:type="spellStart"/>
      <w:r w:rsidRPr="00CF7AA5">
        <w:rPr>
          <w:lang w:val="en-GB"/>
        </w:rPr>
        <w:t>резултат</w:t>
      </w:r>
      <w:proofErr w:type="spellEnd"/>
      <w:r w:rsidRPr="00CF7AA5">
        <w:rPr>
          <w:lang w:val="en-GB"/>
        </w:rPr>
        <w:t xml:space="preserve"> </w:t>
      </w:r>
      <w:proofErr w:type="spellStart"/>
      <w:r w:rsidRPr="00CF7AA5">
        <w:rPr>
          <w:lang w:val="en-GB"/>
        </w:rPr>
        <w:t>потвърждава</w:t>
      </w:r>
      <w:proofErr w:type="spellEnd"/>
      <w:r w:rsidRPr="00CF7AA5">
        <w:rPr>
          <w:lang w:val="en-GB"/>
        </w:rPr>
        <w:t xml:space="preserve"> </w:t>
      </w:r>
      <w:proofErr w:type="spellStart"/>
      <w:r w:rsidRPr="00CF7AA5">
        <w:rPr>
          <w:lang w:val="en-GB"/>
        </w:rPr>
        <w:t>ролята</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криптоактивите</w:t>
      </w:r>
      <w:proofErr w:type="spellEnd"/>
      <w:r w:rsidRPr="00CF7AA5">
        <w:rPr>
          <w:lang w:val="en-GB"/>
        </w:rPr>
        <w:t xml:space="preserve"> </w:t>
      </w:r>
      <w:proofErr w:type="spellStart"/>
      <w:r w:rsidRPr="00CF7AA5">
        <w:rPr>
          <w:lang w:val="en-GB"/>
        </w:rPr>
        <w:t>като</w:t>
      </w:r>
      <w:proofErr w:type="spellEnd"/>
      <w:r w:rsidRPr="00CF7AA5">
        <w:rPr>
          <w:lang w:val="en-GB"/>
        </w:rPr>
        <w:t xml:space="preserve"> </w:t>
      </w:r>
      <w:proofErr w:type="spellStart"/>
      <w:r w:rsidRPr="00CF7AA5">
        <w:rPr>
          <w:lang w:val="en-GB"/>
        </w:rPr>
        <w:t>част</w:t>
      </w:r>
      <w:proofErr w:type="spellEnd"/>
      <w:r w:rsidRPr="00CF7AA5">
        <w:rPr>
          <w:lang w:val="en-GB"/>
        </w:rPr>
        <w:t xml:space="preserve"> </w:t>
      </w:r>
      <w:proofErr w:type="spellStart"/>
      <w:r w:rsidRPr="00CF7AA5">
        <w:rPr>
          <w:lang w:val="en-GB"/>
        </w:rPr>
        <w:t>от</w:t>
      </w:r>
      <w:proofErr w:type="spellEnd"/>
      <w:r w:rsidRPr="00CF7AA5">
        <w:rPr>
          <w:lang w:val="en-GB"/>
        </w:rPr>
        <w:t xml:space="preserve"> </w:t>
      </w:r>
      <w:proofErr w:type="spellStart"/>
      <w:r w:rsidRPr="00CF7AA5">
        <w:rPr>
          <w:lang w:val="en-GB"/>
        </w:rPr>
        <w:t>глобалната</w:t>
      </w:r>
      <w:proofErr w:type="spellEnd"/>
      <w:r w:rsidRPr="00CF7AA5">
        <w:rPr>
          <w:lang w:val="en-GB"/>
        </w:rPr>
        <w:t xml:space="preserve"> </w:t>
      </w:r>
      <w:proofErr w:type="spellStart"/>
      <w:r w:rsidRPr="00CF7AA5">
        <w:rPr>
          <w:lang w:val="en-GB"/>
        </w:rPr>
        <w:t>инвестиционна</w:t>
      </w:r>
      <w:proofErr w:type="spellEnd"/>
      <w:r w:rsidRPr="00CF7AA5">
        <w:rPr>
          <w:lang w:val="en-GB"/>
        </w:rPr>
        <w:t xml:space="preserve"> </w:t>
      </w:r>
      <w:proofErr w:type="spellStart"/>
      <w:r w:rsidRPr="00CF7AA5">
        <w:rPr>
          <w:lang w:val="en-GB"/>
        </w:rPr>
        <w:t>среда</w:t>
      </w:r>
      <w:proofErr w:type="spellEnd"/>
      <w:r w:rsidRPr="00CF7AA5">
        <w:rPr>
          <w:lang w:val="en-GB"/>
        </w:rPr>
        <w:t xml:space="preserve">, </w:t>
      </w:r>
      <w:proofErr w:type="spellStart"/>
      <w:r w:rsidRPr="00CF7AA5">
        <w:rPr>
          <w:lang w:val="en-GB"/>
        </w:rPr>
        <w:t>чувствителна</w:t>
      </w:r>
      <w:proofErr w:type="spellEnd"/>
      <w:r w:rsidRPr="00CF7AA5">
        <w:rPr>
          <w:lang w:val="en-GB"/>
        </w:rPr>
        <w:t xml:space="preserve"> </w:t>
      </w:r>
      <w:proofErr w:type="spellStart"/>
      <w:r w:rsidRPr="00CF7AA5">
        <w:rPr>
          <w:lang w:val="en-GB"/>
        </w:rPr>
        <w:t>към</w:t>
      </w:r>
      <w:proofErr w:type="spellEnd"/>
      <w:r w:rsidRPr="00CF7AA5">
        <w:rPr>
          <w:lang w:val="en-GB"/>
        </w:rPr>
        <w:t xml:space="preserve"> </w:t>
      </w:r>
      <w:proofErr w:type="spellStart"/>
      <w:r w:rsidRPr="00CF7AA5">
        <w:rPr>
          <w:lang w:val="en-GB"/>
        </w:rPr>
        <w:t>валутните</w:t>
      </w:r>
      <w:proofErr w:type="spellEnd"/>
      <w:r w:rsidRPr="00CF7AA5">
        <w:rPr>
          <w:lang w:val="en-GB"/>
        </w:rPr>
        <w:t xml:space="preserve"> </w:t>
      </w:r>
      <w:proofErr w:type="spellStart"/>
      <w:r w:rsidRPr="00CF7AA5">
        <w:rPr>
          <w:lang w:val="en-GB"/>
        </w:rPr>
        <w:t>колебания</w:t>
      </w:r>
      <w:proofErr w:type="spellEnd"/>
      <w:r w:rsidRPr="00CF7AA5">
        <w:rPr>
          <w:lang w:val="en-GB"/>
        </w:rPr>
        <w:t xml:space="preserve"> и </w:t>
      </w:r>
      <w:proofErr w:type="spellStart"/>
      <w:r w:rsidRPr="00CF7AA5">
        <w:rPr>
          <w:lang w:val="en-GB"/>
        </w:rPr>
        <w:t>международните</w:t>
      </w:r>
      <w:proofErr w:type="spellEnd"/>
      <w:r w:rsidRPr="00CF7AA5">
        <w:rPr>
          <w:lang w:val="en-GB"/>
        </w:rPr>
        <w:t xml:space="preserve"> </w:t>
      </w:r>
      <w:proofErr w:type="spellStart"/>
      <w:r w:rsidRPr="00CF7AA5">
        <w:rPr>
          <w:lang w:val="en-GB"/>
        </w:rPr>
        <w:t>финансови</w:t>
      </w:r>
      <w:proofErr w:type="spellEnd"/>
      <w:r w:rsidRPr="00CF7AA5">
        <w:rPr>
          <w:lang w:val="en-GB"/>
        </w:rPr>
        <w:t xml:space="preserve"> </w:t>
      </w:r>
      <w:proofErr w:type="spellStart"/>
      <w:r w:rsidRPr="00CF7AA5">
        <w:rPr>
          <w:lang w:val="en-GB"/>
        </w:rPr>
        <w:t>потоци</w:t>
      </w:r>
      <w:proofErr w:type="spellEnd"/>
      <w:r w:rsidRPr="00CF7AA5">
        <w:rPr>
          <w:lang w:val="en-GB"/>
        </w:rPr>
        <w:t>.</w:t>
      </w:r>
    </w:p>
    <w:p w14:paraId="0E145FB4" w14:textId="77777777" w:rsidR="00CF7AA5" w:rsidRPr="00CF7AA5" w:rsidRDefault="00CF7AA5" w:rsidP="00CF7AA5">
      <w:pPr>
        <w:spacing w:line="360" w:lineRule="auto"/>
        <w:ind w:firstLine="709"/>
        <w:jc w:val="both"/>
        <w:rPr>
          <w:lang w:val="en-GB"/>
        </w:rPr>
      </w:pPr>
      <w:proofErr w:type="spellStart"/>
      <w:r w:rsidRPr="00CF7AA5">
        <w:rPr>
          <w:lang w:val="en-GB"/>
        </w:rPr>
        <w:t>Многомерният</w:t>
      </w:r>
      <w:proofErr w:type="spellEnd"/>
      <w:r w:rsidRPr="00CF7AA5">
        <w:rPr>
          <w:lang w:val="en-GB"/>
        </w:rPr>
        <w:t xml:space="preserve"> </w:t>
      </w:r>
      <w:proofErr w:type="spellStart"/>
      <w:r w:rsidRPr="00CF7AA5">
        <w:rPr>
          <w:lang w:val="en-GB"/>
        </w:rPr>
        <w:t>регресионен</w:t>
      </w:r>
      <w:proofErr w:type="spellEnd"/>
      <w:r w:rsidRPr="00CF7AA5">
        <w:rPr>
          <w:lang w:val="en-GB"/>
        </w:rPr>
        <w:t xml:space="preserve"> </w:t>
      </w:r>
      <w:proofErr w:type="spellStart"/>
      <w:r w:rsidRPr="00CF7AA5">
        <w:rPr>
          <w:lang w:val="en-GB"/>
        </w:rPr>
        <w:t>модел</w:t>
      </w:r>
      <w:proofErr w:type="spellEnd"/>
      <w:r w:rsidRPr="00CF7AA5">
        <w:rPr>
          <w:lang w:val="en-GB"/>
        </w:rPr>
        <w:t xml:space="preserve"> </w:t>
      </w:r>
      <w:proofErr w:type="spellStart"/>
      <w:r w:rsidRPr="00CF7AA5">
        <w:rPr>
          <w:lang w:val="en-GB"/>
        </w:rPr>
        <w:t>допълнително</w:t>
      </w:r>
      <w:proofErr w:type="spellEnd"/>
      <w:r w:rsidRPr="00CF7AA5">
        <w:rPr>
          <w:lang w:val="en-GB"/>
        </w:rPr>
        <w:t xml:space="preserve"> </w:t>
      </w:r>
      <w:proofErr w:type="spellStart"/>
      <w:r w:rsidRPr="00CF7AA5">
        <w:rPr>
          <w:lang w:val="en-GB"/>
        </w:rPr>
        <w:t>потвърждава</w:t>
      </w:r>
      <w:proofErr w:type="spellEnd"/>
      <w:r w:rsidRPr="00CF7AA5">
        <w:rPr>
          <w:lang w:val="en-GB"/>
        </w:rPr>
        <w:t xml:space="preserve"> </w:t>
      </w:r>
      <w:proofErr w:type="spellStart"/>
      <w:r w:rsidRPr="00CF7AA5">
        <w:rPr>
          <w:lang w:val="en-GB"/>
        </w:rPr>
        <w:t>значимостта</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разглежданите</w:t>
      </w:r>
      <w:proofErr w:type="spellEnd"/>
      <w:r w:rsidRPr="00CF7AA5">
        <w:rPr>
          <w:lang w:val="en-GB"/>
        </w:rPr>
        <w:t xml:space="preserve"> </w:t>
      </w:r>
      <w:proofErr w:type="spellStart"/>
      <w:r w:rsidRPr="00CF7AA5">
        <w:rPr>
          <w:lang w:val="en-GB"/>
        </w:rPr>
        <w:t>фактори</w:t>
      </w:r>
      <w:proofErr w:type="spellEnd"/>
      <w:r w:rsidRPr="00CF7AA5">
        <w:rPr>
          <w:lang w:val="en-GB"/>
        </w:rPr>
        <w:t xml:space="preserve">, </w:t>
      </w:r>
      <w:proofErr w:type="spellStart"/>
      <w:r w:rsidRPr="00CF7AA5">
        <w:rPr>
          <w:lang w:val="en-GB"/>
        </w:rPr>
        <w:t>като</w:t>
      </w:r>
      <w:proofErr w:type="spellEnd"/>
      <w:r w:rsidRPr="00CF7AA5">
        <w:rPr>
          <w:lang w:val="en-GB"/>
        </w:rPr>
        <w:t xml:space="preserve"> </w:t>
      </w:r>
      <w:proofErr w:type="spellStart"/>
      <w:r w:rsidRPr="00CF7AA5">
        <w:rPr>
          <w:lang w:val="en-GB"/>
        </w:rPr>
        <w:t>показва</w:t>
      </w:r>
      <w:proofErr w:type="spellEnd"/>
      <w:r w:rsidRPr="00CF7AA5">
        <w:rPr>
          <w:lang w:val="en-GB"/>
        </w:rPr>
        <w:t xml:space="preserve">, </w:t>
      </w:r>
      <w:proofErr w:type="spellStart"/>
      <w:r w:rsidRPr="00CF7AA5">
        <w:rPr>
          <w:lang w:val="en-GB"/>
        </w:rPr>
        <w:t>че</w:t>
      </w:r>
      <w:proofErr w:type="spellEnd"/>
      <w:r w:rsidRPr="00CF7AA5">
        <w:rPr>
          <w:lang w:val="en-GB"/>
        </w:rPr>
        <w:t xml:space="preserve"> </w:t>
      </w:r>
      <w:proofErr w:type="spellStart"/>
      <w:r w:rsidRPr="00CF7AA5">
        <w:rPr>
          <w:lang w:val="en-GB"/>
        </w:rPr>
        <w:t>те</w:t>
      </w:r>
      <w:proofErr w:type="spellEnd"/>
      <w:r w:rsidRPr="00CF7AA5">
        <w:rPr>
          <w:lang w:val="en-GB"/>
        </w:rPr>
        <w:t xml:space="preserve"> </w:t>
      </w:r>
      <w:proofErr w:type="spellStart"/>
      <w:r w:rsidRPr="00CF7AA5">
        <w:rPr>
          <w:lang w:val="en-GB"/>
        </w:rPr>
        <w:t>съвместно</w:t>
      </w:r>
      <w:proofErr w:type="spellEnd"/>
      <w:r w:rsidRPr="00CF7AA5">
        <w:rPr>
          <w:lang w:val="en-GB"/>
        </w:rPr>
        <w:t xml:space="preserve"> </w:t>
      </w:r>
      <w:proofErr w:type="spellStart"/>
      <w:r w:rsidRPr="00CF7AA5">
        <w:rPr>
          <w:lang w:val="en-GB"/>
        </w:rPr>
        <w:t>обясняват</w:t>
      </w:r>
      <w:proofErr w:type="spellEnd"/>
      <w:r w:rsidRPr="00CF7AA5">
        <w:rPr>
          <w:lang w:val="en-GB"/>
        </w:rPr>
        <w:t xml:space="preserve"> </w:t>
      </w:r>
      <w:proofErr w:type="spellStart"/>
      <w:r w:rsidRPr="00CF7AA5">
        <w:rPr>
          <w:lang w:val="en-GB"/>
        </w:rPr>
        <w:t>значителна</w:t>
      </w:r>
      <w:proofErr w:type="spellEnd"/>
      <w:r w:rsidRPr="00CF7AA5">
        <w:rPr>
          <w:lang w:val="en-GB"/>
        </w:rPr>
        <w:t xml:space="preserve"> </w:t>
      </w:r>
      <w:proofErr w:type="spellStart"/>
      <w:r w:rsidRPr="00CF7AA5">
        <w:rPr>
          <w:lang w:val="en-GB"/>
        </w:rPr>
        <w:t>част</w:t>
      </w:r>
      <w:proofErr w:type="spellEnd"/>
      <w:r w:rsidRPr="00CF7AA5">
        <w:rPr>
          <w:lang w:val="en-GB"/>
        </w:rPr>
        <w:t xml:space="preserve"> </w:t>
      </w:r>
      <w:proofErr w:type="spellStart"/>
      <w:r w:rsidRPr="00CF7AA5">
        <w:rPr>
          <w:lang w:val="en-GB"/>
        </w:rPr>
        <w:t>от</w:t>
      </w:r>
      <w:proofErr w:type="spellEnd"/>
      <w:r w:rsidRPr="00CF7AA5">
        <w:rPr>
          <w:lang w:val="en-GB"/>
        </w:rPr>
        <w:t xml:space="preserve"> </w:t>
      </w:r>
      <w:proofErr w:type="spellStart"/>
      <w:r w:rsidRPr="00CF7AA5">
        <w:rPr>
          <w:lang w:val="en-GB"/>
        </w:rPr>
        <w:t>вариацията</w:t>
      </w:r>
      <w:proofErr w:type="spellEnd"/>
      <w:r w:rsidRPr="00CF7AA5">
        <w:rPr>
          <w:lang w:val="en-GB"/>
        </w:rPr>
        <w:t xml:space="preserve"> в </w:t>
      </w:r>
      <w:proofErr w:type="spellStart"/>
      <w:r w:rsidRPr="00CF7AA5">
        <w:rPr>
          <w:lang w:val="en-GB"/>
        </w:rPr>
        <w:t>доходността</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биткойн</w:t>
      </w:r>
      <w:proofErr w:type="spellEnd"/>
      <w:r w:rsidRPr="00CF7AA5">
        <w:rPr>
          <w:lang w:val="en-GB"/>
        </w:rPr>
        <w:t xml:space="preserve">. </w:t>
      </w:r>
      <w:proofErr w:type="spellStart"/>
      <w:r w:rsidRPr="00CF7AA5">
        <w:rPr>
          <w:lang w:val="en-GB"/>
        </w:rPr>
        <w:t>Особено</w:t>
      </w:r>
      <w:proofErr w:type="spellEnd"/>
      <w:r w:rsidRPr="00CF7AA5">
        <w:rPr>
          <w:lang w:val="en-GB"/>
        </w:rPr>
        <w:t xml:space="preserve"> </w:t>
      </w:r>
      <w:proofErr w:type="spellStart"/>
      <w:r w:rsidRPr="00CF7AA5">
        <w:rPr>
          <w:lang w:val="en-GB"/>
        </w:rPr>
        <w:t>важно</w:t>
      </w:r>
      <w:proofErr w:type="spellEnd"/>
      <w:r w:rsidRPr="00CF7AA5">
        <w:rPr>
          <w:lang w:val="en-GB"/>
        </w:rPr>
        <w:t xml:space="preserve"> е, </w:t>
      </w:r>
      <w:proofErr w:type="spellStart"/>
      <w:r w:rsidRPr="00CF7AA5">
        <w:rPr>
          <w:lang w:val="en-GB"/>
        </w:rPr>
        <w:t>че</w:t>
      </w:r>
      <w:proofErr w:type="spellEnd"/>
      <w:r w:rsidRPr="00CF7AA5">
        <w:rPr>
          <w:lang w:val="en-GB"/>
        </w:rPr>
        <w:t xml:space="preserve"> </w:t>
      </w:r>
      <w:proofErr w:type="spellStart"/>
      <w:r w:rsidRPr="00CF7AA5">
        <w:rPr>
          <w:lang w:val="en-GB"/>
        </w:rPr>
        <w:t>при</w:t>
      </w:r>
      <w:proofErr w:type="spellEnd"/>
      <w:r w:rsidRPr="00CF7AA5">
        <w:rPr>
          <w:lang w:val="en-GB"/>
        </w:rPr>
        <w:t xml:space="preserve"> </w:t>
      </w:r>
      <w:proofErr w:type="spellStart"/>
      <w:r w:rsidRPr="00CF7AA5">
        <w:rPr>
          <w:lang w:val="en-GB"/>
        </w:rPr>
        <w:t>включването</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няколко</w:t>
      </w:r>
      <w:proofErr w:type="spellEnd"/>
      <w:r w:rsidRPr="00CF7AA5">
        <w:rPr>
          <w:lang w:val="en-GB"/>
        </w:rPr>
        <w:t xml:space="preserve"> </w:t>
      </w:r>
      <w:proofErr w:type="spellStart"/>
      <w:r w:rsidRPr="00CF7AA5">
        <w:rPr>
          <w:lang w:val="en-GB"/>
        </w:rPr>
        <w:t>променливи</w:t>
      </w:r>
      <w:proofErr w:type="spellEnd"/>
      <w:r w:rsidRPr="00CF7AA5">
        <w:rPr>
          <w:lang w:val="en-GB"/>
        </w:rPr>
        <w:t xml:space="preserve"> </w:t>
      </w:r>
      <w:proofErr w:type="spellStart"/>
      <w:r w:rsidRPr="00CF7AA5">
        <w:rPr>
          <w:lang w:val="en-GB"/>
        </w:rPr>
        <w:t>едновременно</w:t>
      </w:r>
      <w:proofErr w:type="spellEnd"/>
      <w:r w:rsidRPr="00CF7AA5">
        <w:rPr>
          <w:lang w:val="en-GB"/>
        </w:rPr>
        <w:t xml:space="preserve"> </w:t>
      </w:r>
      <w:proofErr w:type="spellStart"/>
      <w:r w:rsidRPr="00CF7AA5">
        <w:rPr>
          <w:lang w:val="en-GB"/>
        </w:rPr>
        <w:t>се</w:t>
      </w:r>
      <w:proofErr w:type="spellEnd"/>
      <w:r w:rsidRPr="00CF7AA5">
        <w:rPr>
          <w:lang w:val="en-GB"/>
        </w:rPr>
        <w:t xml:space="preserve"> </w:t>
      </w:r>
      <w:proofErr w:type="spellStart"/>
      <w:r w:rsidRPr="00CF7AA5">
        <w:rPr>
          <w:lang w:val="en-GB"/>
        </w:rPr>
        <w:t>наблюдава</w:t>
      </w:r>
      <w:proofErr w:type="spellEnd"/>
      <w:r w:rsidRPr="00CF7AA5">
        <w:rPr>
          <w:lang w:val="en-GB"/>
        </w:rPr>
        <w:t xml:space="preserve"> </w:t>
      </w:r>
      <w:proofErr w:type="spellStart"/>
      <w:r w:rsidRPr="00CF7AA5">
        <w:rPr>
          <w:lang w:val="en-GB"/>
        </w:rPr>
        <w:t>намаляване</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индивидуалното</w:t>
      </w:r>
      <w:proofErr w:type="spellEnd"/>
      <w:r w:rsidRPr="00CF7AA5">
        <w:rPr>
          <w:lang w:val="en-GB"/>
        </w:rPr>
        <w:t xml:space="preserve"> </w:t>
      </w:r>
      <w:proofErr w:type="spellStart"/>
      <w:r w:rsidRPr="00CF7AA5">
        <w:rPr>
          <w:lang w:val="en-GB"/>
        </w:rPr>
        <w:t>влияние</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инфлацията</w:t>
      </w:r>
      <w:proofErr w:type="spellEnd"/>
      <w:r w:rsidRPr="00CF7AA5">
        <w:rPr>
          <w:lang w:val="en-GB"/>
        </w:rPr>
        <w:t xml:space="preserve">, </w:t>
      </w:r>
      <w:proofErr w:type="spellStart"/>
      <w:r w:rsidRPr="00CF7AA5">
        <w:rPr>
          <w:lang w:val="en-GB"/>
        </w:rPr>
        <w:t>което</w:t>
      </w:r>
      <w:proofErr w:type="spellEnd"/>
      <w:r w:rsidRPr="00CF7AA5">
        <w:rPr>
          <w:lang w:val="en-GB"/>
        </w:rPr>
        <w:t xml:space="preserve"> </w:t>
      </w:r>
      <w:proofErr w:type="spellStart"/>
      <w:r w:rsidRPr="00CF7AA5">
        <w:rPr>
          <w:lang w:val="en-GB"/>
        </w:rPr>
        <w:t>подкрепя</w:t>
      </w:r>
      <w:proofErr w:type="spellEnd"/>
      <w:r w:rsidRPr="00CF7AA5">
        <w:rPr>
          <w:lang w:val="en-GB"/>
        </w:rPr>
        <w:t xml:space="preserve"> </w:t>
      </w:r>
      <w:proofErr w:type="spellStart"/>
      <w:r w:rsidRPr="00CF7AA5">
        <w:rPr>
          <w:lang w:val="en-GB"/>
        </w:rPr>
        <w:t>тезата</w:t>
      </w:r>
      <w:proofErr w:type="spellEnd"/>
      <w:r w:rsidRPr="00CF7AA5">
        <w:rPr>
          <w:lang w:val="en-GB"/>
        </w:rPr>
        <w:t xml:space="preserve"> </w:t>
      </w:r>
      <w:proofErr w:type="spellStart"/>
      <w:r w:rsidRPr="00CF7AA5">
        <w:rPr>
          <w:lang w:val="en-GB"/>
        </w:rPr>
        <w:t>за</w:t>
      </w:r>
      <w:proofErr w:type="spellEnd"/>
      <w:r w:rsidRPr="00CF7AA5">
        <w:rPr>
          <w:lang w:val="en-GB"/>
        </w:rPr>
        <w:t xml:space="preserve"> </w:t>
      </w:r>
      <w:proofErr w:type="spellStart"/>
      <w:r w:rsidRPr="00CF7AA5">
        <w:rPr>
          <w:lang w:val="en-GB"/>
        </w:rPr>
        <w:t>нейното</w:t>
      </w:r>
      <w:proofErr w:type="spellEnd"/>
      <w:r w:rsidRPr="00CF7AA5">
        <w:rPr>
          <w:lang w:val="en-GB"/>
        </w:rPr>
        <w:t xml:space="preserve"> </w:t>
      </w:r>
      <w:proofErr w:type="spellStart"/>
      <w:r w:rsidRPr="00CF7AA5">
        <w:rPr>
          <w:lang w:val="en-GB"/>
        </w:rPr>
        <w:t>косвено</w:t>
      </w:r>
      <w:proofErr w:type="spellEnd"/>
      <w:r w:rsidRPr="00CF7AA5">
        <w:rPr>
          <w:lang w:val="en-GB"/>
        </w:rPr>
        <w:t xml:space="preserve"> </w:t>
      </w:r>
      <w:proofErr w:type="spellStart"/>
      <w:r w:rsidRPr="00CF7AA5">
        <w:rPr>
          <w:lang w:val="en-GB"/>
        </w:rPr>
        <w:t>въздействие</w:t>
      </w:r>
      <w:proofErr w:type="spellEnd"/>
      <w:r w:rsidRPr="00CF7AA5">
        <w:rPr>
          <w:lang w:val="en-GB"/>
        </w:rPr>
        <w:t xml:space="preserve">. В </w:t>
      </w:r>
      <w:proofErr w:type="spellStart"/>
      <w:r w:rsidRPr="00CF7AA5">
        <w:rPr>
          <w:lang w:val="en-GB"/>
        </w:rPr>
        <w:t>същото</w:t>
      </w:r>
      <w:proofErr w:type="spellEnd"/>
      <w:r w:rsidRPr="00CF7AA5">
        <w:rPr>
          <w:lang w:val="en-GB"/>
        </w:rPr>
        <w:t xml:space="preserve"> </w:t>
      </w:r>
      <w:proofErr w:type="spellStart"/>
      <w:r w:rsidRPr="00CF7AA5">
        <w:rPr>
          <w:lang w:val="en-GB"/>
        </w:rPr>
        <w:t>време</w:t>
      </w:r>
      <w:proofErr w:type="spellEnd"/>
      <w:r w:rsidRPr="00CF7AA5">
        <w:rPr>
          <w:lang w:val="en-GB"/>
        </w:rPr>
        <w:t xml:space="preserve"> </w:t>
      </w:r>
      <w:proofErr w:type="spellStart"/>
      <w:r w:rsidRPr="00CF7AA5">
        <w:rPr>
          <w:lang w:val="en-GB"/>
        </w:rPr>
        <w:t>лихвеният</w:t>
      </w:r>
      <w:proofErr w:type="spellEnd"/>
      <w:r w:rsidRPr="00CF7AA5">
        <w:rPr>
          <w:lang w:val="en-GB"/>
        </w:rPr>
        <w:t xml:space="preserve"> </w:t>
      </w:r>
      <w:proofErr w:type="spellStart"/>
      <w:r w:rsidRPr="00CF7AA5">
        <w:rPr>
          <w:lang w:val="en-GB"/>
        </w:rPr>
        <w:t>процент</w:t>
      </w:r>
      <w:proofErr w:type="spellEnd"/>
      <w:r w:rsidRPr="00CF7AA5">
        <w:rPr>
          <w:lang w:val="en-GB"/>
        </w:rPr>
        <w:t xml:space="preserve"> </w:t>
      </w:r>
      <w:proofErr w:type="spellStart"/>
      <w:r w:rsidRPr="00CF7AA5">
        <w:rPr>
          <w:lang w:val="en-GB"/>
        </w:rPr>
        <w:t>запазва</w:t>
      </w:r>
      <w:proofErr w:type="spellEnd"/>
      <w:r w:rsidRPr="00CF7AA5">
        <w:rPr>
          <w:lang w:val="en-GB"/>
        </w:rPr>
        <w:t xml:space="preserve"> </w:t>
      </w:r>
      <w:proofErr w:type="spellStart"/>
      <w:r w:rsidRPr="00CF7AA5">
        <w:rPr>
          <w:lang w:val="en-GB"/>
        </w:rPr>
        <w:t>водещата</w:t>
      </w:r>
      <w:proofErr w:type="spellEnd"/>
      <w:r w:rsidRPr="00CF7AA5">
        <w:rPr>
          <w:lang w:val="en-GB"/>
        </w:rPr>
        <w:t xml:space="preserve"> </w:t>
      </w:r>
      <w:proofErr w:type="spellStart"/>
      <w:r w:rsidRPr="00CF7AA5">
        <w:rPr>
          <w:lang w:val="en-GB"/>
        </w:rPr>
        <w:t>си</w:t>
      </w:r>
      <w:proofErr w:type="spellEnd"/>
      <w:r w:rsidRPr="00CF7AA5">
        <w:rPr>
          <w:lang w:val="en-GB"/>
        </w:rPr>
        <w:t xml:space="preserve"> </w:t>
      </w:r>
      <w:proofErr w:type="spellStart"/>
      <w:r w:rsidRPr="00CF7AA5">
        <w:rPr>
          <w:lang w:val="en-GB"/>
        </w:rPr>
        <w:t>роля</w:t>
      </w:r>
      <w:proofErr w:type="spellEnd"/>
      <w:r w:rsidRPr="00CF7AA5">
        <w:rPr>
          <w:lang w:val="en-GB"/>
        </w:rPr>
        <w:t xml:space="preserve">, а </w:t>
      </w:r>
      <w:proofErr w:type="spellStart"/>
      <w:r w:rsidRPr="00CF7AA5">
        <w:rPr>
          <w:lang w:val="en-GB"/>
        </w:rPr>
        <w:t>валутният</w:t>
      </w:r>
      <w:proofErr w:type="spellEnd"/>
      <w:r w:rsidRPr="00CF7AA5">
        <w:rPr>
          <w:lang w:val="en-GB"/>
        </w:rPr>
        <w:t xml:space="preserve"> </w:t>
      </w:r>
      <w:proofErr w:type="spellStart"/>
      <w:r w:rsidRPr="00CF7AA5">
        <w:rPr>
          <w:lang w:val="en-GB"/>
        </w:rPr>
        <w:t>индекс</w:t>
      </w:r>
      <w:proofErr w:type="spellEnd"/>
      <w:r w:rsidRPr="00CF7AA5">
        <w:rPr>
          <w:lang w:val="en-GB"/>
        </w:rPr>
        <w:t xml:space="preserve"> </w:t>
      </w:r>
      <w:proofErr w:type="spellStart"/>
      <w:r w:rsidRPr="00CF7AA5">
        <w:rPr>
          <w:lang w:val="en-GB"/>
        </w:rPr>
        <w:t>остава</w:t>
      </w:r>
      <w:proofErr w:type="spellEnd"/>
      <w:r w:rsidRPr="00CF7AA5">
        <w:rPr>
          <w:lang w:val="en-GB"/>
        </w:rPr>
        <w:t xml:space="preserve"> </w:t>
      </w:r>
      <w:proofErr w:type="spellStart"/>
      <w:r w:rsidRPr="00CF7AA5">
        <w:rPr>
          <w:lang w:val="en-GB"/>
        </w:rPr>
        <w:t>съществен</w:t>
      </w:r>
      <w:proofErr w:type="spellEnd"/>
      <w:r w:rsidRPr="00CF7AA5">
        <w:rPr>
          <w:lang w:val="en-GB"/>
        </w:rPr>
        <w:t xml:space="preserve"> </w:t>
      </w:r>
      <w:proofErr w:type="spellStart"/>
      <w:r w:rsidRPr="00CF7AA5">
        <w:rPr>
          <w:lang w:val="en-GB"/>
        </w:rPr>
        <w:lastRenderedPageBreak/>
        <w:t>фактор</w:t>
      </w:r>
      <w:proofErr w:type="spellEnd"/>
      <w:r w:rsidRPr="00CF7AA5">
        <w:rPr>
          <w:lang w:val="en-GB"/>
        </w:rPr>
        <w:t xml:space="preserve">, </w:t>
      </w:r>
      <w:proofErr w:type="spellStart"/>
      <w:r w:rsidRPr="00CF7AA5">
        <w:rPr>
          <w:lang w:val="en-GB"/>
        </w:rPr>
        <w:t>което</w:t>
      </w:r>
      <w:proofErr w:type="spellEnd"/>
      <w:r w:rsidRPr="00CF7AA5">
        <w:rPr>
          <w:lang w:val="en-GB"/>
        </w:rPr>
        <w:t xml:space="preserve"> </w:t>
      </w:r>
      <w:proofErr w:type="spellStart"/>
      <w:r w:rsidRPr="00CF7AA5">
        <w:rPr>
          <w:lang w:val="en-GB"/>
        </w:rPr>
        <w:t>потвърждава</w:t>
      </w:r>
      <w:proofErr w:type="spellEnd"/>
      <w:r w:rsidRPr="00CF7AA5">
        <w:rPr>
          <w:lang w:val="en-GB"/>
        </w:rPr>
        <w:t xml:space="preserve">, </w:t>
      </w:r>
      <w:proofErr w:type="spellStart"/>
      <w:r w:rsidRPr="00CF7AA5">
        <w:rPr>
          <w:lang w:val="en-GB"/>
        </w:rPr>
        <w:t>че</w:t>
      </w:r>
      <w:proofErr w:type="spellEnd"/>
      <w:r w:rsidRPr="00CF7AA5">
        <w:rPr>
          <w:lang w:val="en-GB"/>
        </w:rPr>
        <w:t xml:space="preserve"> </w:t>
      </w:r>
      <w:proofErr w:type="spellStart"/>
      <w:r w:rsidRPr="00CF7AA5">
        <w:rPr>
          <w:lang w:val="en-GB"/>
        </w:rPr>
        <w:t>паричната</w:t>
      </w:r>
      <w:proofErr w:type="spellEnd"/>
      <w:r w:rsidRPr="00CF7AA5">
        <w:rPr>
          <w:lang w:val="en-GB"/>
        </w:rPr>
        <w:t xml:space="preserve"> </w:t>
      </w:r>
      <w:proofErr w:type="spellStart"/>
      <w:r w:rsidRPr="00CF7AA5">
        <w:rPr>
          <w:lang w:val="en-GB"/>
        </w:rPr>
        <w:t>политика</w:t>
      </w:r>
      <w:proofErr w:type="spellEnd"/>
      <w:r w:rsidRPr="00CF7AA5">
        <w:rPr>
          <w:lang w:val="en-GB"/>
        </w:rPr>
        <w:t xml:space="preserve"> и </w:t>
      </w:r>
      <w:proofErr w:type="spellStart"/>
      <w:r w:rsidRPr="00CF7AA5">
        <w:rPr>
          <w:lang w:val="en-GB"/>
        </w:rPr>
        <w:t>глобалната</w:t>
      </w:r>
      <w:proofErr w:type="spellEnd"/>
      <w:r w:rsidRPr="00CF7AA5">
        <w:rPr>
          <w:lang w:val="en-GB"/>
        </w:rPr>
        <w:t xml:space="preserve"> </w:t>
      </w:r>
      <w:proofErr w:type="spellStart"/>
      <w:r w:rsidRPr="00CF7AA5">
        <w:rPr>
          <w:lang w:val="en-GB"/>
        </w:rPr>
        <w:t>финансова</w:t>
      </w:r>
      <w:proofErr w:type="spellEnd"/>
      <w:r w:rsidRPr="00CF7AA5">
        <w:rPr>
          <w:lang w:val="en-GB"/>
        </w:rPr>
        <w:t xml:space="preserve"> </w:t>
      </w:r>
      <w:proofErr w:type="spellStart"/>
      <w:r w:rsidRPr="00CF7AA5">
        <w:rPr>
          <w:lang w:val="en-GB"/>
        </w:rPr>
        <w:t>среда</w:t>
      </w:r>
      <w:proofErr w:type="spellEnd"/>
      <w:r w:rsidRPr="00CF7AA5">
        <w:rPr>
          <w:lang w:val="en-GB"/>
        </w:rPr>
        <w:t xml:space="preserve"> </w:t>
      </w:r>
      <w:proofErr w:type="spellStart"/>
      <w:r w:rsidRPr="00CF7AA5">
        <w:rPr>
          <w:lang w:val="en-GB"/>
        </w:rPr>
        <w:t>са</w:t>
      </w:r>
      <w:proofErr w:type="spellEnd"/>
      <w:r w:rsidRPr="00CF7AA5">
        <w:rPr>
          <w:lang w:val="en-GB"/>
        </w:rPr>
        <w:t xml:space="preserve"> </w:t>
      </w:r>
      <w:proofErr w:type="spellStart"/>
      <w:r w:rsidRPr="00CF7AA5">
        <w:rPr>
          <w:lang w:val="en-GB"/>
        </w:rPr>
        <w:t>ключови</w:t>
      </w:r>
      <w:proofErr w:type="spellEnd"/>
      <w:r w:rsidRPr="00CF7AA5">
        <w:rPr>
          <w:lang w:val="en-GB"/>
        </w:rPr>
        <w:t xml:space="preserve"> </w:t>
      </w:r>
      <w:proofErr w:type="spellStart"/>
      <w:r w:rsidRPr="00CF7AA5">
        <w:rPr>
          <w:lang w:val="en-GB"/>
        </w:rPr>
        <w:t>детерминанти</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криптопазара</w:t>
      </w:r>
      <w:proofErr w:type="spellEnd"/>
      <w:r w:rsidRPr="00CF7AA5">
        <w:rPr>
          <w:lang w:val="en-GB"/>
        </w:rPr>
        <w:t>.</w:t>
      </w:r>
    </w:p>
    <w:p w14:paraId="3EA824B4" w14:textId="77777777" w:rsidR="00CF7AA5" w:rsidRPr="00CF7AA5" w:rsidRDefault="00CF7AA5" w:rsidP="00CF7AA5">
      <w:pPr>
        <w:spacing w:line="360" w:lineRule="auto"/>
        <w:ind w:firstLine="709"/>
        <w:jc w:val="both"/>
        <w:rPr>
          <w:lang w:val="en-GB"/>
        </w:rPr>
      </w:pPr>
      <w:proofErr w:type="spellStart"/>
      <w:r w:rsidRPr="00CF7AA5">
        <w:rPr>
          <w:lang w:val="en-GB"/>
        </w:rPr>
        <w:t>Въз</w:t>
      </w:r>
      <w:proofErr w:type="spellEnd"/>
      <w:r w:rsidRPr="00CF7AA5">
        <w:rPr>
          <w:lang w:val="en-GB"/>
        </w:rPr>
        <w:t xml:space="preserve"> </w:t>
      </w:r>
      <w:proofErr w:type="spellStart"/>
      <w:r w:rsidRPr="00CF7AA5">
        <w:rPr>
          <w:lang w:val="en-GB"/>
        </w:rPr>
        <w:t>основа</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всички</w:t>
      </w:r>
      <w:proofErr w:type="spellEnd"/>
      <w:r w:rsidRPr="00CF7AA5">
        <w:rPr>
          <w:lang w:val="en-GB"/>
        </w:rPr>
        <w:t xml:space="preserve"> </w:t>
      </w:r>
      <w:proofErr w:type="spellStart"/>
      <w:r w:rsidRPr="00CF7AA5">
        <w:rPr>
          <w:lang w:val="en-GB"/>
        </w:rPr>
        <w:t>получени</w:t>
      </w:r>
      <w:proofErr w:type="spellEnd"/>
      <w:r w:rsidRPr="00CF7AA5">
        <w:rPr>
          <w:lang w:val="en-GB"/>
        </w:rPr>
        <w:t xml:space="preserve"> </w:t>
      </w:r>
      <w:proofErr w:type="spellStart"/>
      <w:r w:rsidRPr="00CF7AA5">
        <w:rPr>
          <w:lang w:val="en-GB"/>
        </w:rPr>
        <w:t>резултати</w:t>
      </w:r>
      <w:proofErr w:type="spellEnd"/>
      <w:r w:rsidRPr="00CF7AA5">
        <w:rPr>
          <w:lang w:val="en-GB"/>
        </w:rPr>
        <w:t xml:space="preserve"> </w:t>
      </w:r>
      <w:proofErr w:type="spellStart"/>
      <w:r w:rsidRPr="00CF7AA5">
        <w:rPr>
          <w:lang w:val="en-GB"/>
        </w:rPr>
        <w:t>може</w:t>
      </w:r>
      <w:proofErr w:type="spellEnd"/>
      <w:r w:rsidRPr="00CF7AA5">
        <w:rPr>
          <w:lang w:val="en-GB"/>
        </w:rPr>
        <w:t xml:space="preserve"> </w:t>
      </w:r>
      <w:proofErr w:type="spellStart"/>
      <w:r w:rsidRPr="00CF7AA5">
        <w:rPr>
          <w:lang w:val="en-GB"/>
        </w:rPr>
        <w:t>да</w:t>
      </w:r>
      <w:proofErr w:type="spellEnd"/>
      <w:r w:rsidRPr="00CF7AA5">
        <w:rPr>
          <w:lang w:val="en-GB"/>
        </w:rPr>
        <w:t xml:space="preserve"> </w:t>
      </w:r>
      <w:proofErr w:type="spellStart"/>
      <w:r w:rsidRPr="00CF7AA5">
        <w:rPr>
          <w:lang w:val="en-GB"/>
        </w:rPr>
        <w:t>се</w:t>
      </w:r>
      <w:proofErr w:type="spellEnd"/>
      <w:r w:rsidRPr="00CF7AA5">
        <w:rPr>
          <w:lang w:val="en-GB"/>
        </w:rPr>
        <w:t xml:space="preserve"> </w:t>
      </w:r>
      <w:proofErr w:type="spellStart"/>
      <w:r w:rsidRPr="00CF7AA5">
        <w:rPr>
          <w:lang w:val="en-GB"/>
        </w:rPr>
        <w:t>направи</w:t>
      </w:r>
      <w:proofErr w:type="spellEnd"/>
      <w:r w:rsidRPr="00CF7AA5">
        <w:rPr>
          <w:lang w:val="en-GB"/>
        </w:rPr>
        <w:t xml:space="preserve"> </w:t>
      </w:r>
      <w:proofErr w:type="spellStart"/>
      <w:r w:rsidRPr="00CF7AA5">
        <w:rPr>
          <w:lang w:val="en-GB"/>
        </w:rPr>
        <w:t>обобщеният</w:t>
      </w:r>
      <w:proofErr w:type="spellEnd"/>
      <w:r w:rsidRPr="00CF7AA5">
        <w:rPr>
          <w:lang w:val="en-GB"/>
        </w:rPr>
        <w:t xml:space="preserve"> </w:t>
      </w:r>
      <w:proofErr w:type="spellStart"/>
      <w:r w:rsidRPr="00CF7AA5">
        <w:rPr>
          <w:lang w:val="en-GB"/>
        </w:rPr>
        <w:t>извод</w:t>
      </w:r>
      <w:proofErr w:type="spellEnd"/>
      <w:r w:rsidRPr="00CF7AA5">
        <w:rPr>
          <w:lang w:val="en-GB"/>
        </w:rPr>
        <w:t xml:space="preserve">, </w:t>
      </w:r>
      <w:proofErr w:type="spellStart"/>
      <w:r w:rsidRPr="00CF7AA5">
        <w:rPr>
          <w:lang w:val="en-GB"/>
        </w:rPr>
        <w:t>че</w:t>
      </w:r>
      <w:proofErr w:type="spellEnd"/>
      <w:r w:rsidRPr="00CF7AA5">
        <w:rPr>
          <w:lang w:val="en-GB"/>
        </w:rPr>
        <w:t xml:space="preserve"> </w:t>
      </w:r>
      <w:proofErr w:type="spellStart"/>
      <w:r w:rsidRPr="00CF7AA5">
        <w:rPr>
          <w:lang w:val="en-GB"/>
        </w:rPr>
        <w:t>поведението</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биткойн</w:t>
      </w:r>
      <w:proofErr w:type="spellEnd"/>
      <w:r w:rsidRPr="00CF7AA5">
        <w:rPr>
          <w:lang w:val="en-GB"/>
        </w:rPr>
        <w:t xml:space="preserve"> </w:t>
      </w:r>
      <w:proofErr w:type="spellStart"/>
      <w:r w:rsidRPr="00CF7AA5">
        <w:rPr>
          <w:lang w:val="en-GB"/>
        </w:rPr>
        <w:t>през</w:t>
      </w:r>
      <w:proofErr w:type="spellEnd"/>
      <w:r w:rsidRPr="00CF7AA5">
        <w:rPr>
          <w:lang w:val="en-GB"/>
        </w:rPr>
        <w:t xml:space="preserve"> </w:t>
      </w:r>
      <w:proofErr w:type="spellStart"/>
      <w:r w:rsidRPr="00CF7AA5">
        <w:rPr>
          <w:lang w:val="en-GB"/>
        </w:rPr>
        <w:t>разглеждания</w:t>
      </w:r>
      <w:proofErr w:type="spellEnd"/>
      <w:r w:rsidRPr="00CF7AA5">
        <w:rPr>
          <w:lang w:val="en-GB"/>
        </w:rPr>
        <w:t xml:space="preserve"> </w:t>
      </w:r>
      <w:proofErr w:type="spellStart"/>
      <w:r w:rsidRPr="00CF7AA5">
        <w:rPr>
          <w:lang w:val="en-GB"/>
        </w:rPr>
        <w:t>период</w:t>
      </w:r>
      <w:proofErr w:type="spellEnd"/>
      <w:r w:rsidRPr="00CF7AA5">
        <w:rPr>
          <w:lang w:val="en-GB"/>
        </w:rPr>
        <w:t xml:space="preserve"> е </w:t>
      </w:r>
      <w:proofErr w:type="spellStart"/>
      <w:r w:rsidRPr="00CF7AA5">
        <w:rPr>
          <w:lang w:val="en-GB"/>
        </w:rPr>
        <w:t>характерно</w:t>
      </w:r>
      <w:proofErr w:type="spellEnd"/>
      <w:r w:rsidRPr="00CF7AA5">
        <w:rPr>
          <w:lang w:val="en-GB"/>
        </w:rPr>
        <w:t xml:space="preserve"> </w:t>
      </w:r>
      <w:proofErr w:type="spellStart"/>
      <w:r w:rsidRPr="00CF7AA5">
        <w:rPr>
          <w:lang w:val="en-GB"/>
        </w:rPr>
        <w:t>за</w:t>
      </w:r>
      <w:proofErr w:type="spellEnd"/>
      <w:r w:rsidRPr="00CF7AA5">
        <w:rPr>
          <w:lang w:val="en-GB"/>
        </w:rPr>
        <w:t xml:space="preserve"> </w:t>
      </w:r>
      <w:proofErr w:type="spellStart"/>
      <w:r w:rsidRPr="00CF7AA5">
        <w:rPr>
          <w:lang w:val="en-GB"/>
        </w:rPr>
        <w:t>рисков</w:t>
      </w:r>
      <w:proofErr w:type="spellEnd"/>
      <w:r w:rsidRPr="00CF7AA5">
        <w:rPr>
          <w:lang w:val="en-GB"/>
        </w:rPr>
        <w:t xml:space="preserve"> </w:t>
      </w:r>
      <w:proofErr w:type="spellStart"/>
      <w:r w:rsidRPr="00CF7AA5">
        <w:rPr>
          <w:lang w:val="en-GB"/>
        </w:rPr>
        <w:t>финансов</w:t>
      </w:r>
      <w:proofErr w:type="spellEnd"/>
      <w:r w:rsidRPr="00CF7AA5">
        <w:rPr>
          <w:lang w:val="en-GB"/>
        </w:rPr>
        <w:t xml:space="preserve"> </w:t>
      </w:r>
      <w:proofErr w:type="spellStart"/>
      <w:r w:rsidRPr="00CF7AA5">
        <w:rPr>
          <w:lang w:val="en-GB"/>
        </w:rPr>
        <w:t>актив</w:t>
      </w:r>
      <w:proofErr w:type="spellEnd"/>
      <w:r w:rsidRPr="00CF7AA5">
        <w:rPr>
          <w:lang w:val="en-GB"/>
        </w:rPr>
        <w:t xml:space="preserve">, </w:t>
      </w:r>
      <w:proofErr w:type="spellStart"/>
      <w:r w:rsidRPr="00CF7AA5">
        <w:rPr>
          <w:lang w:val="en-GB"/>
        </w:rPr>
        <w:t>чиято</w:t>
      </w:r>
      <w:proofErr w:type="spellEnd"/>
      <w:r w:rsidRPr="00CF7AA5">
        <w:rPr>
          <w:lang w:val="en-GB"/>
        </w:rPr>
        <w:t xml:space="preserve"> </w:t>
      </w:r>
      <w:proofErr w:type="spellStart"/>
      <w:r w:rsidRPr="00CF7AA5">
        <w:rPr>
          <w:lang w:val="en-GB"/>
        </w:rPr>
        <w:t>доходност</w:t>
      </w:r>
      <w:proofErr w:type="spellEnd"/>
      <w:r w:rsidRPr="00CF7AA5">
        <w:rPr>
          <w:lang w:val="en-GB"/>
        </w:rPr>
        <w:t xml:space="preserve"> е </w:t>
      </w:r>
      <w:proofErr w:type="spellStart"/>
      <w:r w:rsidRPr="00CF7AA5">
        <w:rPr>
          <w:lang w:val="en-GB"/>
        </w:rPr>
        <w:t>силно</w:t>
      </w:r>
      <w:proofErr w:type="spellEnd"/>
      <w:r w:rsidRPr="00CF7AA5">
        <w:rPr>
          <w:lang w:val="en-GB"/>
        </w:rPr>
        <w:t xml:space="preserve"> </w:t>
      </w:r>
      <w:proofErr w:type="spellStart"/>
      <w:r w:rsidRPr="00CF7AA5">
        <w:rPr>
          <w:lang w:val="en-GB"/>
        </w:rPr>
        <w:t>зависима</w:t>
      </w:r>
      <w:proofErr w:type="spellEnd"/>
      <w:r w:rsidRPr="00CF7AA5">
        <w:rPr>
          <w:lang w:val="en-GB"/>
        </w:rPr>
        <w:t xml:space="preserve"> </w:t>
      </w:r>
      <w:proofErr w:type="spellStart"/>
      <w:r w:rsidRPr="00CF7AA5">
        <w:rPr>
          <w:lang w:val="en-GB"/>
        </w:rPr>
        <w:t>от</w:t>
      </w:r>
      <w:proofErr w:type="spellEnd"/>
      <w:r w:rsidRPr="00CF7AA5">
        <w:rPr>
          <w:lang w:val="en-GB"/>
        </w:rPr>
        <w:t xml:space="preserve"> </w:t>
      </w:r>
      <w:proofErr w:type="spellStart"/>
      <w:r w:rsidRPr="00CF7AA5">
        <w:rPr>
          <w:lang w:val="en-GB"/>
        </w:rPr>
        <w:t>ликвидността</w:t>
      </w:r>
      <w:proofErr w:type="spellEnd"/>
      <w:r w:rsidRPr="00CF7AA5">
        <w:rPr>
          <w:lang w:val="en-GB"/>
        </w:rPr>
        <w:t xml:space="preserve">, </w:t>
      </w:r>
      <w:proofErr w:type="spellStart"/>
      <w:r w:rsidRPr="00CF7AA5">
        <w:rPr>
          <w:lang w:val="en-GB"/>
        </w:rPr>
        <w:t>цената</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капитала</w:t>
      </w:r>
      <w:proofErr w:type="spellEnd"/>
      <w:r w:rsidRPr="00CF7AA5">
        <w:rPr>
          <w:lang w:val="en-GB"/>
        </w:rPr>
        <w:t xml:space="preserve"> и </w:t>
      </w:r>
      <w:proofErr w:type="spellStart"/>
      <w:r w:rsidRPr="00CF7AA5">
        <w:rPr>
          <w:lang w:val="en-GB"/>
        </w:rPr>
        <w:t>глобалните</w:t>
      </w:r>
      <w:proofErr w:type="spellEnd"/>
      <w:r w:rsidRPr="00CF7AA5">
        <w:rPr>
          <w:lang w:val="en-GB"/>
        </w:rPr>
        <w:t xml:space="preserve"> </w:t>
      </w:r>
      <w:proofErr w:type="spellStart"/>
      <w:r w:rsidRPr="00CF7AA5">
        <w:rPr>
          <w:lang w:val="en-GB"/>
        </w:rPr>
        <w:t>инвестиционни</w:t>
      </w:r>
      <w:proofErr w:type="spellEnd"/>
      <w:r w:rsidRPr="00CF7AA5">
        <w:rPr>
          <w:lang w:val="en-GB"/>
        </w:rPr>
        <w:t xml:space="preserve"> </w:t>
      </w:r>
      <w:proofErr w:type="spellStart"/>
      <w:r w:rsidRPr="00CF7AA5">
        <w:rPr>
          <w:lang w:val="en-GB"/>
        </w:rPr>
        <w:t>нагласи</w:t>
      </w:r>
      <w:proofErr w:type="spellEnd"/>
      <w:r w:rsidRPr="00CF7AA5">
        <w:rPr>
          <w:lang w:val="en-GB"/>
        </w:rPr>
        <w:t xml:space="preserve">. </w:t>
      </w:r>
      <w:proofErr w:type="spellStart"/>
      <w:r w:rsidRPr="00CF7AA5">
        <w:rPr>
          <w:lang w:val="en-GB"/>
        </w:rPr>
        <w:t>Криптоактивите</w:t>
      </w:r>
      <w:proofErr w:type="spellEnd"/>
      <w:r w:rsidRPr="00CF7AA5">
        <w:rPr>
          <w:lang w:val="en-GB"/>
        </w:rPr>
        <w:t xml:space="preserve"> </w:t>
      </w:r>
      <w:proofErr w:type="spellStart"/>
      <w:r w:rsidRPr="00CF7AA5">
        <w:rPr>
          <w:lang w:val="en-GB"/>
        </w:rPr>
        <w:t>не</w:t>
      </w:r>
      <w:proofErr w:type="spellEnd"/>
      <w:r w:rsidRPr="00CF7AA5">
        <w:rPr>
          <w:lang w:val="en-GB"/>
        </w:rPr>
        <w:t xml:space="preserve"> </w:t>
      </w:r>
      <w:proofErr w:type="spellStart"/>
      <w:r w:rsidRPr="00CF7AA5">
        <w:rPr>
          <w:lang w:val="en-GB"/>
        </w:rPr>
        <w:t>функционират</w:t>
      </w:r>
      <w:proofErr w:type="spellEnd"/>
      <w:r w:rsidRPr="00CF7AA5">
        <w:rPr>
          <w:lang w:val="en-GB"/>
        </w:rPr>
        <w:t xml:space="preserve"> </w:t>
      </w:r>
      <w:proofErr w:type="spellStart"/>
      <w:r w:rsidRPr="00CF7AA5">
        <w:rPr>
          <w:lang w:val="en-GB"/>
        </w:rPr>
        <w:t>като</w:t>
      </w:r>
      <w:proofErr w:type="spellEnd"/>
      <w:r w:rsidRPr="00CF7AA5">
        <w:rPr>
          <w:lang w:val="en-GB"/>
        </w:rPr>
        <w:t xml:space="preserve"> </w:t>
      </w:r>
      <w:proofErr w:type="spellStart"/>
      <w:r w:rsidRPr="00CF7AA5">
        <w:rPr>
          <w:lang w:val="en-GB"/>
        </w:rPr>
        <w:t>изолирана</w:t>
      </w:r>
      <w:proofErr w:type="spellEnd"/>
      <w:r w:rsidRPr="00CF7AA5">
        <w:rPr>
          <w:lang w:val="en-GB"/>
        </w:rPr>
        <w:t xml:space="preserve"> </w:t>
      </w:r>
      <w:proofErr w:type="spellStart"/>
      <w:r w:rsidRPr="00CF7AA5">
        <w:rPr>
          <w:lang w:val="en-GB"/>
        </w:rPr>
        <w:t>алтернатива</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традиционната</w:t>
      </w:r>
      <w:proofErr w:type="spellEnd"/>
      <w:r w:rsidRPr="00CF7AA5">
        <w:rPr>
          <w:lang w:val="en-GB"/>
        </w:rPr>
        <w:t xml:space="preserve"> </w:t>
      </w:r>
      <w:proofErr w:type="spellStart"/>
      <w:r w:rsidRPr="00CF7AA5">
        <w:rPr>
          <w:lang w:val="en-GB"/>
        </w:rPr>
        <w:t>финансова</w:t>
      </w:r>
      <w:proofErr w:type="spellEnd"/>
      <w:r w:rsidRPr="00CF7AA5">
        <w:rPr>
          <w:lang w:val="en-GB"/>
        </w:rPr>
        <w:t xml:space="preserve"> </w:t>
      </w:r>
      <w:proofErr w:type="spellStart"/>
      <w:r w:rsidRPr="00CF7AA5">
        <w:rPr>
          <w:lang w:val="en-GB"/>
        </w:rPr>
        <w:t>система</w:t>
      </w:r>
      <w:proofErr w:type="spellEnd"/>
      <w:r w:rsidRPr="00CF7AA5">
        <w:rPr>
          <w:lang w:val="en-GB"/>
        </w:rPr>
        <w:t xml:space="preserve">, а </w:t>
      </w:r>
      <w:proofErr w:type="spellStart"/>
      <w:r w:rsidRPr="00CF7AA5">
        <w:rPr>
          <w:lang w:val="en-GB"/>
        </w:rPr>
        <w:t>са</w:t>
      </w:r>
      <w:proofErr w:type="spellEnd"/>
      <w:r w:rsidRPr="00CF7AA5">
        <w:rPr>
          <w:lang w:val="en-GB"/>
        </w:rPr>
        <w:t xml:space="preserve"> </w:t>
      </w:r>
      <w:proofErr w:type="spellStart"/>
      <w:r w:rsidRPr="00CF7AA5">
        <w:rPr>
          <w:lang w:val="en-GB"/>
        </w:rPr>
        <w:t>дълбоко</w:t>
      </w:r>
      <w:proofErr w:type="spellEnd"/>
      <w:r w:rsidRPr="00CF7AA5">
        <w:rPr>
          <w:lang w:val="en-GB"/>
        </w:rPr>
        <w:t xml:space="preserve"> </w:t>
      </w:r>
      <w:proofErr w:type="spellStart"/>
      <w:r w:rsidRPr="00CF7AA5">
        <w:rPr>
          <w:lang w:val="en-GB"/>
        </w:rPr>
        <w:t>интегрирани</w:t>
      </w:r>
      <w:proofErr w:type="spellEnd"/>
      <w:r w:rsidRPr="00CF7AA5">
        <w:rPr>
          <w:lang w:val="en-GB"/>
        </w:rPr>
        <w:t xml:space="preserve"> в </w:t>
      </w:r>
      <w:proofErr w:type="spellStart"/>
      <w:r w:rsidRPr="00CF7AA5">
        <w:rPr>
          <w:lang w:val="en-GB"/>
        </w:rPr>
        <w:t>нея</w:t>
      </w:r>
      <w:proofErr w:type="spellEnd"/>
      <w:r w:rsidRPr="00CF7AA5">
        <w:rPr>
          <w:lang w:val="en-GB"/>
        </w:rPr>
        <w:t xml:space="preserve"> и </w:t>
      </w:r>
      <w:proofErr w:type="spellStart"/>
      <w:r w:rsidRPr="00CF7AA5">
        <w:rPr>
          <w:lang w:val="en-GB"/>
        </w:rPr>
        <w:t>реагират</w:t>
      </w:r>
      <w:proofErr w:type="spellEnd"/>
      <w:r w:rsidRPr="00CF7AA5">
        <w:rPr>
          <w:lang w:val="en-GB"/>
        </w:rPr>
        <w:t xml:space="preserve"> </w:t>
      </w:r>
      <w:proofErr w:type="spellStart"/>
      <w:r w:rsidRPr="00CF7AA5">
        <w:rPr>
          <w:lang w:val="en-GB"/>
        </w:rPr>
        <w:t>чувствително</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макроикономическите</w:t>
      </w:r>
      <w:proofErr w:type="spellEnd"/>
      <w:r w:rsidRPr="00CF7AA5">
        <w:rPr>
          <w:lang w:val="en-GB"/>
        </w:rPr>
        <w:t xml:space="preserve"> </w:t>
      </w:r>
      <w:proofErr w:type="spellStart"/>
      <w:r w:rsidRPr="00CF7AA5">
        <w:rPr>
          <w:lang w:val="en-GB"/>
        </w:rPr>
        <w:t>процеси</w:t>
      </w:r>
      <w:proofErr w:type="spellEnd"/>
      <w:r w:rsidRPr="00CF7AA5">
        <w:rPr>
          <w:lang w:val="en-GB"/>
        </w:rPr>
        <w:t>.</w:t>
      </w:r>
    </w:p>
    <w:p w14:paraId="5394DC97" w14:textId="77777777" w:rsidR="00CF7AA5" w:rsidRPr="00CF7AA5" w:rsidRDefault="00CF7AA5" w:rsidP="00CF7AA5">
      <w:pPr>
        <w:spacing w:line="360" w:lineRule="auto"/>
        <w:ind w:firstLine="709"/>
        <w:jc w:val="both"/>
        <w:rPr>
          <w:lang w:val="en-GB"/>
        </w:rPr>
      </w:pPr>
      <w:proofErr w:type="spellStart"/>
      <w:r w:rsidRPr="00CF7AA5">
        <w:rPr>
          <w:lang w:val="en-GB"/>
        </w:rPr>
        <w:t>Същевременно</w:t>
      </w:r>
      <w:proofErr w:type="spellEnd"/>
      <w:r w:rsidRPr="00CF7AA5">
        <w:rPr>
          <w:lang w:val="en-GB"/>
        </w:rPr>
        <w:t xml:space="preserve"> </w:t>
      </w:r>
      <w:proofErr w:type="spellStart"/>
      <w:r w:rsidRPr="00CF7AA5">
        <w:rPr>
          <w:lang w:val="en-GB"/>
        </w:rPr>
        <w:t>изследването</w:t>
      </w:r>
      <w:proofErr w:type="spellEnd"/>
      <w:r w:rsidRPr="00CF7AA5">
        <w:rPr>
          <w:lang w:val="en-GB"/>
        </w:rPr>
        <w:t xml:space="preserve"> </w:t>
      </w:r>
      <w:proofErr w:type="spellStart"/>
      <w:r w:rsidRPr="00CF7AA5">
        <w:rPr>
          <w:lang w:val="en-GB"/>
        </w:rPr>
        <w:t>показва</w:t>
      </w:r>
      <w:proofErr w:type="spellEnd"/>
      <w:r w:rsidRPr="00CF7AA5">
        <w:rPr>
          <w:lang w:val="en-GB"/>
        </w:rPr>
        <w:t xml:space="preserve">, </w:t>
      </w:r>
      <w:proofErr w:type="spellStart"/>
      <w:r w:rsidRPr="00CF7AA5">
        <w:rPr>
          <w:lang w:val="en-GB"/>
        </w:rPr>
        <w:t>че</w:t>
      </w:r>
      <w:proofErr w:type="spellEnd"/>
      <w:r w:rsidRPr="00CF7AA5">
        <w:rPr>
          <w:lang w:val="en-GB"/>
        </w:rPr>
        <w:t xml:space="preserve"> </w:t>
      </w:r>
      <w:proofErr w:type="spellStart"/>
      <w:r w:rsidRPr="00CF7AA5">
        <w:rPr>
          <w:lang w:val="en-GB"/>
        </w:rPr>
        <w:t>широко</w:t>
      </w:r>
      <w:proofErr w:type="spellEnd"/>
      <w:r w:rsidRPr="00CF7AA5">
        <w:rPr>
          <w:lang w:val="en-GB"/>
        </w:rPr>
        <w:t xml:space="preserve"> </w:t>
      </w:r>
      <w:proofErr w:type="spellStart"/>
      <w:r w:rsidRPr="00CF7AA5">
        <w:rPr>
          <w:lang w:val="en-GB"/>
        </w:rPr>
        <w:t>разпространеното</w:t>
      </w:r>
      <w:proofErr w:type="spellEnd"/>
      <w:r w:rsidRPr="00CF7AA5">
        <w:rPr>
          <w:lang w:val="en-GB"/>
        </w:rPr>
        <w:t xml:space="preserve"> </w:t>
      </w:r>
      <w:proofErr w:type="spellStart"/>
      <w:r w:rsidRPr="00CF7AA5">
        <w:rPr>
          <w:lang w:val="en-GB"/>
        </w:rPr>
        <w:t>възприятие</w:t>
      </w:r>
      <w:proofErr w:type="spellEnd"/>
      <w:r w:rsidRPr="00CF7AA5">
        <w:rPr>
          <w:lang w:val="en-GB"/>
        </w:rPr>
        <w:t xml:space="preserve"> </w:t>
      </w:r>
      <w:proofErr w:type="spellStart"/>
      <w:r w:rsidRPr="00CF7AA5">
        <w:rPr>
          <w:lang w:val="en-GB"/>
        </w:rPr>
        <w:t>за</w:t>
      </w:r>
      <w:proofErr w:type="spellEnd"/>
      <w:r w:rsidRPr="00CF7AA5">
        <w:rPr>
          <w:lang w:val="en-GB"/>
        </w:rPr>
        <w:t xml:space="preserve"> </w:t>
      </w:r>
      <w:proofErr w:type="spellStart"/>
      <w:r w:rsidRPr="00CF7AA5">
        <w:rPr>
          <w:lang w:val="en-GB"/>
        </w:rPr>
        <w:t>биткойн</w:t>
      </w:r>
      <w:proofErr w:type="spellEnd"/>
      <w:r w:rsidRPr="00CF7AA5">
        <w:rPr>
          <w:lang w:val="en-GB"/>
        </w:rPr>
        <w:t xml:space="preserve"> </w:t>
      </w:r>
      <w:proofErr w:type="spellStart"/>
      <w:r w:rsidRPr="00CF7AA5">
        <w:rPr>
          <w:lang w:val="en-GB"/>
        </w:rPr>
        <w:t>като</w:t>
      </w:r>
      <w:proofErr w:type="spellEnd"/>
      <w:r w:rsidRPr="00CF7AA5">
        <w:rPr>
          <w:lang w:val="en-GB"/>
        </w:rPr>
        <w:t xml:space="preserve"> </w:t>
      </w:r>
      <w:proofErr w:type="spellStart"/>
      <w:r w:rsidRPr="00CF7AA5">
        <w:rPr>
          <w:lang w:val="en-GB"/>
        </w:rPr>
        <w:t>надежден</w:t>
      </w:r>
      <w:proofErr w:type="spellEnd"/>
      <w:r w:rsidRPr="00CF7AA5">
        <w:rPr>
          <w:lang w:val="en-GB"/>
        </w:rPr>
        <w:t xml:space="preserve"> </w:t>
      </w:r>
      <w:proofErr w:type="spellStart"/>
      <w:r w:rsidRPr="00CF7AA5">
        <w:rPr>
          <w:lang w:val="en-GB"/>
        </w:rPr>
        <w:t>инструмент</w:t>
      </w:r>
      <w:proofErr w:type="spellEnd"/>
      <w:r w:rsidRPr="00CF7AA5">
        <w:rPr>
          <w:lang w:val="en-GB"/>
        </w:rPr>
        <w:t xml:space="preserve"> </w:t>
      </w:r>
      <w:proofErr w:type="spellStart"/>
      <w:r w:rsidRPr="00CF7AA5">
        <w:rPr>
          <w:lang w:val="en-GB"/>
        </w:rPr>
        <w:t>за</w:t>
      </w:r>
      <w:proofErr w:type="spellEnd"/>
      <w:r w:rsidRPr="00CF7AA5">
        <w:rPr>
          <w:lang w:val="en-GB"/>
        </w:rPr>
        <w:t xml:space="preserve"> </w:t>
      </w:r>
      <w:proofErr w:type="spellStart"/>
      <w:r w:rsidRPr="00CF7AA5">
        <w:rPr>
          <w:lang w:val="en-GB"/>
        </w:rPr>
        <w:t>защита</w:t>
      </w:r>
      <w:proofErr w:type="spellEnd"/>
      <w:r w:rsidRPr="00CF7AA5">
        <w:rPr>
          <w:lang w:val="en-GB"/>
        </w:rPr>
        <w:t xml:space="preserve"> </w:t>
      </w:r>
      <w:proofErr w:type="spellStart"/>
      <w:r w:rsidRPr="00CF7AA5">
        <w:rPr>
          <w:lang w:val="en-GB"/>
        </w:rPr>
        <w:t>срещу</w:t>
      </w:r>
      <w:proofErr w:type="spellEnd"/>
      <w:r w:rsidRPr="00CF7AA5">
        <w:rPr>
          <w:lang w:val="en-GB"/>
        </w:rPr>
        <w:t xml:space="preserve"> </w:t>
      </w:r>
      <w:proofErr w:type="spellStart"/>
      <w:r w:rsidRPr="00CF7AA5">
        <w:rPr>
          <w:lang w:val="en-GB"/>
        </w:rPr>
        <w:t>инфлация</w:t>
      </w:r>
      <w:proofErr w:type="spellEnd"/>
      <w:r w:rsidRPr="00CF7AA5">
        <w:rPr>
          <w:lang w:val="en-GB"/>
        </w:rPr>
        <w:t xml:space="preserve"> </w:t>
      </w:r>
      <w:proofErr w:type="spellStart"/>
      <w:r w:rsidRPr="00CF7AA5">
        <w:rPr>
          <w:lang w:val="en-GB"/>
        </w:rPr>
        <w:t>не</w:t>
      </w:r>
      <w:proofErr w:type="spellEnd"/>
      <w:r w:rsidRPr="00CF7AA5">
        <w:rPr>
          <w:lang w:val="en-GB"/>
        </w:rPr>
        <w:t xml:space="preserve"> </w:t>
      </w:r>
      <w:proofErr w:type="spellStart"/>
      <w:r w:rsidRPr="00CF7AA5">
        <w:rPr>
          <w:lang w:val="en-GB"/>
        </w:rPr>
        <w:t>намира</w:t>
      </w:r>
      <w:proofErr w:type="spellEnd"/>
      <w:r w:rsidRPr="00CF7AA5">
        <w:rPr>
          <w:lang w:val="en-GB"/>
        </w:rPr>
        <w:t xml:space="preserve"> </w:t>
      </w:r>
      <w:proofErr w:type="spellStart"/>
      <w:r w:rsidRPr="00CF7AA5">
        <w:rPr>
          <w:lang w:val="en-GB"/>
        </w:rPr>
        <w:t>пълно</w:t>
      </w:r>
      <w:proofErr w:type="spellEnd"/>
      <w:r w:rsidRPr="00CF7AA5">
        <w:rPr>
          <w:lang w:val="en-GB"/>
        </w:rPr>
        <w:t xml:space="preserve"> </w:t>
      </w:r>
      <w:proofErr w:type="spellStart"/>
      <w:r w:rsidRPr="00CF7AA5">
        <w:rPr>
          <w:lang w:val="en-GB"/>
        </w:rPr>
        <w:t>емпирично</w:t>
      </w:r>
      <w:proofErr w:type="spellEnd"/>
      <w:r w:rsidRPr="00CF7AA5">
        <w:rPr>
          <w:lang w:val="en-GB"/>
        </w:rPr>
        <w:t xml:space="preserve"> </w:t>
      </w:r>
      <w:proofErr w:type="spellStart"/>
      <w:r w:rsidRPr="00CF7AA5">
        <w:rPr>
          <w:lang w:val="en-GB"/>
        </w:rPr>
        <w:t>потвърждение</w:t>
      </w:r>
      <w:proofErr w:type="spellEnd"/>
      <w:r w:rsidRPr="00CF7AA5">
        <w:rPr>
          <w:lang w:val="en-GB"/>
        </w:rPr>
        <w:t xml:space="preserve"> </w:t>
      </w:r>
      <w:proofErr w:type="spellStart"/>
      <w:r w:rsidRPr="00CF7AA5">
        <w:rPr>
          <w:lang w:val="en-GB"/>
        </w:rPr>
        <w:t>за</w:t>
      </w:r>
      <w:proofErr w:type="spellEnd"/>
      <w:r w:rsidRPr="00CF7AA5">
        <w:rPr>
          <w:lang w:val="en-GB"/>
        </w:rPr>
        <w:t xml:space="preserve"> </w:t>
      </w:r>
      <w:proofErr w:type="spellStart"/>
      <w:r w:rsidRPr="00CF7AA5">
        <w:rPr>
          <w:lang w:val="en-GB"/>
        </w:rPr>
        <w:t>разглеждания</w:t>
      </w:r>
      <w:proofErr w:type="spellEnd"/>
      <w:r w:rsidRPr="00CF7AA5">
        <w:rPr>
          <w:lang w:val="en-GB"/>
        </w:rPr>
        <w:t xml:space="preserve"> </w:t>
      </w:r>
      <w:proofErr w:type="spellStart"/>
      <w:r w:rsidRPr="00CF7AA5">
        <w:rPr>
          <w:lang w:val="en-GB"/>
        </w:rPr>
        <w:t>период</w:t>
      </w:r>
      <w:proofErr w:type="spellEnd"/>
      <w:r w:rsidRPr="00CF7AA5">
        <w:rPr>
          <w:lang w:val="en-GB"/>
        </w:rPr>
        <w:t xml:space="preserve">. </w:t>
      </w:r>
      <w:proofErr w:type="spellStart"/>
      <w:r w:rsidRPr="00CF7AA5">
        <w:rPr>
          <w:lang w:val="en-GB"/>
        </w:rPr>
        <w:t>Вместо</w:t>
      </w:r>
      <w:proofErr w:type="spellEnd"/>
      <w:r w:rsidRPr="00CF7AA5">
        <w:rPr>
          <w:lang w:val="en-GB"/>
        </w:rPr>
        <w:t xml:space="preserve"> </w:t>
      </w:r>
      <w:proofErr w:type="spellStart"/>
      <w:r w:rsidRPr="00CF7AA5">
        <w:rPr>
          <w:lang w:val="en-GB"/>
        </w:rPr>
        <w:t>това</w:t>
      </w:r>
      <w:proofErr w:type="spellEnd"/>
      <w:r w:rsidRPr="00CF7AA5">
        <w:rPr>
          <w:lang w:val="en-GB"/>
        </w:rPr>
        <w:t xml:space="preserve"> </w:t>
      </w:r>
      <w:proofErr w:type="spellStart"/>
      <w:r w:rsidRPr="00CF7AA5">
        <w:rPr>
          <w:lang w:val="en-GB"/>
        </w:rPr>
        <w:t>неговото</w:t>
      </w:r>
      <w:proofErr w:type="spellEnd"/>
      <w:r w:rsidRPr="00CF7AA5">
        <w:rPr>
          <w:lang w:val="en-GB"/>
        </w:rPr>
        <w:t xml:space="preserve"> </w:t>
      </w:r>
      <w:proofErr w:type="spellStart"/>
      <w:r w:rsidRPr="00CF7AA5">
        <w:rPr>
          <w:lang w:val="en-GB"/>
        </w:rPr>
        <w:t>поведение</w:t>
      </w:r>
      <w:proofErr w:type="spellEnd"/>
      <w:r w:rsidRPr="00CF7AA5">
        <w:rPr>
          <w:lang w:val="en-GB"/>
        </w:rPr>
        <w:t xml:space="preserve"> е </w:t>
      </w:r>
      <w:proofErr w:type="spellStart"/>
      <w:r w:rsidRPr="00CF7AA5">
        <w:rPr>
          <w:lang w:val="en-GB"/>
        </w:rPr>
        <w:t>по-тясно</w:t>
      </w:r>
      <w:proofErr w:type="spellEnd"/>
      <w:r w:rsidRPr="00CF7AA5">
        <w:rPr>
          <w:lang w:val="en-GB"/>
        </w:rPr>
        <w:t xml:space="preserve"> </w:t>
      </w:r>
      <w:proofErr w:type="spellStart"/>
      <w:r w:rsidRPr="00CF7AA5">
        <w:rPr>
          <w:lang w:val="en-GB"/>
        </w:rPr>
        <w:t>свързано</w:t>
      </w:r>
      <w:proofErr w:type="spellEnd"/>
      <w:r w:rsidRPr="00CF7AA5">
        <w:rPr>
          <w:lang w:val="en-GB"/>
        </w:rPr>
        <w:t xml:space="preserve"> с </w:t>
      </w:r>
      <w:proofErr w:type="spellStart"/>
      <w:r w:rsidRPr="00CF7AA5">
        <w:rPr>
          <w:lang w:val="en-GB"/>
        </w:rPr>
        <w:t>паричната</w:t>
      </w:r>
      <w:proofErr w:type="spellEnd"/>
      <w:r w:rsidRPr="00CF7AA5">
        <w:rPr>
          <w:lang w:val="en-GB"/>
        </w:rPr>
        <w:t xml:space="preserve"> </w:t>
      </w:r>
      <w:proofErr w:type="spellStart"/>
      <w:r w:rsidRPr="00CF7AA5">
        <w:rPr>
          <w:lang w:val="en-GB"/>
        </w:rPr>
        <w:t>политика</w:t>
      </w:r>
      <w:proofErr w:type="spellEnd"/>
      <w:r w:rsidRPr="00CF7AA5">
        <w:rPr>
          <w:lang w:val="en-GB"/>
        </w:rPr>
        <w:t xml:space="preserve"> и </w:t>
      </w:r>
      <w:proofErr w:type="spellStart"/>
      <w:r w:rsidRPr="00CF7AA5">
        <w:rPr>
          <w:lang w:val="en-GB"/>
        </w:rPr>
        <w:t>финансовите</w:t>
      </w:r>
      <w:proofErr w:type="spellEnd"/>
      <w:r w:rsidRPr="00CF7AA5">
        <w:rPr>
          <w:lang w:val="en-GB"/>
        </w:rPr>
        <w:t xml:space="preserve"> </w:t>
      </w:r>
      <w:proofErr w:type="spellStart"/>
      <w:r w:rsidRPr="00CF7AA5">
        <w:rPr>
          <w:lang w:val="en-GB"/>
        </w:rPr>
        <w:t>условия</w:t>
      </w:r>
      <w:proofErr w:type="spellEnd"/>
      <w:r w:rsidRPr="00CF7AA5">
        <w:rPr>
          <w:lang w:val="en-GB"/>
        </w:rPr>
        <w:t xml:space="preserve">, </w:t>
      </w:r>
      <w:proofErr w:type="spellStart"/>
      <w:r w:rsidRPr="00CF7AA5">
        <w:rPr>
          <w:lang w:val="en-GB"/>
        </w:rPr>
        <w:t>отколкото</w:t>
      </w:r>
      <w:proofErr w:type="spellEnd"/>
      <w:r w:rsidRPr="00CF7AA5">
        <w:rPr>
          <w:lang w:val="en-GB"/>
        </w:rPr>
        <w:t xml:space="preserve"> с </w:t>
      </w:r>
      <w:proofErr w:type="spellStart"/>
      <w:r w:rsidRPr="00CF7AA5">
        <w:rPr>
          <w:lang w:val="en-GB"/>
        </w:rPr>
        <w:t>нивото</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инфлацията</w:t>
      </w:r>
      <w:proofErr w:type="spellEnd"/>
      <w:r w:rsidRPr="00CF7AA5">
        <w:rPr>
          <w:lang w:val="en-GB"/>
        </w:rPr>
        <w:t xml:space="preserve"> </w:t>
      </w:r>
      <w:proofErr w:type="spellStart"/>
      <w:r w:rsidRPr="00CF7AA5">
        <w:rPr>
          <w:lang w:val="en-GB"/>
        </w:rPr>
        <w:t>само</w:t>
      </w:r>
      <w:proofErr w:type="spellEnd"/>
      <w:r w:rsidRPr="00CF7AA5">
        <w:rPr>
          <w:lang w:val="en-GB"/>
        </w:rPr>
        <w:t xml:space="preserve"> </w:t>
      </w:r>
      <w:proofErr w:type="spellStart"/>
      <w:r w:rsidRPr="00CF7AA5">
        <w:rPr>
          <w:lang w:val="en-GB"/>
        </w:rPr>
        <w:t>по</w:t>
      </w:r>
      <w:proofErr w:type="spellEnd"/>
      <w:r w:rsidRPr="00CF7AA5">
        <w:rPr>
          <w:lang w:val="en-GB"/>
        </w:rPr>
        <w:t xml:space="preserve"> </w:t>
      </w:r>
      <w:proofErr w:type="spellStart"/>
      <w:r w:rsidRPr="00CF7AA5">
        <w:rPr>
          <w:lang w:val="en-GB"/>
        </w:rPr>
        <w:t>себе</w:t>
      </w:r>
      <w:proofErr w:type="spellEnd"/>
      <w:r w:rsidRPr="00CF7AA5">
        <w:rPr>
          <w:lang w:val="en-GB"/>
        </w:rPr>
        <w:t xml:space="preserve"> </w:t>
      </w:r>
      <w:proofErr w:type="spellStart"/>
      <w:r w:rsidRPr="00CF7AA5">
        <w:rPr>
          <w:lang w:val="en-GB"/>
        </w:rPr>
        <w:t>си</w:t>
      </w:r>
      <w:proofErr w:type="spellEnd"/>
      <w:r w:rsidRPr="00CF7AA5">
        <w:rPr>
          <w:lang w:val="en-GB"/>
        </w:rPr>
        <w:t xml:space="preserve">. </w:t>
      </w:r>
      <w:proofErr w:type="spellStart"/>
      <w:r w:rsidRPr="00CF7AA5">
        <w:rPr>
          <w:lang w:val="en-GB"/>
        </w:rPr>
        <w:t>Това</w:t>
      </w:r>
      <w:proofErr w:type="spellEnd"/>
      <w:r w:rsidRPr="00CF7AA5">
        <w:rPr>
          <w:lang w:val="en-GB"/>
        </w:rPr>
        <w:t xml:space="preserve"> </w:t>
      </w:r>
      <w:proofErr w:type="spellStart"/>
      <w:r w:rsidRPr="00CF7AA5">
        <w:rPr>
          <w:lang w:val="en-GB"/>
        </w:rPr>
        <w:t>има</w:t>
      </w:r>
      <w:proofErr w:type="spellEnd"/>
      <w:r w:rsidRPr="00CF7AA5">
        <w:rPr>
          <w:lang w:val="en-GB"/>
        </w:rPr>
        <w:t xml:space="preserve"> </w:t>
      </w:r>
      <w:proofErr w:type="spellStart"/>
      <w:r w:rsidRPr="00CF7AA5">
        <w:rPr>
          <w:lang w:val="en-GB"/>
        </w:rPr>
        <w:t>съществено</w:t>
      </w:r>
      <w:proofErr w:type="spellEnd"/>
      <w:r w:rsidRPr="00CF7AA5">
        <w:rPr>
          <w:lang w:val="en-GB"/>
        </w:rPr>
        <w:t xml:space="preserve"> </w:t>
      </w:r>
      <w:proofErr w:type="spellStart"/>
      <w:r w:rsidRPr="00CF7AA5">
        <w:rPr>
          <w:lang w:val="en-GB"/>
        </w:rPr>
        <w:t>значение</w:t>
      </w:r>
      <w:proofErr w:type="spellEnd"/>
      <w:r w:rsidRPr="00CF7AA5">
        <w:rPr>
          <w:lang w:val="en-GB"/>
        </w:rPr>
        <w:t xml:space="preserve"> </w:t>
      </w:r>
      <w:proofErr w:type="spellStart"/>
      <w:r w:rsidRPr="00CF7AA5">
        <w:rPr>
          <w:lang w:val="en-GB"/>
        </w:rPr>
        <w:t>както</w:t>
      </w:r>
      <w:proofErr w:type="spellEnd"/>
      <w:r w:rsidRPr="00CF7AA5">
        <w:rPr>
          <w:lang w:val="en-GB"/>
        </w:rPr>
        <w:t xml:space="preserve"> </w:t>
      </w:r>
      <w:proofErr w:type="spellStart"/>
      <w:r w:rsidRPr="00CF7AA5">
        <w:rPr>
          <w:lang w:val="en-GB"/>
        </w:rPr>
        <w:t>за</w:t>
      </w:r>
      <w:proofErr w:type="spellEnd"/>
      <w:r w:rsidRPr="00CF7AA5">
        <w:rPr>
          <w:lang w:val="en-GB"/>
        </w:rPr>
        <w:t xml:space="preserve"> </w:t>
      </w:r>
      <w:proofErr w:type="spellStart"/>
      <w:r w:rsidRPr="00CF7AA5">
        <w:rPr>
          <w:lang w:val="en-GB"/>
        </w:rPr>
        <w:t>инвеститорите</w:t>
      </w:r>
      <w:proofErr w:type="spellEnd"/>
      <w:r w:rsidRPr="00CF7AA5">
        <w:rPr>
          <w:lang w:val="en-GB"/>
        </w:rPr>
        <w:t xml:space="preserve">, </w:t>
      </w:r>
      <w:proofErr w:type="spellStart"/>
      <w:r w:rsidRPr="00CF7AA5">
        <w:rPr>
          <w:lang w:val="en-GB"/>
        </w:rPr>
        <w:t>така</w:t>
      </w:r>
      <w:proofErr w:type="spellEnd"/>
      <w:r w:rsidRPr="00CF7AA5">
        <w:rPr>
          <w:lang w:val="en-GB"/>
        </w:rPr>
        <w:t xml:space="preserve"> и </w:t>
      </w:r>
      <w:proofErr w:type="spellStart"/>
      <w:r w:rsidRPr="00CF7AA5">
        <w:rPr>
          <w:lang w:val="en-GB"/>
        </w:rPr>
        <w:t>за</w:t>
      </w:r>
      <w:proofErr w:type="spellEnd"/>
      <w:r w:rsidRPr="00CF7AA5">
        <w:rPr>
          <w:lang w:val="en-GB"/>
        </w:rPr>
        <w:t xml:space="preserve"> </w:t>
      </w:r>
      <w:proofErr w:type="spellStart"/>
      <w:r w:rsidRPr="00CF7AA5">
        <w:rPr>
          <w:lang w:val="en-GB"/>
        </w:rPr>
        <w:t>изследователите</w:t>
      </w:r>
      <w:proofErr w:type="spellEnd"/>
      <w:r w:rsidRPr="00CF7AA5">
        <w:rPr>
          <w:lang w:val="en-GB"/>
        </w:rPr>
        <w:t xml:space="preserve">, </w:t>
      </w:r>
      <w:proofErr w:type="spellStart"/>
      <w:r w:rsidRPr="00CF7AA5">
        <w:rPr>
          <w:lang w:val="en-GB"/>
        </w:rPr>
        <w:t>тъй</w:t>
      </w:r>
      <w:proofErr w:type="spellEnd"/>
      <w:r w:rsidRPr="00CF7AA5">
        <w:rPr>
          <w:lang w:val="en-GB"/>
        </w:rPr>
        <w:t xml:space="preserve"> </w:t>
      </w:r>
      <w:proofErr w:type="spellStart"/>
      <w:r w:rsidRPr="00CF7AA5">
        <w:rPr>
          <w:lang w:val="en-GB"/>
        </w:rPr>
        <w:t>като</w:t>
      </w:r>
      <w:proofErr w:type="spellEnd"/>
      <w:r w:rsidRPr="00CF7AA5">
        <w:rPr>
          <w:lang w:val="en-GB"/>
        </w:rPr>
        <w:t xml:space="preserve"> </w:t>
      </w:r>
      <w:proofErr w:type="spellStart"/>
      <w:r w:rsidRPr="00CF7AA5">
        <w:rPr>
          <w:lang w:val="en-GB"/>
        </w:rPr>
        <w:t>поставя</w:t>
      </w:r>
      <w:proofErr w:type="spellEnd"/>
      <w:r w:rsidRPr="00CF7AA5">
        <w:rPr>
          <w:lang w:val="en-GB"/>
        </w:rPr>
        <w:t xml:space="preserve"> </w:t>
      </w:r>
      <w:proofErr w:type="spellStart"/>
      <w:r w:rsidRPr="00CF7AA5">
        <w:rPr>
          <w:lang w:val="en-GB"/>
        </w:rPr>
        <w:t>под</w:t>
      </w:r>
      <w:proofErr w:type="spellEnd"/>
      <w:r w:rsidRPr="00CF7AA5">
        <w:rPr>
          <w:lang w:val="en-GB"/>
        </w:rPr>
        <w:t xml:space="preserve"> </w:t>
      </w:r>
      <w:proofErr w:type="spellStart"/>
      <w:r w:rsidRPr="00CF7AA5">
        <w:rPr>
          <w:lang w:val="en-GB"/>
        </w:rPr>
        <w:t>въпрос</w:t>
      </w:r>
      <w:proofErr w:type="spellEnd"/>
      <w:r w:rsidRPr="00CF7AA5">
        <w:rPr>
          <w:lang w:val="en-GB"/>
        </w:rPr>
        <w:t xml:space="preserve"> </w:t>
      </w:r>
      <w:proofErr w:type="spellStart"/>
      <w:r w:rsidRPr="00CF7AA5">
        <w:rPr>
          <w:lang w:val="en-GB"/>
        </w:rPr>
        <w:t>традиционните</w:t>
      </w:r>
      <w:proofErr w:type="spellEnd"/>
      <w:r w:rsidRPr="00CF7AA5">
        <w:rPr>
          <w:lang w:val="en-GB"/>
        </w:rPr>
        <w:t xml:space="preserve"> </w:t>
      </w:r>
      <w:proofErr w:type="spellStart"/>
      <w:r w:rsidRPr="00CF7AA5">
        <w:rPr>
          <w:lang w:val="en-GB"/>
        </w:rPr>
        <w:t>интерпретации</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ролята</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криптоактивите</w:t>
      </w:r>
      <w:proofErr w:type="spellEnd"/>
      <w:r w:rsidRPr="00CF7AA5">
        <w:rPr>
          <w:lang w:val="en-GB"/>
        </w:rPr>
        <w:t xml:space="preserve"> в </w:t>
      </w:r>
      <w:proofErr w:type="spellStart"/>
      <w:r w:rsidRPr="00CF7AA5">
        <w:rPr>
          <w:lang w:val="en-GB"/>
        </w:rPr>
        <w:t>портфейлното</w:t>
      </w:r>
      <w:proofErr w:type="spellEnd"/>
      <w:r w:rsidRPr="00CF7AA5">
        <w:rPr>
          <w:lang w:val="en-GB"/>
        </w:rPr>
        <w:t xml:space="preserve"> </w:t>
      </w:r>
      <w:proofErr w:type="spellStart"/>
      <w:r w:rsidRPr="00CF7AA5">
        <w:rPr>
          <w:lang w:val="en-GB"/>
        </w:rPr>
        <w:t>управление</w:t>
      </w:r>
      <w:proofErr w:type="spellEnd"/>
      <w:r w:rsidRPr="00CF7AA5">
        <w:rPr>
          <w:lang w:val="en-GB"/>
        </w:rPr>
        <w:t>.</w:t>
      </w:r>
    </w:p>
    <w:p w14:paraId="10DF6679" w14:textId="77777777" w:rsidR="00CF7AA5" w:rsidRPr="00CF7AA5" w:rsidRDefault="00CF7AA5" w:rsidP="00CF7AA5">
      <w:pPr>
        <w:spacing w:line="360" w:lineRule="auto"/>
        <w:ind w:firstLine="709"/>
        <w:jc w:val="both"/>
        <w:rPr>
          <w:lang w:val="en-GB"/>
        </w:rPr>
      </w:pPr>
      <w:proofErr w:type="spellStart"/>
      <w:r w:rsidRPr="00CF7AA5">
        <w:rPr>
          <w:lang w:val="en-GB"/>
        </w:rPr>
        <w:t>Независимо</w:t>
      </w:r>
      <w:proofErr w:type="spellEnd"/>
      <w:r w:rsidRPr="00CF7AA5">
        <w:rPr>
          <w:lang w:val="en-GB"/>
        </w:rPr>
        <w:t xml:space="preserve"> </w:t>
      </w:r>
      <w:proofErr w:type="spellStart"/>
      <w:r w:rsidRPr="00CF7AA5">
        <w:rPr>
          <w:lang w:val="en-GB"/>
        </w:rPr>
        <w:t>от</w:t>
      </w:r>
      <w:proofErr w:type="spellEnd"/>
      <w:r w:rsidRPr="00CF7AA5">
        <w:rPr>
          <w:lang w:val="en-GB"/>
        </w:rPr>
        <w:t xml:space="preserve"> </w:t>
      </w:r>
      <w:proofErr w:type="spellStart"/>
      <w:r w:rsidRPr="00CF7AA5">
        <w:rPr>
          <w:lang w:val="en-GB"/>
        </w:rPr>
        <w:t>получените</w:t>
      </w:r>
      <w:proofErr w:type="spellEnd"/>
      <w:r w:rsidRPr="00CF7AA5">
        <w:rPr>
          <w:lang w:val="en-GB"/>
        </w:rPr>
        <w:t xml:space="preserve"> </w:t>
      </w:r>
      <w:proofErr w:type="spellStart"/>
      <w:r w:rsidRPr="00CF7AA5">
        <w:rPr>
          <w:lang w:val="en-GB"/>
        </w:rPr>
        <w:t>резултати</w:t>
      </w:r>
      <w:proofErr w:type="spellEnd"/>
      <w:r w:rsidRPr="00CF7AA5">
        <w:rPr>
          <w:lang w:val="en-GB"/>
        </w:rPr>
        <w:t xml:space="preserve">, </w:t>
      </w:r>
      <w:proofErr w:type="spellStart"/>
      <w:r w:rsidRPr="00CF7AA5">
        <w:rPr>
          <w:lang w:val="en-GB"/>
        </w:rPr>
        <w:t>следва</w:t>
      </w:r>
      <w:proofErr w:type="spellEnd"/>
      <w:r w:rsidRPr="00CF7AA5">
        <w:rPr>
          <w:lang w:val="en-GB"/>
        </w:rPr>
        <w:t xml:space="preserve"> </w:t>
      </w:r>
      <w:proofErr w:type="spellStart"/>
      <w:r w:rsidRPr="00CF7AA5">
        <w:rPr>
          <w:lang w:val="en-GB"/>
        </w:rPr>
        <w:t>да</w:t>
      </w:r>
      <w:proofErr w:type="spellEnd"/>
      <w:r w:rsidRPr="00CF7AA5">
        <w:rPr>
          <w:lang w:val="en-GB"/>
        </w:rPr>
        <w:t xml:space="preserve"> </w:t>
      </w:r>
      <w:proofErr w:type="spellStart"/>
      <w:r w:rsidRPr="00CF7AA5">
        <w:rPr>
          <w:lang w:val="en-GB"/>
        </w:rPr>
        <w:t>се</w:t>
      </w:r>
      <w:proofErr w:type="spellEnd"/>
      <w:r w:rsidRPr="00CF7AA5">
        <w:rPr>
          <w:lang w:val="en-GB"/>
        </w:rPr>
        <w:t xml:space="preserve"> </w:t>
      </w:r>
      <w:proofErr w:type="spellStart"/>
      <w:r w:rsidRPr="00CF7AA5">
        <w:rPr>
          <w:lang w:val="en-GB"/>
        </w:rPr>
        <w:t>отчете</w:t>
      </w:r>
      <w:proofErr w:type="spellEnd"/>
      <w:r w:rsidRPr="00CF7AA5">
        <w:rPr>
          <w:lang w:val="en-GB"/>
        </w:rPr>
        <w:t xml:space="preserve">, </w:t>
      </w:r>
      <w:proofErr w:type="spellStart"/>
      <w:r w:rsidRPr="00CF7AA5">
        <w:rPr>
          <w:lang w:val="en-GB"/>
        </w:rPr>
        <w:t>че</w:t>
      </w:r>
      <w:proofErr w:type="spellEnd"/>
      <w:r w:rsidRPr="00CF7AA5">
        <w:rPr>
          <w:lang w:val="en-GB"/>
        </w:rPr>
        <w:t xml:space="preserve"> </w:t>
      </w:r>
      <w:proofErr w:type="spellStart"/>
      <w:r w:rsidRPr="00CF7AA5">
        <w:rPr>
          <w:lang w:val="en-GB"/>
        </w:rPr>
        <w:t>изследването</w:t>
      </w:r>
      <w:proofErr w:type="spellEnd"/>
      <w:r w:rsidRPr="00CF7AA5">
        <w:rPr>
          <w:lang w:val="en-GB"/>
        </w:rPr>
        <w:t xml:space="preserve"> </w:t>
      </w:r>
      <w:proofErr w:type="spellStart"/>
      <w:r w:rsidRPr="00CF7AA5">
        <w:rPr>
          <w:lang w:val="en-GB"/>
        </w:rPr>
        <w:t>има</w:t>
      </w:r>
      <w:proofErr w:type="spellEnd"/>
      <w:r w:rsidRPr="00CF7AA5">
        <w:rPr>
          <w:lang w:val="en-GB"/>
        </w:rPr>
        <w:t xml:space="preserve"> </w:t>
      </w:r>
      <w:proofErr w:type="spellStart"/>
      <w:r w:rsidRPr="00CF7AA5">
        <w:rPr>
          <w:lang w:val="en-GB"/>
        </w:rPr>
        <w:t>определени</w:t>
      </w:r>
      <w:proofErr w:type="spellEnd"/>
      <w:r w:rsidRPr="00CF7AA5">
        <w:rPr>
          <w:lang w:val="en-GB"/>
        </w:rPr>
        <w:t xml:space="preserve"> </w:t>
      </w:r>
      <w:proofErr w:type="spellStart"/>
      <w:r w:rsidRPr="00CF7AA5">
        <w:rPr>
          <w:lang w:val="en-GB"/>
        </w:rPr>
        <w:t>ограничения</w:t>
      </w:r>
      <w:proofErr w:type="spellEnd"/>
      <w:r w:rsidRPr="00CF7AA5">
        <w:rPr>
          <w:lang w:val="en-GB"/>
        </w:rPr>
        <w:t xml:space="preserve">, </w:t>
      </w:r>
      <w:proofErr w:type="spellStart"/>
      <w:r w:rsidRPr="00CF7AA5">
        <w:rPr>
          <w:lang w:val="en-GB"/>
        </w:rPr>
        <w:t>свързани</w:t>
      </w:r>
      <w:proofErr w:type="spellEnd"/>
      <w:r w:rsidRPr="00CF7AA5">
        <w:rPr>
          <w:lang w:val="en-GB"/>
        </w:rPr>
        <w:t xml:space="preserve"> с </w:t>
      </w:r>
      <w:proofErr w:type="spellStart"/>
      <w:r w:rsidRPr="00CF7AA5">
        <w:rPr>
          <w:lang w:val="en-GB"/>
        </w:rPr>
        <w:t>използвания</w:t>
      </w:r>
      <w:proofErr w:type="spellEnd"/>
      <w:r w:rsidRPr="00CF7AA5">
        <w:rPr>
          <w:lang w:val="en-GB"/>
        </w:rPr>
        <w:t xml:space="preserve"> </w:t>
      </w:r>
      <w:proofErr w:type="spellStart"/>
      <w:r w:rsidRPr="00CF7AA5">
        <w:rPr>
          <w:lang w:val="en-GB"/>
        </w:rPr>
        <w:t>времеви</w:t>
      </w:r>
      <w:proofErr w:type="spellEnd"/>
      <w:r w:rsidRPr="00CF7AA5">
        <w:rPr>
          <w:lang w:val="en-GB"/>
        </w:rPr>
        <w:t xml:space="preserve"> </w:t>
      </w:r>
      <w:proofErr w:type="spellStart"/>
      <w:r w:rsidRPr="00CF7AA5">
        <w:rPr>
          <w:lang w:val="en-GB"/>
        </w:rPr>
        <w:t>хоризонт</w:t>
      </w:r>
      <w:proofErr w:type="spellEnd"/>
      <w:r w:rsidRPr="00CF7AA5">
        <w:rPr>
          <w:lang w:val="en-GB"/>
        </w:rPr>
        <w:t xml:space="preserve"> и </w:t>
      </w:r>
      <w:proofErr w:type="spellStart"/>
      <w:r w:rsidRPr="00CF7AA5">
        <w:rPr>
          <w:lang w:val="en-GB"/>
        </w:rPr>
        <w:t>ограничен</w:t>
      </w:r>
      <w:proofErr w:type="spellEnd"/>
      <w:r w:rsidRPr="00CF7AA5">
        <w:rPr>
          <w:lang w:val="en-GB"/>
        </w:rPr>
        <w:t xml:space="preserve"> </w:t>
      </w:r>
      <w:proofErr w:type="spellStart"/>
      <w:r w:rsidRPr="00CF7AA5">
        <w:rPr>
          <w:lang w:val="en-GB"/>
        </w:rPr>
        <w:t>брой</w:t>
      </w:r>
      <w:proofErr w:type="spellEnd"/>
      <w:r w:rsidRPr="00CF7AA5">
        <w:rPr>
          <w:lang w:val="en-GB"/>
        </w:rPr>
        <w:t xml:space="preserve"> </w:t>
      </w:r>
      <w:proofErr w:type="spellStart"/>
      <w:r w:rsidRPr="00CF7AA5">
        <w:rPr>
          <w:lang w:val="en-GB"/>
        </w:rPr>
        <w:t>наблюдения</w:t>
      </w:r>
      <w:proofErr w:type="spellEnd"/>
      <w:r w:rsidRPr="00CF7AA5">
        <w:rPr>
          <w:lang w:val="en-GB"/>
        </w:rPr>
        <w:t xml:space="preserve">, </w:t>
      </w:r>
      <w:proofErr w:type="spellStart"/>
      <w:r w:rsidRPr="00CF7AA5">
        <w:rPr>
          <w:lang w:val="en-GB"/>
        </w:rPr>
        <w:t>което</w:t>
      </w:r>
      <w:proofErr w:type="spellEnd"/>
      <w:r w:rsidRPr="00CF7AA5">
        <w:rPr>
          <w:lang w:val="en-GB"/>
        </w:rPr>
        <w:t xml:space="preserve"> </w:t>
      </w:r>
      <w:proofErr w:type="spellStart"/>
      <w:r w:rsidRPr="00CF7AA5">
        <w:rPr>
          <w:lang w:val="en-GB"/>
        </w:rPr>
        <w:t>налага</w:t>
      </w:r>
      <w:proofErr w:type="spellEnd"/>
      <w:r w:rsidRPr="00CF7AA5">
        <w:rPr>
          <w:lang w:val="en-GB"/>
        </w:rPr>
        <w:t xml:space="preserve"> </w:t>
      </w:r>
      <w:proofErr w:type="spellStart"/>
      <w:r w:rsidRPr="00CF7AA5">
        <w:rPr>
          <w:lang w:val="en-GB"/>
        </w:rPr>
        <w:t>предпазливост</w:t>
      </w:r>
      <w:proofErr w:type="spellEnd"/>
      <w:r w:rsidRPr="00CF7AA5">
        <w:rPr>
          <w:lang w:val="en-GB"/>
        </w:rPr>
        <w:t xml:space="preserve"> </w:t>
      </w:r>
      <w:proofErr w:type="spellStart"/>
      <w:r w:rsidRPr="00CF7AA5">
        <w:rPr>
          <w:lang w:val="en-GB"/>
        </w:rPr>
        <w:t>при</w:t>
      </w:r>
      <w:proofErr w:type="spellEnd"/>
      <w:r w:rsidRPr="00CF7AA5">
        <w:rPr>
          <w:lang w:val="en-GB"/>
        </w:rPr>
        <w:t xml:space="preserve"> </w:t>
      </w:r>
      <w:proofErr w:type="spellStart"/>
      <w:r w:rsidRPr="00CF7AA5">
        <w:rPr>
          <w:lang w:val="en-GB"/>
        </w:rPr>
        <w:t>обобщаването</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изводите</w:t>
      </w:r>
      <w:proofErr w:type="spellEnd"/>
      <w:r w:rsidRPr="00CF7AA5">
        <w:rPr>
          <w:lang w:val="en-GB"/>
        </w:rPr>
        <w:t xml:space="preserve">. В </w:t>
      </w:r>
      <w:proofErr w:type="spellStart"/>
      <w:r w:rsidRPr="00CF7AA5">
        <w:rPr>
          <w:lang w:val="en-GB"/>
        </w:rPr>
        <w:t>този</w:t>
      </w:r>
      <w:proofErr w:type="spellEnd"/>
      <w:r w:rsidRPr="00CF7AA5">
        <w:rPr>
          <w:lang w:val="en-GB"/>
        </w:rPr>
        <w:t xml:space="preserve"> </w:t>
      </w:r>
      <w:proofErr w:type="spellStart"/>
      <w:r w:rsidRPr="00CF7AA5">
        <w:rPr>
          <w:lang w:val="en-GB"/>
        </w:rPr>
        <w:t>смисъл</w:t>
      </w:r>
      <w:proofErr w:type="spellEnd"/>
      <w:r w:rsidRPr="00CF7AA5">
        <w:rPr>
          <w:lang w:val="en-GB"/>
        </w:rPr>
        <w:t xml:space="preserve"> </w:t>
      </w:r>
      <w:proofErr w:type="spellStart"/>
      <w:r w:rsidRPr="00CF7AA5">
        <w:rPr>
          <w:lang w:val="en-GB"/>
        </w:rPr>
        <w:t>бъдещи</w:t>
      </w:r>
      <w:proofErr w:type="spellEnd"/>
      <w:r w:rsidRPr="00CF7AA5">
        <w:rPr>
          <w:lang w:val="en-GB"/>
        </w:rPr>
        <w:t xml:space="preserve"> </w:t>
      </w:r>
      <w:proofErr w:type="spellStart"/>
      <w:r w:rsidRPr="00CF7AA5">
        <w:rPr>
          <w:lang w:val="en-GB"/>
        </w:rPr>
        <w:t>изследвания</w:t>
      </w:r>
      <w:proofErr w:type="spellEnd"/>
      <w:r w:rsidRPr="00CF7AA5">
        <w:rPr>
          <w:lang w:val="en-GB"/>
        </w:rPr>
        <w:t xml:space="preserve"> </w:t>
      </w:r>
      <w:proofErr w:type="spellStart"/>
      <w:r w:rsidRPr="00CF7AA5">
        <w:rPr>
          <w:lang w:val="en-GB"/>
        </w:rPr>
        <w:t>биха</w:t>
      </w:r>
      <w:proofErr w:type="spellEnd"/>
      <w:r w:rsidRPr="00CF7AA5">
        <w:rPr>
          <w:lang w:val="en-GB"/>
        </w:rPr>
        <w:t xml:space="preserve"> </w:t>
      </w:r>
      <w:proofErr w:type="spellStart"/>
      <w:r w:rsidRPr="00CF7AA5">
        <w:rPr>
          <w:lang w:val="en-GB"/>
        </w:rPr>
        <w:t>могли</w:t>
      </w:r>
      <w:proofErr w:type="spellEnd"/>
      <w:r w:rsidRPr="00CF7AA5">
        <w:rPr>
          <w:lang w:val="en-GB"/>
        </w:rPr>
        <w:t xml:space="preserve"> </w:t>
      </w:r>
      <w:proofErr w:type="spellStart"/>
      <w:r w:rsidRPr="00CF7AA5">
        <w:rPr>
          <w:lang w:val="en-GB"/>
        </w:rPr>
        <w:t>да</w:t>
      </w:r>
      <w:proofErr w:type="spellEnd"/>
      <w:r w:rsidRPr="00CF7AA5">
        <w:rPr>
          <w:lang w:val="en-GB"/>
        </w:rPr>
        <w:t xml:space="preserve"> </w:t>
      </w:r>
      <w:proofErr w:type="spellStart"/>
      <w:r w:rsidRPr="00CF7AA5">
        <w:rPr>
          <w:lang w:val="en-GB"/>
        </w:rPr>
        <w:t>разширят</w:t>
      </w:r>
      <w:proofErr w:type="spellEnd"/>
      <w:r w:rsidRPr="00CF7AA5">
        <w:rPr>
          <w:lang w:val="en-GB"/>
        </w:rPr>
        <w:t xml:space="preserve"> </w:t>
      </w:r>
      <w:proofErr w:type="spellStart"/>
      <w:r w:rsidRPr="00CF7AA5">
        <w:rPr>
          <w:lang w:val="en-GB"/>
        </w:rPr>
        <w:t>анализа</w:t>
      </w:r>
      <w:proofErr w:type="spellEnd"/>
      <w:r w:rsidRPr="00CF7AA5">
        <w:rPr>
          <w:lang w:val="en-GB"/>
        </w:rPr>
        <w:t xml:space="preserve"> </w:t>
      </w:r>
      <w:proofErr w:type="spellStart"/>
      <w:r w:rsidRPr="00CF7AA5">
        <w:rPr>
          <w:lang w:val="en-GB"/>
        </w:rPr>
        <w:t>чрез</w:t>
      </w:r>
      <w:proofErr w:type="spellEnd"/>
      <w:r w:rsidRPr="00CF7AA5">
        <w:rPr>
          <w:lang w:val="en-GB"/>
        </w:rPr>
        <w:t xml:space="preserve"> </w:t>
      </w:r>
      <w:proofErr w:type="spellStart"/>
      <w:r w:rsidRPr="00CF7AA5">
        <w:rPr>
          <w:lang w:val="en-GB"/>
        </w:rPr>
        <w:t>включване</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по-дълги</w:t>
      </w:r>
      <w:proofErr w:type="spellEnd"/>
      <w:r w:rsidRPr="00CF7AA5">
        <w:rPr>
          <w:lang w:val="en-GB"/>
        </w:rPr>
        <w:t xml:space="preserve"> </w:t>
      </w:r>
      <w:proofErr w:type="spellStart"/>
      <w:r w:rsidRPr="00CF7AA5">
        <w:rPr>
          <w:lang w:val="en-GB"/>
        </w:rPr>
        <w:t>времеви</w:t>
      </w:r>
      <w:proofErr w:type="spellEnd"/>
      <w:r w:rsidRPr="00CF7AA5">
        <w:rPr>
          <w:lang w:val="en-GB"/>
        </w:rPr>
        <w:t xml:space="preserve"> </w:t>
      </w:r>
      <w:proofErr w:type="spellStart"/>
      <w:r w:rsidRPr="00CF7AA5">
        <w:rPr>
          <w:lang w:val="en-GB"/>
        </w:rPr>
        <w:t>серии</w:t>
      </w:r>
      <w:proofErr w:type="spellEnd"/>
      <w:r w:rsidRPr="00CF7AA5">
        <w:rPr>
          <w:lang w:val="en-GB"/>
        </w:rPr>
        <w:t xml:space="preserve">, </w:t>
      </w:r>
      <w:proofErr w:type="spellStart"/>
      <w:r w:rsidRPr="00CF7AA5">
        <w:rPr>
          <w:lang w:val="en-GB"/>
        </w:rPr>
        <w:t>допълнителни</w:t>
      </w:r>
      <w:proofErr w:type="spellEnd"/>
      <w:r w:rsidRPr="00CF7AA5">
        <w:rPr>
          <w:lang w:val="en-GB"/>
        </w:rPr>
        <w:t xml:space="preserve"> </w:t>
      </w:r>
      <w:proofErr w:type="spellStart"/>
      <w:r w:rsidRPr="00CF7AA5">
        <w:rPr>
          <w:lang w:val="en-GB"/>
        </w:rPr>
        <w:t>макроикономически</w:t>
      </w:r>
      <w:proofErr w:type="spellEnd"/>
      <w:r w:rsidRPr="00CF7AA5">
        <w:rPr>
          <w:lang w:val="en-GB"/>
        </w:rPr>
        <w:t xml:space="preserve"> </w:t>
      </w:r>
      <w:proofErr w:type="spellStart"/>
      <w:r w:rsidRPr="00CF7AA5">
        <w:rPr>
          <w:lang w:val="en-GB"/>
        </w:rPr>
        <w:t>променливи</w:t>
      </w:r>
      <w:proofErr w:type="spellEnd"/>
      <w:r w:rsidRPr="00CF7AA5">
        <w:rPr>
          <w:lang w:val="en-GB"/>
        </w:rPr>
        <w:t xml:space="preserve"> и </w:t>
      </w:r>
      <w:proofErr w:type="spellStart"/>
      <w:r w:rsidRPr="00CF7AA5">
        <w:rPr>
          <w:lang w:val="en-GB"/>
        </w:rPr>
        <w:t>по-широк</w:t>
      </w:r>
      <w:proofErr w:type="spellEnd"/>
      <w:r w:rsidRPr="00CF7AA5">
        <w:rPr>
          <w:lang w:val="en-GB"/>
        </w:rPr>
        <w:t xml:space="preserve"> </w:t>
      </w:r>
      <w:proofErr w:type="spellStart"/>
      <w:r w:rsidRPr="00CF7AA5">
        <w:rPr>
          <w:lang w:val="en-GB"/>
        </w:rPr>
        <w:t>набор</w:t>
      </w:r>
      <w:proofErr w:type="spellEnd"/>
      <w:r w:rsidRPr="00CF7AA5">
        <w:rPr>
          <w:lang w:val="en-GB"/>
        </w:rPr>
        <w:t xml:space="preserve"> </w:t>
      </w:r>
      <w:proofErr w:type="spellStart"/>
      <w:r w:rsidRPr="00CF7AA5">
        <w:rPr>
          <w:lang w:val="en-GB"/>
        </w:rPr>
        <w:t>от</w:t>
      </w:r>
      <w:proofErr w:type="spellEnd"/>
      <w:r w:rsidRPr="00CF7AA5">
        <w:rPr>
          <w:lang w:val="en-GB"/>
        </w:rPr>
        <w:t xml:space="preserve"> </w:t>
      </w:r>
      <w:proofErr w:type="spellStart"/>
      <w:r w:rsidRPr="00CF7AA5">
        <w:rPr>
          <w:lang w:val="en-GB"/>
        </w:rPr>
        <w:t>криптоактиви</w:t>
      </w:r>
      <w:proofErr w:type="spellEnd"/>
      <w:r w:rsidRPr="00CF7AA5">
        <w:rPr>
          <w:lang w:val="en-GB"/>
        </w:rPr>
        <w:t>.</w:t>
      </w:r>
    </w:p>
    <w:p w14:paraId="656AECB9" w14:textId="325C0144" w:rsidR="00CF7AA5" w:rsidRDefault="00CF7AA5" w:rsidP="00CF7AA5">
      <w:pPr>
        <w:spacing w:line="360" w:lineRule="auto"/>
        <w:ind w:firstLine="709"/>
        <w:jc w:val="both"/>
      </w:pPr>
      <w:r>
        <w:t>Може да обобщим</w:t>
      </w:r>
      <w:r w:rsidRPr="00CF7AA5">
        <w:rPr>
          <w:lang w:val="en-GB"/>
        </w:rPr>
        <w:t xml:space="preserve">, </w:t>
      </w:r>
      <w:proofErr w:type="spellStart"/>
      <w:r w:rsidRPr="00CF7AA5">
        <w:rPr>
          <w:lang w:val="en-GB"/>
        </w:rPr>
        <w:t>че</w:t>
      </w:r>
      <w:proofErr w:type="spellEnd"/>
      <w:r w:rsidRPr="00CF7AA5">
        <w:rPr>
          <w:lang w:val="en-GB"/>
        </w:rPr>
        <w:t xml:space="preserve"> </w:t>
      </w:r>
      <w:proofErr w:type="spellStart"/>
      <w:r w:rsidRPr="00CF7AA5">
        <w:rPr>
          <w:lang w:val="en-GB"/>
        </w:rPr>
        <w:t>криптоактивите</w:t>
      </w:r>
      <w:proofErr w:type="spellEnd"/>
      <w:r w:rsidRPr="00CF7AA5">
        <w:rPr>
          <w:lang w:val="en-GB"/>
        </w:rPr>
        <w:t xml:space="preserve"> </w:t>
      </w:r>
      <w:proofErr w:type="spellStart"/>
      <w:r w:rsidRPr="00CF7AA5">
        <w:rPr>
          <w:lang w:val="en-GB"/>
        </w:rPr>
        <w:t>представляват</w:t>
      </w:r>
      <w:proofErr w:type="spellEnd"/>
      <w:r w:rsidRPr="00CF7AA5">
        <w:rPr>
          <w:lang w:val="en-GB"/>
        </w:rPr>
        <w:t xml:space="preserve"> </w:t>
      </w:r>
      <w:proofErr w:type="spellStart"/>
      <w:r w:rsidRPr="00CF7AA5">
        <w:rPr>
          <w:lang w:val="en-GB"/>
        </w:rPr>
        <w:t>динамичен</w:t>
      </w:r>
      <w:proofErr w:type="spellEnd"/>
      <w:r w:rsidRPr="00CF7AA5">
        <w:rPr>
          <w:lang w:val="en-GB"/>
        </w:rPr>
        <w:t xml:space="preserve"> и </w:t>
      </w:r>
      <w:proofErr w:type="spellStart"/>
      <w:r w:rsidRPr="00CF7AA5">
        <w:rPr>
          <w:lang w:val="en-GB"/>
        </w:rPr>
        <w:t>бързо</w:t>
      </w:r>
      <w:proofErr w:type="spellEnd"/>
      <w:r w:rsidRPr="00CF7AA5">
        <w:rPr>
          <w:lang w:val="en-GB"/>
        </w:rPr>
        <w:t xml:space="preserve"> </w:t>
      </w:r>
      <w:proofErr w:type="spellStart"/>
      <w:r w:rsidRPr="00CF7AA5">
        <w:rPr>
          <w:lang w:val="en-GB"/>
        </w:rPr>
        <w:t>развиващ</w:t>
      </w:r>
      <w:proofErr w:type="spellEnd"/>
      <w:r w:rsidRPr="00CF7AA5">
        <w:rPr>
          <w:lang w:val="en-GB"/>
        </w:rPr>
        <w:t xml:space="preserve"> </w:t>
      </w:r>
      <w:proofErr w:type="spellStart"/>
      <w:r w:rsidRPr="00CF7AA5">
        <w:rPr>
          <w:lang w:val="en-GB"/>
        </w:rPr>
        <w:t>се</w:t>
      </w:r>
      <w:proofErr w:type="spellEnd"/>
      <w:r w:rsidRPr="00CF7AA5">
        <w:rPr>
          <w:lang w:val="en-GB"/>
        </w:rPr>
        <w:t xml:space="preserve"> </w:t>
      </w:r>
      <w:proofErr w:type="spellStart"/>
      <w:r w:rsidRPr="00CF7AA5">
        <w:rPr>
          <w:lang w:val="en-GB"/>
        </w:rPr>
        <w:t>сегмент</w:t>
      </w:r>
      <w:proofErr w:type="spellEnd"/>
      <w:r w:rsidRPr="00CF7AA5">
        <w:rPr>
          <w:lang w:val="en-GB"/>
        </w:rPr>
        <w:t xml:space="preserve"> </w:t>
      </w:r>
      <w:proofErr w:type="spellStart"/>
      <w:r w:rsidRPr="00CF7AA5">
        <w:rPr>
          <w:lang w:val="en-GB"/>
        </w:rPr>
        <w:t>от</w:t>
      </w:r>
      <w:proofErr w:type="spellEnd"/>
      <w:r w:rsidRPr="00CF7AA5">
        <w:rPr>
          <w:lang w:val="en-GB"/>
        </w:rPr>
        <w:t xml:space="preserve"> </w:t>
      </w:r>
      <w:proofErr w:type="spellStart"/>
      <w:r w:rsidRPr="00CF7AA5">
        <w:rPr>
          <w:lang w:val="en-GB"/>
        </w:rPr>
        <w:t>финансовата</w:t>
      </w:r>
      <w:proofErr w:type="spellEnd"/>
      <w:r w:rsidRPr="00CF7AA5">
        <w:rPr>
          <w:lang w:val="en-GB"/>
        </w:rPr>
        <w:t xml:space="preserve"> </w:t>
      </w:r>
      <w:proofErr w:type="spellStart"/>
      <w:r w:rsidRPr="00CF7AA5">
        <w:rPr>
          <w:lang w:val="en-GB"/>
        </w:rPr>
        <w:t>система</w:t>
      </w:r>
      <w:proofErr w:type="spellEnd"/>
      <w:r w:rsidRPr="00CF7AA5">
        <w:rPr>
          <w:lang w:val="en-GB"/>
        </w:rPr>
        <w:t xml:space="preserve">, </w:t>
      </w:r>
      <w:proofErr w:type="spellStart"/>
      <w:r w:rsidRPr="00CF7AA5">
        <w:rPr>
          <w:lang w:val="en-GB"/>
        </w:rPr>
        <w:t>чиято</w:t>
      </w:r>
      <w:proofErr w:type="spellEnd"/>
      <w:r w:rsidRPr="00CF7AA5">
        <w:rPr>
          <w:lang w:val="en-GB"/>
        </w:rPr>
        <w:t xml:space="preserve"> </w:t>
      </w:r>
      <w:proofErr w:type="spellStart"/>
      <w:r w:rsidRPr="00CF7AA5">
        <w:rPr>
          <w:lang w:val="en-GB"/>
        </w:rPr>
        <w:t>еволюция</w:t>
      </w:r>
      <w:proofErr w:type="spellEnd"/>
      <w:r w:rsidRPr="00CF7AA5">
        <w:rPr>
          <w:lang w:val="en-GB"/>
        </w:rPr>
        <w:t xml:space="preserve"> е </w:t>
      </w:r>
      <w:proofErr w:type="spellStart"/>
      <w:r w:rsidRPr="00CF7AA5">
        <w:rPr>
          <w:lang w:val="en-GB"/>
        </w:rPr>
        <w:t>неразривно</w:t>
      </w:r>
      <w:proofErr w:type="spellEnd"/>
      <w:r w:rsidRPr="00CF7AA5">
        <w:rPr>
          <w:lang w:val="en-GB"/>
        </w:rPr>
        <w:t xml:space="preserve"> </w:t>
      </w:r>
      <w:proofErr w:type="spellStart"/>
      <w:r w:rsidRPr="00CF7AA5">
        <w:rPr>
          <w:lang w:val="en-GB"/>
        </w:rPr>
        <w:t>свързана</w:t>
      </w:r>
      <w:proofErr w:type="spellEnd"/>
      <w:r w:rsidRPr="00CF7AA5">
        <w:rPr>
          <w:lang w:val="en-GB"/>
        </w:rPr>
        <w:t xml:space="preserve"> с </w:t>
      </w:r>
      <w:proofErr w:type="spellStart"/>
      <w:r w:rsidRPr="00CF7AA5">
        <w:rPr>
          <w:lang w:val="en-GB"/>
        </w:rPr>
        <w:t>глобалната</w:t>
      </w:r>
      <w:proofErr w:type="spellEnd"/>
      <w:r w:rsidRPr="00CF7AA5">
        <w:rPr>
          <w:lang w:val="en-GB"/>
        </w:rPr>
        <w:t xml:space="preserve"> </w:t>
      </w:r>
      <w:proofErr w:type="spellStart"/>
      <w:r w:rsidRPr="00CF7AA5">
        <w:rPr>
          <w:lang w:val="en-GB"/>
        </w:rPr>
        <w:t>макроикономическа</w:t>
      </w:r>
      <w:proofErr w:type="spellEnd"/>
      <w:r w:rsidRPr="00CF7AA5">
        <w:rPr>
          <w:lang w:val="en-GB"/>
        </w:rPr>
        <w:t xml:space="preserve"> </w:t>
      </w:r>
      <w:proofErr w:type="spellStart"/>
      <w:r w:rsidRPr="00CF7AA5">
        <w:rPr>
          <w:lang w:val="en-GB"/>
        </w:rPr>
        <w:t>среда</w:t>
      </w:r>
      <w:proofErr w:type="spellEnd"/>
      <w:r w:rsidRPr="00CF7AA5">
        <w:rPr>
          <w:lang w:val="en-GB"/>
        </w:rPr>
        <w:t xml:space="preserve">. </w:t>
      </w:r>
      <w:proofErr w:type="spellStart"/>
      <w:r w:rsidRPr="00CF7AA5">
        <w:rPr>
          <w:lang w:val="en-GB"/>
        </w:rPr>
        <w:t>Разбирането</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връзките</w:t>
      </w:r>
      <w:proofErr w:type="spellEnd"/>
      <w:r w:rsidRPr="00CF7AA5">
        <w:rPr>
          <w:lang w:val="en-GB"/>
        </w:rPr>
        <w:t xml:space="preserve"> </w:t>
      </w:r>
      <w:proofErr w:type="spellStart"/>
      <w:r w:rsidRPr="00CF7AA5">
        <w:rPr>
          <w:lang w:val="en-GB"/>
        </w:rPr>
        <w:t>между</w:t>
      </w:r>
      <w:proofErr w:type="spellEnd"/>
      <w:r w:rsidRPr="00CF7AA5">
        <w:rPr>
          <w:lang w:val="en-GB"/>
        </w:rPr>
        <w:t xml:space="preserve"> </w:t>
      </w:r>
      <w:proofErr w:type="spellStart"/>
      <w:r w:rsidRPr="00CF7AA5">
        <w:rPr>
          <w:lang w:val="en-GB"/>
        </w:rPr>
        <w:t>тези</w:t>
      </w:r>
      <w:proofErr w:type="spellEnd"/>
      <w:r w:rsidRPr="00CF7AA5">
        <w:rPr>
          <w:lang w:val="en-GB"/>
        </w:rPr>
        <w:t xml:space="preserve"> </w:t>
      </w:r>
      <w:proofErr w:type="spellStart"/>
      <w:r w:rsidRPr="00CF7AA5">
        <w:rPr>
          <w:lang w:val="en-GB"/>
        </w:rPr>
        <w:t>активи</w:t>
      </w:r>
      <w:proofErr w:type="spellEnd"/>
      <w:r w:rsidRPr="00CF7AA5">
        <w:rPr>
          <w:lang w:val="en-GB"/>
        </w:rPr>
        <w:t xml:space="preserve"> и </w:t>
      </w:r>
      <w:proofErr w:type="spellStart"/>
      <w:r w:rsidRPr="00CF7AA5">
        <w:rPr>
          <w:lang w:val="en-GB"/>
        </w:rPr>
        <w:t>основните</w:t>
      </w:r>
      <w:proofErr w:type="spellEnd"/>
      <w:r w:rsidRPr="00CF7AA5">
        <w:rPr>
          <w:lang w:val="en-GB"/>
        </w:rPr>
        <w:t xml:space="preserve"> </w:t>
      </w:r>
      <w:proofErr w:type="spellStart"/>
      <w:r w:rsidRPr="00CF7AA5">
        <w:rPr>
          <w:lang w:val="en-GB"/>
        </w:rPr>
        <w:t>икономически</w:t>
      </w:r>
      <w:proofErr w:type="spellEnd"/>
      <w:r w:rsidRPr="00CF7AA5">
        <w:rPr>
          <w:lang w:val="en-GB"/>
        </w:rPr>
        <w:t xml:space="preserve"> </w:t>
      </w:r>
      <w:proofErr w:type="spellStart"/>
      <w:r w:rsidRPr="00CF7AA5">
        <w:rPr>
          <w:lang w:val="en-GB"/>
        </w:rPr>
        <w:t>индикатори</w:t>
      </w:r>
      <w:proofErr w:type="spellEnd"/>
      <w:r w:rsidRPr="00CF7AA5">
        <w:rPr>
          <w:lang w:val="en-GB"/>
        </w:rPr>
        <w:t xml:space="preserve"> е </w:t>
      </w:r>
      <w:proofErr w:type="spellStart"/>
      <w:r w:rsidRPr="00CF7AA5">
        <w:rPr>
          <w:lang w:val="en-GB"/>
        </w:rPr>
        <w:t>от</w:t>
      </w:r>
      <w:proofErr w:type="spellEnd"/>
      <w:r w:rsidRPr="00CF7AA5">
        <w:rPr>
          <w:lang w:val="en-GB"/>
        </w:rPr>
        <w:t xml:space="preserve"> </w:t>
      </w:r>
      <w:proofErr w:type="spellStart"/>
      <w:r w:rsidRPr="00CF7AA5">
        <w:rPr>
          <w:lang w:val="en-GB"/>
        </w:rPr>
        <w:t>съществено</w:t>
      </w:r>
      <w:proofErr w:type="spellEnd"/>
      <w:r w:rsidRPr="00CF7AA5">
        <w:rPr>
          <w:lang w:val="en-GB"/>
        </w:rPr>
        <w:t xml:space="preserve"> </w:t>
      </w:r>
      <w:proofErr w:type="spellStart"/>
      <w:r w:rsidRPr="00CF7AA5">
        <w:rPr>
          <w:lang w:val="en-GB"/>
        </w:rPr>
        <w:t>значение</w:t>
      </w:r>
      <w:proofErr w:type="spellEnd"/>
      <w:r w:rsidRPr="00CF7AA5">
        <w:rPr>
          <w:lang w:val="en-GB"/>
        </w:rPr>
        <w:t xml:space="preserve"> </w:t>
      </w:r>
      <w:proofErr w:type="spellStart"/>
      <w:r w:rsidRPr="00CF7AA5">
        <w:rPr>
          <w:lang w:val="en-GB"/>
        </w:rPr>
        <w:t>за</w:t>
      </w:r>
      <w:proofErr w:type="spellEnd"/>
      <w:r w:rsidRPr="00CF7AA5">
        <w:rPr>
          <w:lang w:val="en-GB"/>
        </w:rPr>
        <w:t xml:space="preserve"> </w:t>
      </w:r>
      <w:proofErr w:type="spellStart"/>
      <w:r w:rsidRPr="00CF7AA5">
        <w:rPr>
          <w:lang w:val="en-GB"/>
        </w:rPr>
        <w:t>ефективното</w:t>
      </w:r>
      <w:proofErr w:type="spellEnd"/>
      <w:r w:rsidRPr="00CF7AA5">
        <w:rPr>
          <w:lang w:val="en-GB"/>
        </w:rPr>
        <w:t xml:space="preserve"> </w:t>
      </w:r>
      <w:proofErr w:type="spellStart"/>
      <w:r w:rsidRPr="00CF7AA5">
        <w:rPr>
          <w:lang w:val="en-GB"/>
        </w:rPr>
        <w:t>управление</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риска</w:t>
      </w:r>
      <w:proofErr w:type="spellEnd"/>
      <w:r w:rsidRPr="00CF7AA5">
        <w:rPr>
          <w:lang w:val="en-GB"/>
        </w:rPr>
        <w:t xml:space="preserve">, </w:t>
      </w:r>
      <w:proofErr w:type="spellStart"/>
      <w:r w:rsidRPr="00CF7AA5">
        <w:rPr>
          <w:lang w:val="en-GB"/>
        </w:rPr>
        <w:t>за</w:t>
      </w:r>
      <w:proofErr w:type="spellEnd"/>
      <w:r w:rsidRPr="00CF7AA5">
        <w:rPr>
          <w:lang w:val="en-GB"/>
        </w:rPr>
        <w:t xml:space="preserve"> </w:t>
      </w:r>
      <w:proofErr w:type="spellStart"/>
      <w:r w:rsidRPr="00CF7AA5">
        <w:rPr>
          <w:lang w:val="en-GB"/>
        </w:rPr>
        <w:t>вземането</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информирани</w:t>
      </w:r>
      <w:proofErr w:type="spellEnd"/>
      <w:r w:rsidRPr="00CF7AA5">
        <w:rPr>
          <w:lang w:val="en-GB"/>
        </w:rPr>
        <w:t xml:space="preserve"> </w:t>
      </w:r>
      <w:proofErr w:type="spellStart"/>
      <w:r w:rsidRPr="00CF7AA5">
        <w:rPr>
          <w:lang w:val="en-GB"/>
        </w:rPr>
        <w:t>инвестиционни</w:t>
      </w:r>
      <w:proofErr w:type="spellEnd"/>
      <w:r w:rsidRPr="00CF7AA5">
        <w:rPr>
          <w:lang w:val="en-GB"/>
        </w:rPr>
        <w:t xml:space="preserve"> </w:t>
      </w:r>
      <w:proofErr w:type="spellStart"/>
      <w:r w:rsidRPr="00CF7AA5">
        <w:rPr>
          <w:lang w:val="en-GB"/>
        </w:rPr>
        <w:t>решения</w:t>
      </w:r>
      <w:proofErr w:type="spellEnd"/>
      <w:r w:rsidRPr="00CF7AA5">
        <w:rPr>
          <w:lang w:val="en-GB"/>
        </w:rPr>
        <w:t xml:space="preserve"> и </w:t>
      </w:r>
      <w:proofErr w:type="spellStart"/>
      <w:r w:rsidRPr="00CF7AA5">
        <w:rPr>
          <w:lang w:val="en-GB"/>
        </w:rPr>
        <w:t>за</w:t>
      </w:r>
      <w:proofErr w:type="spellEnd"/>
      <w:r w:rsidRPr="00CF7AA5">
        <w:rPr>
          <w:lang w:val="en-GB"/>
        </w:rPr>
        <w:t xml:space="preserve"> </w:t>
      </w:r>
      <w:proofErr w:type="spellStart"/>
      <w:r w:rsidRPr="00CF7AA5">
        <w:rPr>
          <w:lang w:val="en-GB"/>
        </w:rPr>
        <w:t>разработването</w:t>
      </w:r>
      <w:proofErr w:type="spellEnd"/>
      <w:r w:rsidRPr="00CF7AA5">
        <w:rPr>
          <w:lang w:val="en-GB"/>
        </w:rPr>
        <w:t xml:space="preserve"> </w:t>
      </w:r>
      <w:proofErr w:type="spellStart"/>
      <w:r w:rsidRPr="00CF7AA5">
        <w:rPr>
          <w:lang w:val="en-GB"/>
        </w:rPr>
        <w:t>на</w:t>
      </w:r>
      <w:proofErr w:type="spellEnd"/>
      <w:r w:rsidRPr="00CF7AA5">
        <w:rPr>
          <w:lang w:val="en-GB"/>
        </w:rPr>
        <w:t xml:space="preserve"> </w:t>
      </w:r>
      <w:proofErr w:type="spellStart"/>
      <w:r w:rsidRPr="00CF7AA5">
        <w:rPr>
          <w:lang w:val="en-GB"/>
        </w:rPr>
        <w:t>адекватни</w:t>
      </w:r>
      <w:proofErr w:type="spellEnd"/>
      <w:r w:rsidRPr="00CF7AA5">
        <w:rPr>
          <w:lang w:val="en-GB"/>
        </w:rPr>
        <w:t xml:space="preserve"> </w:t>
      </w:r>
      <w:proofErr w:type="spellStart"/>
      <w:r w:rsidRPr="00CF7AA5">
        <w:rPr>
          <w:lang w:val="en-GB"/>
        </w:rPr>
        <w:t>регулаторни</w:t>
      </w:r>
      <w:proofErr w:type="spellEnd"/>
      <w:r w:rsidRPr="00CF7AA5">
        <w:rPr>
          <w:lang w:val="en-GB"/>
        </w:rPr>
        <w:t xml:space="preserve"> </w:t>
      </w:r>
      <w:proofErr w:type="spellStart"/>
      <w:r w:rsidRPr="00CF7AA5">
        <w:rPr>
          <w:lang w:val="en-GB"/>
        </w:rPr>
        <w:t>политики</w:t>
      </w:r>
      <w:proofErr w:type="spellEnd"/>
      <w:r w:rsidRPr="00CF7AA5">
        <w:rPr>
          <w:lang w:val="en-GB"/>
        </w:rPr>
        <w:t>.</w:t>
      </w:r>
    </w:p>
    <w:p w14:paraId="1493DBD5" w14:textId="076534AD" w:rsidR="00CF7AA5" w:rsidRDefault="00CF7AA5">
      <w:pPr>
        <w:widowControl/>
        <w:suppressAutoHyphens w:val="0"/>
      </w:pPr>
      <w:r>
        <w:br w:type="page"/>
      </w:r>
    </w:p>
    <w:p w14:paraId="50A29076" w14:textId="2A2FDE9C" w:rsidR="00CF7AA5" w:rsidRPr="00CF7AA5" w:rsidRDefault="00CF7AA5" w:rsidP="00CF7AA5">
      <w:pPr>
        <w:spacing w:line="360" w:lineRule="auto"/>
        <w:ind w:firstLine="709"/>
        <w:jc w:val="center"/>
        <w:rPr>
          <w:b/>
          <w:bCs/>
        </w:rPr>
      </w:pPr>
      <w:r w:rsidRPr="00CF7AA5">
        <w:rPr>
          <w:b/>
          <w:bCs/>
        </w:rPr>
        <w:lastRenderedPageBreak/>
        <w:t>Използвана литература</w:t>
      </w:r>
    </w:p>
    <w:p w14:paraId="0B878E08" w14:textId="77777777" w:rsidR="00CF7AA5" w:rsidRPr="00CF7AA5" w:rsidRDefault="00CF7AA5" w:rsidP="00CF7AA5">
      <w:pPr>
        <w:spacing w:line="360" w:lineRule="auto"/>
        <w:ind w:firstLine="709"/>
        <w:jc w:val="both"/>
        <w:rPr>
          <w:lang w:val="en-GB"/>
        </w:rPr>
      </w:pPr>
      <w:r w:rsidRPr="00CF7AA5">
        <w:rPr>
          <w:lang w:val="en-GB"/>
        </w:rPr>
        <w:t xml:space="preserve">American Economic Association. (2026). </w:t>
      </w:r>
      <w:r w:rsidRPr="00CF7AA5">
        <w:rPr>
          <w:i/>
          <w:iCs/>
          <w:lang w:val="en-GB"/>
        </w:rPr>
        <w:t>Cryptocurrency adoption in high-inflation environments: Evidence from Argentina</w:t>
      </w:r>
      <w:r w:rsidRPr="00CF7AA5">
        <w:rPr>
          <w:lang w:val="en-GB"/>
        </w:rPr>
        <w:t>.</w:t>
      </w:r>
      <w:r w:rsidRPr="00CF7AA5">
        <w:rPr>
          <w:lang w:val="en-GB"/>
        </w:rPr>
        <w:br/>
      </w:r>
      <w:hyperlink r:id="rId15" w:tgtFrame="_new" w:history="1">
        <w:r w:rsidRPr="00CF7AA5">
          <w:rPr>
            <w:rStyle w:val="Hyperlink"/>
            <w:lang w:val="en-GB"/>
          </w:rPr>
          <w:t>https://www.aeaweb.org/conference/2026/program/paper/y6HRibzE</w:t>
        </w:r>
      </w:hyperlink>
    </w:p>
    <w:p w14:paraId="6A6079D5" w14:textId="77777777" w:rsidR="00CF7AA5" w:rsidRPr="00CF7AA5" w:rsidRDefault="00CF7AA5" w:rsidP="00CF7AA5">
      <w:pPr>
        <w:spacing w:line="360" w:lineRule="auto"/>
        <w:ind w:firstLine="709"/>
        <w:jc w:val="both"/>
        <w:rPr>
          <w:lang w:val="en-GB"/>
        </w:rPr>
      </w:pPr>
      <w:r w:rsidRPr="00CF7AA5">
        <w:rPr>
          <w:lang w:val="en-GB"/>
        </w:rPr>
        <w:t xml:space="preserve">AMINA Bank. (2026, January 6). </w:t>
      </w:r>
      <w:r w:rsidRPr="00CF7AA5">
        <w:rPr>
          <w:i/>
          <w:iCs/>
          <w:lang w:val="en-GB"/>
        </w:rPr>
        <w:t xml:space="preserve">Crypto in 2026: From Speculation to Financial </w:t>
      </w:r>
      <w:proofErr w:type="gramStart"/>
      <w:r w:rsidRPr="00CF7AA5">
        <w:rPr>
          <w:i/>
          <w:iCs/>
          <w:lang w:val="en-GB"/>
        </w:rPr>
        <w:t xml:space="preserve">Infrastructure </w:t>
      </w:r>
      <w:r w:rsidRPr="00CF7AA5">
        <w:rPr>
          <w:lang w:val="en-GB"/>
        </w:rPr>
        <w:t>.</w:t>
      </w:r>
      <w:proofErr w:type="gramEnd"/>
      <w:r w:rsidRPr="00CF7AA5">
        <w:rPr>
          <w:lang w:val="en-GB"/>
        </w:rPr>
        <w:t xml:space="preserve"> AMINA Bank. https://aminagroup.com/research/2026-outlook-institutional-adoption-regulation-and-market-structure/</w:t>
      </w:r>
    </w:p>
    <w:p w14:paraId="122ED1AC" w14:textId="77777777" w:rsidR="00CF7AA5" w:rsidRPr="00CF7AA5" w:rsidRDefault="00CF7AA5" w:rsidP="00CF7AA5">
      <w:pPr>
        <w:spacing w:line="360" w:lineRule="auto"/>
        <w:ind w:firstLine="709"/>
        <w:jc w:val="both"/>
        <w:rPr>
          <w:lang w:val="en-GB"/>
        </w:rPr>
      </w:pPr>
      <w:r w:rsidRPr="00CF7AA5">
        <w:rPr>
          <w:lang w:val="en-GB"/>
        </w:rPr>
        <w:t xml:space="preserve">Ashraf, N. A., Sethi, S., Abid, N. H., &amp; Muhammad, N. (2025). Cryptocurrency and Macroeconomic Stability: Can Bitcoin Protect Against Inflation? </w:t>
      </w:r>
      <w:r w:rsidRPr="00CF7AA5">
        <w:rPr>
          <w:i/>
          <w:iCs/>
          <w:lang w:val="en-GB"/>
        </w:rPr>
        <w:t>Indus Journal of Social Sciences.</w:t>
      </w:r>
      <w:r w:rsidRPr="00CF7AA5">
        <w:rPr>
          <w:lang w:val="en-GB"/>
        </w:rPr>
        <w:t xml:space="preserve">, </w:t>
      </w:r>
      <w:r w:rsidRPr="00CF7AA5">
        <w:rPr>
          <w:i/>
          <w:iCs/>
          <w:lang w:val="en-GB"/>
        </w:rPr>
        <w:t>3</w:t>
      </w:r>
      <w:r w:rsidRPr="00CF7AA5">
        <w:rPr>
          <w:lang w:val="en-GB"/>
        </w:rPr>
        <w:t>(1), 764–774. https://doi.org/10.59075/ijss.v3i1.813</w:t>
      </w:r>
    </w:p>
    <w:p w14:paraId="292E7F8A" w14:textId="77777777" w:rsidR="00CF7AA5" w:rsidRPr="00CF7AA5" w:rsidRDefault="00CF7AA5" w:rsidP="00CF7AA5">
      <w:pPr>
        <w:spacing w:line="360" w:lineRule="auto"/>
        <w:ind w:firstLine="709"/>
        <w:jc w:val="both"/>
        <w:rPr>
          <w:lang w:val="en-GB"/>
        </w:rPr>
      </w:pPr>
      <w:r w:rsidRPr="00CF7AA5">
        <w:rPr>
          <w:lang w:val="en-GB"/>
        </w:rPr>
        <w:t xml:space="preserve">Benedetti, H., &amp; Smith, S. S. (2024). </w:t>
      </w:r>
      <w:proofErr w:type="spellStart"/>
      <w:r w:rsidRPr="00CF7AA5">
        <w:rPr>
          <w:lang w:val="en-GB"/>
        </w:rPr>
        <w:t>Cryptoassets</w:t>
      </w:r>
      <w:proofErr w:type="spellEnd"/>
      <w:r w:rsidRPr="00CF7AA5">
        <w:rPr>
          <w:lang w:val="en-GB"/>
        </w:rPr>
        <w:t xml:space="preserve"> and Fintech. </w:t>
      </w:r>
      <w:r w:rsidRPr="00CF7AA5">
        <w:rPr>
          <w:i/>
          <w:iCs/>
          <w:lang w:val="en-GB"/>
        </w:rPr>
        <w:t xml:space="preserve">Emerald Publishing Limited </w:t>
      </w:r>
      <w:proofErr w:type="spellStart"/>
      <w:r w:rsidRPr="00CF7AA5">
        <w:rPr>
          <w:i/>
          <w:iCs/>
          <w:lang w:val="en-GB"/>
        </w:rPr>
        <w:t>EBooks</w:t>
      </w:r>
      <w:proofErr w:type="spellEnd"/>
      <w:r w:rsidRPr="00CF7AA5">
        <w:rPr>
          <w:lang w:val="en-GB"/>
        </w:rPr>
        <w:t>, 267–281. https://doi.org/10.1108/978-1-83753-608-520241034</w:t>
      </w:r>
    </w:p>
    <w:p w14:paraId="77DF929E" w14:textId="77777777" w:rsidR="00CF7AA5" w:rsidRPr="00CF7AA5" w:rsidRDefault="00CF7AA5" w:rsidP="00CF7AA5">
      <w:pPr>
        <w:spacing w:line="360" w:lineRule="auto"/>
        <w:ind w:firstLine="709"/>
        <w:jc w:val="both"/>
        <w:rPr>
          <w:lang w:val="en-GB"/>
        </w:rPr>
      </w:pPr>
      <w:r w:rsidRPr="00CF7AA5">
        <w:rPr>
          <w:lang w:val="en-GB"/>
        </w:rPr>
        <w:t xml:space="preserve">Board of Governors of the Federal Reserve System. (2020). </w:t>
      </w:r>
      <w:r w:rsidRPr="00CF7AA5">
        <w:rPr>
          <w:i/>
          <w:iCs/>
          <w:lang w:val="en-GB"/>
        </w:rPr>
        <w:t>Monetary policy report</w:t>
      </w:r>
      <w:r w:rsidRPr="00CF7AA5">
        <w:rPr>
          <w:lang w:val="en-GB"/>
        </w:rPr>
        <w:t xml:space="preserve">. </w:t>
      </w:r>
      <w:hyperlink r:id="rId16" w:tgtFrame="_new" w:history="1">
        <w:r w:rsidRPr="00CF7AA5">
          <w:rPr>
            <w:rStyle w:val="Hyperlink"/>
            <w:lang w:val="en-GB"/>
          </w:rPr>
          <w:t>https://www.federalreserve.gov/monetarypolicy/mpr_default.htm</w:t>
        </w:r>
      </w:hyperlink>
    </w:p>
    <w:p w14:paraId="5708AE29" w14:textId="77777777" w:rsidR="00CF7AA5" w:rsidRPr="00CF7AA5" w:rsidRDefault="00CF7AA5" w:rsidP="00CF7AA5">
      <w:pPr>
        <w:spacing w:line="360" w:lineRule="auto"/>
        <w:ind w:firstLine="709"/>
        <w:jc w:val="both"/>
        <w:rPr>
          <w:lang w:val="en-GB"/>
        </w:rPr>
      </w:pPr>
      <w:r w:rsidRPr="00CF7AA5">
        <w:rPr>
          <w:lang w:val="en-GB"/>
        </w:rPr>
        <w:t xml:space="preserve">Board of Governors of the Federal Reserve System. (2023). </w:t>
      </w:r>
      <w:r w:rsidRPr="00CF7AA5">
        <w:rPr>
          <w:i/>
          <w:iCs/>
          <w:lang w:val="en-GB"/>
        </w:rPr>
        <w:t>Monetary policy report</w:t>
      </w:r>
      <w:r w:rsidRPr="00CF7AA5">
        <w:rPr>
          <w:lang w:val="en-GB"/>
        </w:rPr>
        <w:t xml:space="preserve">. </w:t>
      </w:r>
      <w:hyperlink r:id="rId17" w:tgtFrame="_new" w:history="1">
        <w:r w:rsidRPr="00CF7AA5">
          <w:rPr>
            <w:rStyle w:val="Hyperlink"/>
            <w:lang w:val="en-GB"/>
          </w:rPr>
          <w:t>https://www.federalreserve.gov/monetarypolicy/mpr_default.htm</w:t>
        </w:r>
      </w:hyperlink>
    </w:p>
    <w:p w14:paraId="030E30FE" w14:textId="77777777" w:rsidR="00CF7AA5" w:rsidRPr="00CF7AA5" w:rsidRDefault="00CF7AA5" w:rsidP="00CF7AA5">
      <w:pPr>
        <w:spacing w:line="360" w:lineRule="auto"/>
        <w:ind w:firstLine="709"/>
        <w:jc w:val="both"/>
      </w:pPr>
      <w:r w:rsidRPr="00CF7AA5">
        <w:t xml:space="preserve">Board of Governors of the Federal Reserve System. (2025). </w:t>
      </w:r>
      <w:r w:rsidRPr="00CF7AA5">
        <w:rPr>
          <w:i/>
          <w:iCs/>
        </w:rPr>
        <w:t>Federal funds rate</w:t>
      </w:r>
      <w:r w:rsidRPr="00CF7AA5">
        <w:t xml:space="preserve">. </w:t>
      </w:r>
      <w:r w:rsidRPr="00CF7AA5">
        <w:fldChar w:fldCharType="begin"/>
      </w:r>
      <w:r w:rsidRPr="00CF7AA5">
        <w:instrText>HYPERLINK "https://www.federalreserve.gov/" \t "_new"</w:instrText>
      </w:r>
      <w:r w:rsidRPr="00CF7AA5">
        <w:fldChar w:fldCharType="separate"/>
      </w:r>
      <w:r w:rsidRPr="00CF7AA5">
        <w:rPr>
          <w:rStyle w:val="Hyperlink"/>
        </w:rPr>
        <w:t>https://www.federalreserve.gov/</w:t>
      </w:r>
      <w:r w:rsidRPr="00CF7AA5">
        <w:fldChar w:fldCharType="end"/>
      </w:r>
    </w:p>
    <w:p w14:paraId="527A286F" w14:textId="77777777" w:rsidR="00CF7AA5" w:rsidRPr="00CF7AA5" w:rsidRDefault="00CF7AA5" w:rsidP="00CF7AA5">
      <w:pPr>
        <w:spacing w:line="360" w:lineRule="auto"/>
        <w:ind w:firstLine="709"/>
        <w:jc w:val="both"/>
      </w:pPr>
      <w:r w:rsidRPr="00CF7AA5">
        <w:t xml:space="preserve">Bouri, E., Molnár, P., Azzi, G., Roubaud, D., &amp; Hagfors, L. I. (2017). On the hedge and safe haven properties of Bitcoin: Is it really more than a diversifier? Finance Research Letters, 20, 192–198. </w:t>
      </w:r>
      <w:r w:rsidRPr="00CF7AA5">
        <w:fldChar w:fldCharType="begin"/>
      </w:r>
      <w:r w:rsidRPr="00CF7AA5">
        <w:instrText>HYPERLINK "https://ideas.repec.org/a/eee/finlet/v20y2017icp192-198.html"</w:instrText>
      </w:r>
      <w:r w:rsidRPr="00CF7AA5">
        <w:fldChar w:fldCharType="separate"/>
      </w:r>
      <w:r w:rsidRPr="00CF7AA5">
        <w:rPr>
          <w:rStyle w:val="Hyperlink"/>
        </w:rPr>
        <w:t>https://ideas.repec.org/a/eee/finlet/v20y2017icp192-198.html</w:t>
      </w:r>
      <w:r w:rsidRPr="00CF7AA5">
        <w:fldChar w:fldCharType="end"/>
      </w:r>
    </w:p>
    <w:p w14:paraId="336E11F4" w14:textId="77777777" w:rsidR="00CF7AA5" w:rsidRPr="00CF7AA5" w:rsidRDefault="00CF7AA5" w:rsidP="00CF7AA5">
      <w:pPr>
        <w:spacing w:line="360" w:lineRule="auto"/>
        <w:ind w:firstLine="709"/>
        <w:jc w:val="both"/>
      </w:pPr>
      <w:r w:rsidRPr="00CF7AA5">
        <w:t xml:space="preserve">Bouri, E., Shahzad, S. J. H., Roubaud, D., Kristoufek, L., &amp; Lucey, B. M. (2019). Bitcoin, gold, and commodities as safe havens for stocks: New insights through wavelet analysis. The Quarterly Review of Economics and Finance, 77, 156–164. </w:t>
      </w:r>
      <w:r w:rsidRPr="00CF7AA5">
        <w:fldChar w:fldCharType="begin"/>
      </w:r>
      <w:r w:rsidRPr="00CF7AA5">
        <w:instrText>HYPERLINK "https://ideas.repec.org/a/eee/quaeco/v77y2020icp156-164.html"</w:instrText>
      </w:r>
      <w:r w:rsidRPr="00CF7AA5">
        <w:fldChar w:fldCharType="separate"/>
      </w:r>
      <w:r w:rsidRPr="00CF7AA5">
        <w:rPr>
          <w:rStyle w:val="Hyperlink"/>
        </w:rPr>
        <w:t>https://ideas.repec.org/a/eee/quaeco/v77y2020icp156-164.html</w:t>
      </w:r>
      <w:r w:rsidRPr="00CF7AA5">
        <w:fldChar w:fldCharType="end"/>
      </w:r>
    </w:p>
    <w:p w14:paraId="20B39024" w14:textId="77777777" w:rsidR="00CF7AA5" w:rsidRPr="00CF7AA5" w:rsidRDefault="00CF7AA5" w:rsidP="00CF7AA5">
      <w:pPr>
        <w:spacing w:line="360" w:lineRule="auto"/>
        <w:ind w:firstLine="709"/>
        <w:jc w:val="both"/>
      </w:pPr>
      <w:r w:rsidRPr="00CF7AA5">
        <w:t xml:space="preserve">Brini, R., &amp; Lenz, C. (2024). Understanding Bitcoin price volatility: A financial innovation perspective. Journal of Financial Innovation, 15(2), 210–230. </w:t>
      </w:r>
      <w:r w:rsidRPr="00CF7AA5">
        <w:fldChar w:fldCharType="begin"/>
      </w:r>
      <w:r w:rsidRPr="00CF7AA5">
        <w:instrText>HYPERLINK "https://ideas.repec.org/a/spr/fininn/v10y2024i1d10.1186_s40854-024-00646-y.html"</w:instrText>
      </w:r>
      <w:r w:rsidRPr="00CF7AA5">
        <w:fldChar w:fldCharType="separate"/>
      </w:r>
      <w:r w:rsidRPr="00CF7AA5">
        <w:rPr>
          <w:rStyle w:val="Hyperlink"/>
        </w:rPr>
        <w:t>https://ideas.repec.org/a/spr/fininn/v10y2024i1d10.1186_s40854-024-00646-y.html</w:t>
      </w:r>
      <w:r w:rsidRPr="00CF7AA5">
        <w:fldChar w:fldCharType="end"/>
      </w:r>
    </w:p>
    <w:p w14:paraId="23AD6808" w14:textId="77777777" w:rsidR="00CF7AA5" w:rsidRPr="00CF7AA5" w:rsidRDefault="00CF7AA5" w:rsidP="00CF7AA5">
      <w:pPr>
        <w:spacing w:line="360" w:lineRule="auto"/>
        <w:ind w:firstLine="709"/>
        <w:jc w:val="both"/>
        <w:rPr>
          <w:lang w:val="en-GB"/>
        </w:rPr>
      </w:pPr>
      <w:proofErr w:type="spellStart"/>
      <w:r w:rsidRPr="00CF7AA5">
        <w:rPr>
          <w:lang w:val="en-GB"/>
        </w:rPr>
        <w:t>Chainalysis</w:t>
      </w:r>
      <w:proofErr w:type="spellEnd"/>
      <w:r w:rsidRPr="00CF7AA5">
        <w:rPr>
          <w:lang w:val="en-GB"/>
        </w:rPr>
        <w:t xml:space="preserve">. (2024). </w:t>
      </w:r>
      <w:r w:rsidRPr="00CF7AA5">
        <w:rPr>
          <w:i/>
          <w:iCs/>
          <w:lang w:val="en-GB"/>
        </w:rPr>
        <w:t>Bitcoin halving 2024: What it means for supply and demand</w:t>
      </w:r>
      <w:r w:rsidRPr="00CF7AA5">
        <w:rPr>
          <w:lang w:val="en-GB"/>
        </w:rPr>
        <w:t xml:space="preserve">. </w:t>
      </w:r>
      <w:hyperlink r:id="rId18" w:tgtFrame="_new" w:history="1">
        <w:r w:rsidRPr="00CF7AA5">
          <w:rPr>
            <w:rStyle w:val="Hyperlink"/>
            <w:lang w:val="en-GB"/>
          </w:rPr>
          <w:t>https://www.chainalysis.com/blog/bitcoin-halving-2024/</w:t>
        </w:r>
      </w:hyperlink>
    </w:p>
    <w:p w14:paraId="4E7CC22A" w14:textId="77777777" w:rsidR="00CF7AA5" w:rsidRPr="00CF7AA5" w:rsidRDefault="00CF7AA5" w:rsidP="00CF7AA5">
      <w:pPr>
        <w:spacing w:line="360" w:lineRule="auto"/>
        <w:ind w:firstLine="709"/>
        <w:jc w:val="both"/>
        <w:rPr>
          <w:lang w:val="en-GB"/>
        </w:rPr>
      </w:pPr>
      <w:proofErr w:type="spellStart"/>
      <w:r w:rsidRPr="00CF7AA5">
        <w:rPr>
          <w:lang w:val="en-GB"/>
        </w:rPr>
        <w:t>Chainalysis</w:t>
      </w:r>
      <w:proofErr w:type="spellEnd"/>
      <w:r w:rsidRPr="00CF7AA5">
        <w:rPr>
          <w:lang w:val="en-GB"/>
        </w:rPr>
        <w:t xml:space="preserve">. (2024). </w:t>
      </w:r>
      <w:r w:rsidRPr="00CF7AA5">
        <w:rPr>
          <w:i/>
          <w:iCs/>
          <w:lang w:val="en-GB"/>
        </w:rPr>
        <w:t>The 2023 geography of cryptocurrency report</w:t>
      </w:r>
      <w:r w:rsidRPr="00CF7AA5">
        <w:rPr>
          <w:lang w:val="en-GB"/>
        </w:rPr>
        <w:t>.</w:t>
      </w:r>
      <w:r w:rsidRPr="00CF7AA5">
        <w:rPr>
          <w:lang w:val="en-GB"/>
        </w:rPr>
        <w:br/>
      </w:r>
      <w:hyperlink r:id="rId19" w:tgtFrame="_new" w:history="1">
        <w:r w:rsidRPr="00CF7AA5">
          <w:rPr>
            <w:rStyle w:val="Hyperlink"/>
            <w:lang w:val="en-GB"/>
          </w:rPr>
          <w:t>https://www.chainalysis.com/blog/2023-global-crypto-adoption-index/</w:t>
        </w:r>
      </w:hyperlink>
    </w:p>
    <w:p w14:paraId="23319522" w14:textId="77777777" w:rsidR="00CF7AA5" w:rsidRPr="00CF7AA5" w:rsidRDefault="00CF7AA5" w:rsidP="00CF7AA5">
      <w:pPr>
        <w:spacing w:line="360" w:lineRule="auto"/>
        <w:ind w:firstLine="709"/>
        <w:jc w:val="both"/>
        <w:rPr>
          <w:lang w:val="en-GB"/>
        </w:rPr>
      </w:pPr>
      <w:proofErr w:type="spellStart"/>
      <w:r w:rsidRPr="00CF7AA5">
        <w:rPr>
          <w:lang w:val="en-GB"/>
        </w:rPr>
        <w:t>Chainalysis</w:t>
      </w:r>
      <w:proofErr w:type="spellEnd"/>
      <w:r w:rsidRPr="00CF7AA5">
        <w:rPr>
          <w:lang w:val="en-GB"/>
        </w:rPr>
        <w:t xml:space="preserve">. (2025). </w:t>
      </w:r>
      <w:r w:rsidRPr="00CF7AA5">
        <w:rPr>
          <w:i/>
          <w:iCs/>
          <w:lang w:val="en-GB"/>
        </w:rPr>
        <w:t>Latin America crypto adoption report</w:t>
      </w:r>
      <w:r w:rsidRPr="00CF7AA5">
        <w:rPr>
          <w:lang w:val="en-GB"/>
        </w:rPr>
        <w:t>.</w:t>
      </w:r>
      <w:r w:rsidRPr="00CF7AA5">
        <w:rPr>
          <w:lang w:val="en-GB"/>
        </w:rPr>
        <w:br/>
      </w:r>
      <w:hyperlink r:id="rId20" w:tgtFrame="_new" w:history="1">
        <w:r w:rsidRPr="00CF7AA5">
          <w:rPr>
            <w:rStyle w:val="Hyperlink"/>
            <w:lang w:val="en-GB"/>
          </w:rPr>
          <w:t>https://www.chainalysis.com/blog/latin-america-crypto-adoption-2025/</w:t>
        </w:r>
      </w:hyperlink>
      <w:r w:rsidRPr="00CF7AA5">
        <w:rPr>
          <w:lang w:val="en-GB"/>
        </w:rPr>
        <w:t xml:space="preserve"> </w:t>
      </w:r>
    </w:p>
    <w:p w14:paraId="403304F4" w14:textId="77777777" w:rsidR="00CF7AA5" w:rsidRPr="00CF7AA5" w:rsidRDefault="00CF7AA5" w:rsidP="00CF7AA5">
      <w:pPr>
        <w:spacing w:line="360" w:lineRule="auto"/>
        <w:ind w:firstLine="709"/>
        <w:jc w:val="both"/>
        <w:rPr>
          <w:lang w:val="en-GB"/>
        </w:rPr>
      </w:pPr>
      <w:proofErr w:type="spellStart"/>
      <w:r w:rsidRPr="00CF7AA5">
        <w:rPr>
          <w:lang w:val="en-GB"/>
        </w:rPr>
        <w:t>Chainalysis</w:t>
      </w:r>
      <w:proofErr w:type="spellEnd"/>
      <w:r w:rsidRPr="00CF7AA5">
        <w:rPr>
          <w:lang w:val="en-GB"/>
        </w:rPr>
        <w:t xml:space="preserve">. (2025). </w:t>
      </w:r>
      <w:r w:rsidRPr="00CF7AA5">
        <w:rPr>
          <w:i/>
          <w:iCs/>
          <w:lang w:val="en-GB"/>
        </w:rPr>
        <w:t>The 2025 global crypto adoption index</w:t>
      </w:r>
      <w:r w:rsidRPr="00CF7AA5">
        <w:rPr>
          <w:lang w:val="en-GB"/>
        </w:rPr>
        <w:t>.</w:t>
      </w:r>
      <w:r w:rsidRPr="00CF7AA5">
        <w:rPr>
          <w:lang w:val="en-GB"/>
        </w:rPr>
        <w:br/>
      </w:r>
      <w:hyperlink r:id="rId21" w:tgtFrame="_new" w:history="1">
        <w:r w:rsidRPr="00CF7AA5">
          <w:rPr>
            <w:rStyle w:val="Hyperlink"/>
            <w:lang w:val="en-GB"/>
          </w:rPr>
          <w:t>https://www.chainalysis.com/blog/2025-global-crypto-adoption-index/</w:t>
        </w:r>
      </w:hyperlink>
      <w:r w:rsidRPr="00CF7AA5">
        <w:rPr>
          <w:lang w:val="en-GB"/>
        </w:rPr>
        <w:t xml:space="preserve"> </w:t>
      </w:r>
    </w:p>
    <w:p w14:paraId="0051E90C" w14:textId="77777777" w:rsidR="00CF7AA5" w:rsidRPr="00CF7AA5" w:rsidRDefault="00CF7AA5" w:rsidP="00CF7AA5">
      <w:pPr>
        <w:spacing w:line="360" w:lineRule="auto"/>
        <w:ind w:firstLine="709"/>
        <w:jc w:val="both"/>
      </w:pPr>
      <w:r w:rsidRPr="00CF7AA5">
        <w:t xml:space="preserve">Cheah, E.-T., &amp; Fry, J. (2015). Speculative bubbles in Bitcoin markets? An empirical investigation into the fundamental value of Bitcoin. Economics Letters, 130, 32–36. </w:t>
      </w:r>
      <w:r w:rsidRPr="00CF7AA5">
        <w:fldChar w:fldCharType="begin"/>
      </w:r>
      <w:r w:rsidRPr="00CF7AA5">
        <w:instrText>HYPERLINK "https://www.sciencedirect.com/science/article/abs/pii/S0165176515000890"</w:instrText>
      </w:r>
      <w:r w:rsidRPr="00CF7AA5">
        <w:fldChar w:fldCharType="separate"/>
      </w:r>
      <w:r w:rsidRPr="00CF7AA5">
        <w:rPr>
          <w:rStyle w:val="Hyperlink"/>
        </w:rPr>
        <w:t>https://www.sciencedirect.com/science/article/abs/pii/S0165176515000890</w:t>
      </w:r>
      <w:r w:rsidRPr="00CF7AA5">
        <w:fldChar w:fldCharType="end"/>
      </w:r>
    </w:p>
    <w:p w14:paraId="6166341E" w14:textId="77777777" w:rsidR="00CF7AA5" w:rsidRPr="00CF7AA5" w:rsidRDefault="00CF7AA5" w:rsidP="00CF7AA5">
      <w:pPr>
        <w:spacing w:line="360" w:lineRule="auto"/>
        <w:ind w:firstLine="709"/>
        <w:jc w:val="both"/>
        <w:rPr>
          <w:lang w:val="en-GB"/>
        </w:rPr>
      </w:pPr>
      <w:proofErr w:type="spellStart"/>
      <w:r w:rsidRPr="00CF7AA5">
        <w:rPr>
          <w:lang w:val="en-GB"/>
        </w:rPr>
        <w:t>CoinLedger</w:t>
      </w:r>
      <w:proofErr w:type="spellEnd"/>
      <w:r w:rsidRPr="00CF7AA5">
        <w:rPr>
          <w:lang w:val="en-GB"/>
        </w:rPr>
        <w:t xml:space="preserve">. (2025). </w:t>
      </w:r>
      <w:r w:rsidRPr="00CF7AA5">
        <w:rPr>
          <w:i/>
          <w:iCs/>
          <w:lang w:val="en-GB"/>
        </w:rPr>
        <w:t>Top countries that use Bitcoin – statistics</w:t>
      </w:r>
      <w:r w:rsidRPr="00CF7AA5">
        <w:rPr>
          <w:lang w:val="en-GB"/>
        </w:rPr>
        <w:t>.</w:t>
      </w:r>
      <w:r w:rsidRPr="00CF7AA5">
        <w:rPr>
          <w:lang w:val="en-GB"/>
        </w:rPr>
        <w:br/>
      </w:r>
      <w:hyperlink r:id="rId22" w:tgtFrame="_new" w:history="1">
        <w:r w:rsidRPr="00CF7AA5">
          <w:rPr>
            <w:rStyle w:val="Hyperlink"/>
            <w:lang w:val="en-GB"/>
          </w:rPr>
          <w:t>https://coinledger.io/research/top-10-countries-that-use-bitcoin</w:t>
        </w:r>
      </w:hyperlink>
      <w:r w:rsidRPr="00CF7AA5">
        <w:rPr>
          <w:lang w:val="en-GB"/>
        </w:rPr>
        <w:t xml:space="preserve"> </w:t>
      </w:r>
    </w:p>
    <w:p w14:paraId="28EA5D09" w14:textId="77777777" w:rsidR="00CF7AA5" w:rsidRPr="00CF7AA5" w:rsidRDefault="00CF7AA5" w:rsidP="00CF7AA5">
      <w:pPr>
        <w:spacing w:line="360" w:lineRule="auto"/>
        <w:ind w:firstLine="709"/>
        <w:jc w:val="both"/>
      </w:pPr>
      <w:r w:rsidRPr="00CF7AA5">
        <w:t xml:space="preserve">CoinMarketCap. (2025). </w:t>
      </w:r>
      <w:r w:rsidRPr="00CF7AA5">
        <w:rPr>
          <w:i/>
          <w:iCs/>
        </w:rPr>
        <w:t>Bitcoin (BTC) historical data</w:t>
      </w:r>
      <w:r w:rsidRPr="00CF7AA5">
        <w:t xml:space="preserve">. </w:t>
      </w:r>
      <w:r w:rsidRPr="00CF7AA5">
        <w:fldChar w:fldCharType="begin"/>
      </w:r>
      <w:r w:rsidRPr="00CF7AA5">
        <w:instrText>HYPERLINK "https://coinmarketcap.com/currencies/bitcoin/historical-data/" \t "_new"</w:instrText>
      </w:r>
      <w:r w:rsidRPr="00CF7AA5">
        <w:fldChar w:fldCharType="separate"/>
      </w:r>
      <w:r w:rsidRPr="00CF7AA5">
        <w:rPr>
          <w:rStyle w:val="Hyperlink"/>
        </w:rPr>
        <w:t>https://coinmarketcap.com/currencies/bitcoin/historical-data/</w:t>
      </w:r>
      <w:r w:rsidRPr="00CF7AA5">
        <w:fldChar w:fldCharType="end"/>
      </w:r>
    </w:p>
    <w:p w14:paraId="41FFE6FB" w14:textId="77777777" w:rsidR="00CF7AA5" w:rsidRPr="00CF7AA5" w:rsidRDefault="00CF7AA5" w:rsidP="00CF7AA5">
      <w:pPr>
        <w:spacing w:line="360" w:lineRule="auto"/>
        <w:ind w:firstLine="709"/>
        <w:jc w:val="both"/>
        <w:rPr>
          <w:lang w:val="en-GB"/>
        </w:rPr>
      </w:pPr>
      <w:proofErr w:type="spellStart"/>
      <w:r w:rsidRPr="00CF7AA5">
        <w:rPr>
          <w:lang w:val="en-GB"/>
        </w:rPr>
        <w:t>Coinpedia</w:t>
      </w:r>
      <w:proofErr w:type="spellEnd"/>
      <w:r w:rsidRPr="00CF7AA5">
        <w:rPr>
          <w:lang w:val="en-GB"/>
        </w:rPr>
        <w:t xml:space="preserve">. (2025). </w:t>
      </w:r>
      <w:r w:rsidRPr="00CF7AA5">
        <w:rPr>
          <w:i/>
          <w:iCs/>
          <w:lang w:val="en-GB"/>
        </w:rPr>
        <w:t>Global crypto adoption report 2025</w:t>
      </w:r>
      <w:r w:rsidRPr="00CF7AA5">
        <w:rPr>
          <w:lang w:val="en-GB"/>
        </w:rPr>
        <w:t>.</w:t>
      </w:r>
      <w:r w:rsidRPr="00CF7AA5">
        <w:rPr>
          <w:lang w:val="en-GB"/>
        </w:rPr>
        <w:br/>
      </w:r>
      <w:hyperlink r:id="rId23" w:tgtFrame="_new" w:history="1">
        <w:r w:rsidRPr="00CF7AA5">
          <w:rPr>
            <w:rStyle w:val="Hyperlink"/>
            <w:lang w:val="en-GB"/>
          </w:rPr>
          <w:t>https://www.tradingview.com/news/coinpedia%3Af8b90af45094b%3A0-global-crypto-adoption-report-2025/</w:t>
        </w:r>
      </w:hyperlink>
      <w:r w:rsidRPr="00CF7AA5">
        <w:rPr>
          <w:lang w:val="en-GB"/>
        </w:rPr>
        <w:t xml:space="preserve"> </w:t>
      </w:r>
    </w:p>
    <w:p w14:paraId="114CF451" w14:textId="77777777" w:rsidR="00CF7AA5" w:rsidRPr="00CF7AA5" w:rsidRDefault="00CF7AA5" w:rsidP="00CF7AA5">
      <w:pPr>
        <w:spacing w:line="360" w:lineRule="auto"/>
        <w:ind w:firstLine="709"/>
        <w:jc w:val="both"/>
      </w:pPr>
      <w:r w:rsidRPr="00CF7AA5">
        <w:t xml:space="preserve">Conlon, T., &amp; McGee, R. (2020). Safe haven or risky hazard? Bitcoin during the COVID19 bear market. Finance Research Letters, 35, 101607. </w:t>
      </w:r>
      <w:r w:rsidRPr="00CF7AA5">
        <w:fldChar w:fldCharType="begin"/>
      </w:r>
      <w:r w:rsidRPr="00CF7AA5">
        <w:instrText>HYPERLINK "https://www.sciencedirect.com/science/article/pii/S1544612320304244"</w:instrText>
      </w:r>
      <w:r w:rsidRPr="00CF7AA5">
        <w:fldChar w:fldCharType="separate"/>
      </w:r>
      <w:r w:rsidRPr="00CF7AA5">
        <w:rPr>
          <w:rStyle w:val="Hyperlink"/>
        </w:rPr>
        <w:t>https://www.sciencedirect.com/science/article/pii/S1544612320304244</w:t>
      </w:r>
      <w:r w:rsidRPr="00CF7AA5">
        <w:fldChar w:fldCharType="end"/>
      </w:r>
    </w:p>
    <w:p w14:paraId="504585B1" w14:textId="77777777" w:rsidR="00CF7AA5" w:rsidRPr="00CF7AA5" w:rsidRDefault="00CF7AA5" w:rsidP="00CF7AA5">
      <w:pPr>
        <w:spacing w:line="360" w:lineRule="auto"/>
        <w:ind w:firstLine="709"/>
        <w:jc w:val="both"/>
        <w:rPr>
          <w:lang w:val="en-GB"/>
        </w:rPr>
      </w:pPr>
      <w:proofErr w:type="spellStart"/>
      <w:r w:rsidRPr="00CF7AA5">
        <w:rPr>
          <w:lang w:val="en-GB"/>
        </w:rPr>
        <w:t>CryptoSlate</w:t>
      </w:r>
      <w:proofErr w:type="spellEnd"/>
      <w:r w:rsidRPr="00CF7AA5">
        <w:rPr>
          <w:lang w:val="en-GB"/>
        </w:rPr>
        <w:t xml:space="preserve">. (2024). </w:t>
      </w:r>
      <w:r w:rsidRPr="00CF7AA5">
        <w:rPr>
          <w:i/>
          <w:iCs/>
          <w:lang w:val="en-GB"/>
        </w:rPr>
        <w:t>High inflation vs regional conflict: Which leads to higher crypto adoption?</w:t>
      </w:r>
      <w:r w:rsidRPr="00CF7AA5">
        <w:rPr>
          <w:lang w:val="en-GB"/>
        </w:rPr>
        <w:br/>
      </w:r>
      <w:hyperlink r:id="rId24" w:tgtFrame="_new" w:history="1">
        <w:r w:rsidRPr="00CF7AA5">
          <w:rPr>
            <w:rStyle w:val="Hyperlink"/>
            <w:lang w:val="en-GB"/>
          </w:rPr>
          <w:t>https://cryptoslate.com/high-inflation-vs-regional-conflict-which-leads-to-higher-adoption-of-bitcoin-and-crypto/</w:t>
        </w:r>
      </w:hyperlink>
      <w:r w:rsidRPr="00CF7AA5">
        <w:rPr>
          <w:lang w:val="en-GB"/>
        </w:rPr>
        <w:t xml:space="preserve"> </w:t>
      </w:r>
    </w:p>
    <w:p w14:paraId="1626AEF8" w14:textId="77777777" w:rsidR="00CF7AA5" w:rsidRPr="00CF7AA5" w:rsidRDefault="00CF7AA5" w:rsidP="00CF7AA5">
      <w:pPr>
        <w:spacing w:line="360" w:lineRule="auto"/>
        <w:ind w:firstLine="709"/>
        <w:jc w:val="both"/>
        <w:rPr>
          <w:lang w:val="en-GB"/>
        </w:rPr>
      </w:pPr>
      <w:r w:rsidRPr="00CF7AA5">
        <w:rPr>
          <w:lang w:val="en-GB"/>
        </w:rPr>
        <w:t xml:space="preserve">Czapkiewicz, A., Paweł Jamer, &amp; Landmesser, J. M. (2018). Effects of macroeconomic indicators on the financial </w:t>
      </w:r>
      <w:proofErr w:type="gramStart"/>
      <w:r w:rsidRPr="00CF7AA5">
        <w:rPr>
          <w:lang w:val="en-GB"/>
        </w:rPr>
        <w:t>markets</w:t>
      </w:r>
      <w:proofErr w:type="gramEnd"/>
      <w:r w:rsidRPr="00CF7AA5">
        <w:rPr>
          <w:lang w:val="en-GB"/>
        </w:rPr>
        <w:t xml:space="preserve"> interrelations. </w:t>
      </w:r>
      <w:r w:rsidRPr="00CF7AA5">
        <w:rPr>
          <w:i/>
          <w:iCs/>
          <w:lang w:val="en-GB"/>
        </w:rPr>
        <w:t>ResearchGate</w:t>
      </w:r>
      <w:r w:rsidRPr="00CF7AA5">
        <w:rPr>
          <w:lang w:val="en-GB"/>
        </w:rPr>
        <w:t xml:space="preserve">, </w:t>
      </w:r>
      <w:r w:rsidRPr="00CF7AA5">
        <w:rPr>
          <w:i/>
          <w:iCs/>
          <w:lang w:val="en-GB"/>
        </w:rPr>
        <w:t>68</w:t>
      </w:r>
      <w:r w:rsidRPr="00CF7AA5">
        <w:rPr>
          <w:lang w:val="en-GB"/>
        </w:rPr>
        <w:t>(3), 267–292. https://www.researchgate.net/publication/326973662_Effects_of_macroeconomic_indicators_on_the_financial_markets_interrelations</w:t>
      </w:r>
    </w:p>
    <w:p w14:paraId="65132780" w14:textId="77777777" w:rsidR="00CF7AA5" w:rsidRPr="00CF7AA5" w:rsidRDefault="00CF7AA5" w:rsidP="00CF7AA5">
      <w:pPr>
        <w:spacing w:line="360" w:lineRule="auto"/>
        <w:ind w:firstLine="709"/>
        <w:jc w:val="both"/>
      </w:pPr>
      <w:r w:rsidRPr="00CF7AA5">
        <w:t xml:space="preserve">Dyhrberg, A. H. (2016). Bitcoin, gold, and the dollar—A GARCH volatility analysis. Finance Research Letters, 16, 85–92. </w:t>
      </w:r>
      <w:hyperlink r:id="rId25" w:history="1">
        <w:r w:rsidRPr="00CF7AA5">
          <w:rPr>
            <w:rStyle w:val="Hyperlink"/>
          </w:rPr>
          <w:t>https://ideas.repec.org/a/eee/finlet/v16y2016icp85-92.html</w:t>
        </w:r>
      </w:hyperlink>
    </w:p>
    <w:p w14:paraId="2ADF3750" w14:textId="77777777" w:rsidR="00CF7AA5" w:rsidRPr="00CF7AA5" w:rsidRDefault="00CF7AA5" w:rsidP="00CF7AA5">
      <w:pPr>
        <w:spacing w:line="360" w:lineRule="auto"/>
        <w:ind w:firstLine="709"/>
        <w:jc w:val="both"/>
        <w:rPr>
          <w:lang w:val="en-GB"/>
        </w:rPr>
      </w:pPr>
      <w:r w:rsidRPr="00CF7AA5">
        <w:rPr>
          <w:lang w:val="en-GB"/>
        </w:rPr>
        <w:t xml:space="preserve">European Parliament &amp; Council of the European Union. (2023). </w:t>
      </w:r>
      <w:r w:rsidRPr="00CF7AA5">
        <w:rPr>
          <w:i/>
          <w:iCs/>
          <w:lang w:val="en-GB"/>
        </w:rPr>
        <w:t>Regulation (EU) 2023/1114 on markets in crypto-assets (</w:t>
      </w:r>
      <w:proofErr w:type="spellStart"/>
      <w:r w:rsidRPr="00CF7AA5">
        <w:rPr>
          <w:i/>
          <w:iCs/>
          <w:lang w:val="en-GB"/>
        </w:rPr>
        <w:t>MiCA</w:t>
      </w:r>
      <w:proofErr w:type="spellEnd"/>
      <w:r w:rsidRPr="00CF7AA5">
        <w:rPr>
          <w:i/>
          <w:iCs/>
          <w:lang w:val="en-GB"/>
        </w:rPr>
        <w:t>)</w:t>
      </w:r>
      <w:r w:rsidRPr="00CF7AA5">
        <w:rPr>
          <w:lang w:val="en-GB"/>
        </w:rPr>
        <w:t>.</w:t>
      </w:r>
      <w:r w:rsidRPr="00CF7AA5">
        <w:rPr>
          <w:lang w:val="en-GB"/>
        </w:rPr>
        <w:br/>
        <w:t>https://eur-lex.europa.eu/legal-content/EN/TXT/?uri=CELEX:32023R1114</w:t>
      </w:r>
    </w:p>
    <w:p w14:paraId="5059BB6C" w14:textId="77777777" w:rsidR="00CF7AA5" w:rsidRPr="00CF7AA5" w:rsidRDefault="00CF7AA5" w:rsidP="00CF7AA5">
      <w:pPr>
        <w:spacing w:line="360" w:lineRule="auto"/>
        <w:ind w:firstLine="709"/>
        <w:jc w:val="both"/>
        <w:rPr>
          <w:lang w:val="en-GB"/>
        </w:rPr>
      </w:pPr>
      <w:r w:rsidRPr="00CF7AA5">
        <w:rPr>
          <w:lang w:val="en-GB"/>
        </w:rPr>
        <w:lastRenderedPageBreak/>
        <w:t xml:space="preserve">European Parliament &amp; Council of the European Union. (2024). </w:t>
      </w:r>
      <w:r w:rsidRPr="00CF7AA5">
        <w:rPr>
          <w:i/>
          <w:iCs/>
          <w:lang w:val="en-GB"/>
        </w:rPr>
        <w:t>Regulation (EU) 2024/1624 on the prevention of the use of the financial system for the purposes of money laundering or terrorist financing</w:t>
      </w:r>
      <w:r w:rsidRPr="00CF7AA5">
        <w:rPr>
          <w:lang w:val="en-GB"/>
        </w:rPr>
        <w:t>.</w:t>
      </w:r>
      <w:r w:rsidRPr="00CF7AA5">
        <w:rPr>
          <w:lang w:val="en-GB"/>
        </w:rPr>
        <w:br/>
      </w:r>
      <w:hyperlink r:id="rId26" w:tgtFrame="_new" w:history="1">
        <w:r w:rsidRPr="00CF7AA5">
          <w:rPr>
            <w:rStyle w:val="Hyperlink"/>
            <w:lang w:val="en-GB"/>
          </w:rPr>
          <w:t>https://eur-lex.europa.eu/eli/reg/2024/1624/oj</w:t>
        </w:r>
      </w:hyperlink>
    </w:p>
    <w:p w14:paraId="1D780364" w14:textId="77777777" w:rsidR="00CF7AA5" w:rsidRPr="00CF7AA5" w:rsidRDefault="00CF7AA5" w:rsidP="00CF7AA5">
      <w:pPr>
        <w:spacing w:line="360" w:lineRule="auto"/>
        <w:ind w:firstLine="709"/>
        <w:jc w:val="both"/>
        <w:rPr>
          <w:lang w:val="en-GB"/>
        </w:rPr>
      </w:pPr>
      <w:r w:rsidRPr="00CF7AA5">
        <w:rPr>
          <w:lang w:val="en-GB"/>
        </w:rPr>
        <w:t xml:space="preserve">European Securities and Markets Authority (ESMA). (2025). </w:t>
      </w:r>
      <w:r w:rsidRPr="00CF7AA5">
        <w:rPr>
          <w:i/>
          <w:iCs/>
          <w:lang w:val="en-GB"/>
        </w:rPr>
        <w:t>Guidance on non-</w:t>
      </w:r>
      <w:proofErr w:type="spellStart"/>
      <w:r w:rsidRPr="00CF7AA5">
        <w:rPr>
          <w:i/>
          <w:iCs/>
          <w:lang w:val="en-GB"/>
        </w:rPr>
        <w:t>MiCA</w:t>
      </w:r>
      <w:proofErr w:type="spellEnd"/>
      <w:r w:rsidRPr="00CF7AA5">
        <w:rPr>
          <w:i/>
          <w:iCs/>
          <w:lang w:val="en-GB"/>
        </w:rPr>
        <w:t xml:space="preserve"> compliant asset-referenced tokens and e-money tokens</w:t>
      </w:r>
      <w:r w:rsidRPr="00CF7AA5">
        <w:rPr>
          <w:lang w:val="en-GB"/>
        </w:rPr>
        <w:t>.</w:t>
      </w:r>
      <w:r w:rsidRPr="00CF7AA5">
        <w:rPr>
          <w:lang w:val="en-GB"/>
        </w:rPr>
        <w:br/>
      </w:r>
      <w:hyperlink r:id="rId27" w:tgtFrame="_new" w:history="1">
        <w:r w:rsidRPr="00CF7AA5">
          <w:rPr>
            <w:rStyle w:val="Hyperlink"/>
            <w:lang w:val="en-GB"/>
          </w:rPr>
          <w:t>https://www.esma.europa.eu/press-news/esma-news/esma-and-european-commission-publish-guidance-non-mica-compliant-arts-and-emts</w:t>
        </w:r>
      </w:hyperlink>
    </w:p>
    <w:p w14:paraId="2026CF0C" w14:textId="77777777" w:rsidR="00CF7AA5" w:rsidRPr="00CF7AA5" w:rsidRDefault="00CF7AA5" w:rsidP="00CF7AA5">
      <w:pPr>
        <w:spacing w:line="360" w:lineRule="auto"/>
        <w:ind w:firstLine="709"/>
        <w:jc w:val="both"/>
        <w:rPr>
          <w:lang w:val="en-GB"/>
        </w:rPr>
      </w:pPr>
      <w:r w:rsidRPr="00CF7AA5">
        <w:rPr>
          <w:lang w:val="en-GB"/>
        </w:rPr>
        <w:t xml:space="preserve">Financial Conduct Authority (FCA). (2025). </w:t>
      </w:r>
      <w:r w:rsidRPr="00CF7AA5">
        <w:rPr>
          <w:i/>
          <w:iCs/>
          <w:lang w:val="en-GB"/>
        </w:rPr>
        <w:t xml:space="preserve">The new UK </w:t>
      </w:r>
      <w:proofErr w:type="spellStart"/>
      <w:r w:rsidRPr="00CF7AA5">
        <w:rPr>
          <w:i/>
          <w:iCs/>
          <w:lang w:val="en-GB"/>
        </w:rPr>
        <w:t>cryptoasset</w:t>
      </w:r>
      <w:proofErr w:type="spellEnd"/>
      <w:r w:rsidRPr="00CF7AA5">
        <w:rPr>
          <w:i/>
          <w:iCs/>
          <w:lang w:val="en-GB"/>
        </w:rPr>
        <w:t xml:space="preserve"> regulatory regime</w:t>
      </w:r>
      <w:r w:rsidRPr="00CF7AA5">
        <w:rPr>
          <w:lang w:val="en-GB"/>
        </w:rPr>
        <w:t>.</w:t>
      </w:r>
      <w:r w:rsidRPr="00CF7AA5">
        <w:rPr>
          <w:lang w:val="en-GB"/>
        </w:rPr>
        <w:br/>
      </w:r>
      <w:hyperlink r:id="rId28" w:tgtFrame="_new" w:history="1">
        <w:r w:rsidRPr="00CF7AA5">
          <w:rPr>
            <w:rStyle w:val="Hyperlink"/>
            <w:lang w:val="en-GB"/>
          </w:rPr>
          <w:t>https://www.fca.org.uk/firms/new-regime-cryptoasset-regulation</w:t>
        </w:r>
      </w:hyperlink>
    </w:p>
    <w:p w14:paraId="0BE1D049" w14:textId="77777777" w:rsidR="00CF7AA5" w:rsidRPr="00CF7AA5" w:rsidRDefault="00CF7AA5" w:rsidP="00CF7AA5">
      <w:pPr>
        <w:spacing w:line="360" w:lineRule="auto"/>
        <w:ind w:firstLine="709"/>
        <w:jc w:val="both"/>
        <w:rPr>
          <w:lang w:val="en-GB"/>
        </w:rPr>
      </w:pPr>
      <w:r w:rsidRPr="00CF7AA5">
        <w:rPr>
          <w:lang w:val="en-GB"/>
        </w:rPr>
        <w:t xml:space="preserve">Financial Stability Board (FSB). (2023). </w:t>
      </w:r>
      <w:r w:rsidRPr="00CF7AA5">
        <w:rPr>
          <w:i/>
          <w:iCs/>
          <w:lang w:val="en-GB"/>
        </w:rPr>
        <w:t>Regulation, supervision and oversight of crypto-asset activities and markets</w:t>
      </w:r>
      <w:r w:rsidRPr="00CF7AA5">
        <w:rPr>
          <w:lang w:val="en-GB"/>
        </w:rPr>
        <w:t>.</w:t>
      </w:r>
      <w:r w:rsidRPr="00CF7AA5">
        <w:rPr>
          <w:lang w:val="en-GB"/>
        </w:rPr>
        <w:br/>
      </w:r>
      <w:hyperlink r:id="rId29" w:tgtFrame="_new" w:history="1">
        <w:r w:rsidRPr="00CF7AA5">
          <w:rPr>
            <w:rStyle w:val="Hyperlink"/>
            <w:lang w:val="en-GB"/>
          </w:rPr>
          <w:t>https://www.fsb.org/wp-content/uploads/P170723-1.pdf</w:t>
        </w:r>
      </w:hyperlink>
    </w:p>
    <w:p w14:paraId="71003A96" w14:textId="77777777" w:rsidR="00CF7AA5" w:rsidRPr="00CF7AA5" w:rsidRDefault="00CF7AA5" w:rsidP="00CF7AA5">
      <w:pPr>
        <w:spacing w:line="360" w:lineRule="auto"/>
        <w:ind w:firstLine="709"/>
        <w:jc w:val="both"/>
        <w:rPr>
          <w:lang w:val="en-GB"/>
        </w:rPr>
      </w:pPr>
      <w:r w:rsidRPr="00CF7AA5">
        <w:rPr>
          <w:lang w:val="en-GB"/>
        </w:rPr>
        <w:t xml:space="preserve">Forbes. (2024). </w:t>
      </w:r>
      <w:r w:rsidRPr="00CF7AA5">
        <w:rPr>
          <w:i/>
          <w:iCs/>
          <w:lang w:val="en-GB"/>
        </w:rPr>
        <w:t>Why inflation-battered Argentinians are turning to crypto</w:t>
      </w:r>
      <w:r w:rsidRPr="00CF7AA5">
        <w:rPr>
          <w:lang w:val="en-GB"/>
        </w:rPr>
        <w:t>.</w:t>
      </w:r>
      <w:r w:rsidRPr="00CF7AA5">
        <w:rPr>
          <w:lang w:val="en-GB"/>
        </w:rPr>
        <w:br/>
      </w:r>
      <w:hyperlink r:id="rId30" w:tgtFrame="_new" w:history="1">
        <w:r w:rsidRPr="00CF7AA5">
          <w:rPr>
            <w:rStyle w:val="Hyperlink"/>
            <w:lang w:val="en-GB"/>
          </w:rPr>
          <w:t>https://www.forbes.com/sites/javierpaz/2024/07/08/why-inflation-battered-argentinians-are-turning-to-crypto/</w:t>
        </w:r>
      </w:hyperlink>
    </w:p>
    <w:p w14:paraId="30D483EE" w14:textId="77777777" w:rsidR="00CF7AA5" w:rsidRPr="00CF7AA5" w:rsidRDefault="00CF7AA5" w:rsidP="00CF7AA5">
      <w:pPr>
        <w:spacing w:line="360" w:lineRule="auto"/>
        <w:ind w:firstLine="709"/>
        <w:jc w:val="both"/>
      </w:pPr>
      <w:r w:rsidRPr="00CF7AA5">
        <w:t>Goodell, J. W., &amp; Goutte, S. (2020). Diversifying with cryptocurrencies? How much is enough? Economics Letters, 191, 109125.https://econpapers.repec.org/RePEc:hal:journl:halshs-02876529</w:t>
      </w:r>
    </w:p>
    <w:p w14:paraId="63D6099D" w14:textId="77777777" w:rsidR="00CF7AA5" w:rsidRPr="00CF7AA5" w:rsidRDefault="00CF7AA5" w:rsidP="00CF7AA5">
      <w:pPr>
        <w:spacing w:line="360" w:lineRule="auto"/>
        <w:ind w:firstLine="709"/>
        <w:jc w:val="both"/>
        <w:rPr>
          <w:lang w:val="en-GB"/>
        </w:rPr>
      </w:pPr>
      <w:r w:rsidRPr="00CF7AA5">
        <w:rPr>
          <w:lang w:val="en-GB"/>
        </w:rPr>
        <w:t xml:space="preserve">Green, М. (2023, September 20). </w:t>
      </w:r>
      <w:r w:rsidRPr="00CF7AA5">
        <w:rPr>
          <w:i/>
          <w:iCs/>
          <w:lang w:val="en-GB"/>
        </w:rPr>
        <w:t xml:space="preserve">A brief guide to the different types of </w:t>
      </w:r>
      <w:proofErr w:type="spellStart"/>
      <w:r w:rsidRPr="00CF7AA5">
        <w:rPr>
          <w:i/>
          <w:iCs/>
          <w:lang w:val="en-GB"/>
        </w:rPr>
        <w:t>cryptoassets</w:t>
      </w:r>
      <w:proofErr w:type="spellEnd"/>
      <w:r w:rsidRPr="00CF7AA5">
        <w:rPr>
          <w:lang w:val="en-GB"/>
        </w:rPr>
        <w:t>. Lawrence Stephens - Welcome to Lawrence Stephens. https://www.lawrencestephens.com/news/a-brief-guide-to-the-different-types-of-cryptoassets/</w:t>
      </w:r>
    </w:p>
    <w:p w14:paraId="253BC92B" w14:textId="77777777" w:rsidR="00CF7AA5" w:rsidRPr="00CF7AA5" w:rsidRDefault="00CF7AA5" w:rsidP="00CF7AA5">
      <w:pPr>
        <w:spacing w:line="360" w:lineRule="auto"/>
        <w:ind w:firstLine="709"/>
        <w:jc w:val="both"/>
      </w:pPr>
      <w:r w:rsidRPr="00CF7AA5">
        <w:t>Heskett, J. (2017). The future of blockchain and its role in financial systems. Harvard Business Review. https://hbr.org/2017/03/how-blockchain-is-changing-finance</w:t>
      </w:r>
    </w:p>
    <w:p w14:paraId="01A13723" w14:textId="77777777" w:rsidR="00CF7AA5" w:rsidRPr="00CF7AA5" w:rsidRDefault="00CF7AA5" w:rsidP="00CF7AA5">
      <w:pPr>
        <w:spacing w:line="360" w:lineRule="auto"/>
        <w:ind w:firstLine="709"/>
        <w:jc w:val="both"/>
        <w:rPr>
          <w:lang w:val="en-GB"/>
        </w:rPr>
      </w:pPr>
      <w:r w:rsidRPr="00CF7AA5">
        <w:rPr>
          <w:lang w:val="en-GB"/>
        </w:rPr>
        <w:t xml:space="preserve">Internal Revenue Service (IRS). (2025). </w:t>
      </w:r>
      <w:r w:rsidRPr="00CF7AA5">
        <w:rPr>
          <w:i/>
          <w:iCs/>
          <w:lang w:val="en-GB"/>
        </w:rPr>
        <w:t>Instructions for Form 1099-DA (Digital Asset Proceeds)</w:t>
      </w:r>
      <w:r w:rsidRPr="00CF7AA5">
        <w:rPr>
          <w:lang w:val="en-GB"/>
        </w:rPr>
        <w:t>.</w:t>
      </w:r>
      <w:r w:rsidRPr="00CF7AA5">
        <w:rPr>
          <w:lang w:val="en-GB"/>
        </w:rPr>
        <w:br/>
      </w:r>
      <w:hyperlink r:id="rId31" w:tgtFrame="_new" w:history="1">
        <w:r w:rsidRPr="00CF7AA5">
          <w:rPr>
            <w:rStyle w:val="Hyperlink"/>
            <w:lang w:val="en-GB"/>
          </w:rPr>
          <w:t>https://www.irs.gov/instructions/i1099da</w:t>
        </w:r>
      </w:hyperlink>
    </w:p>
    <w:p w14:paraId="20CCFC41" w14:textId="77777777" w:rsidR="00CF7AA5" w:rsidRPr="00CF7AA5" w:rsidRDefault="00CF7AA5" w:rsidP="00CF7AA5">
      <w:pPr>
        <w:spacing w:line="360" w:lineRule="auto"/>
        <w:ind w:firstLine="709"/>
        <w:jc w:val="both"/>
        <w:rPr>
          <w:lang w:val="en-GB"/>
        </w:rPr>
      </w:pPr>
      <w:r w:rsidRPr="00CF7AA5">
        <w:rPr>
          <w:lang w:val="en-GB"/>
        </w:rPr>
        <w:t xml:space="preserve">International Monetary Fund. (2021). </w:t>
      </w:r>
      <w:r w:rsidRPr="00CF7AA5">
        <w:rPr>
          <w:i/>
          <w:iCs/>
          <w:lang w:val="en-GB"/>
        </w:rPr>
        <w:t>Fiscal monitor: A fair shot</w:t>
      </w:r>
      <w:r w:rsidRPr="00CF7AA5">
        <w:rPr>
          <w:lang w:val="en-GB"/>
        </w:rPr>
        <w:t>. https://www.imf.org/en/Publications/FM/Issues/2021/04/07/fiscal-monitor-april-2021</w:t>
      </w:r>
    </w:p>
    <w:p w14:paraId="72F6087A" w14:textId="77777777" w:rsidR="00CF7AA5" w:rsidRPr="00CF7AA5" w:rsidRDefault="00CF7AA5" w:rsidP="00CF7AA5">
      <w:pPr>
        <w:spacing w:line="360" w:lineRule="auto"/>
        <w:ind w:firstLine="709"/>
        <w:jc w:val="both"/>
        <w:rPr>
          <w:lang w:val="en-GB"/>
        </w:rPr>
      </w:pPr>
      <w:r w:rsidRPr="00CF7AA5">
        <w:rPr>
          <w:lang w:val="en-GB"/>
        </w:rPr>
        <w:t xml:space="preserve">International Monetary Fund. (2023). </w:t>
      </w:r>
      <w:r w:rsidRPr="00CF7AA5">
        <w:rPr>
          <w:i/>
          <w:iCs/>
          <w:lang w:val="en-GB"/>
        </w:rPr>
        <w:t>World economic outlook: Navigating global divergences</w:t>
      </w:r>
      <w:r w:rsidRPr="00CF7AA5">
        <w:rPr>
          <w:lang w:val="en-GB"/>
        </w:rPr>
        <w:t xml:space="preserve">. </w:t>
      </w:r>
      <w:hyperlink r:id="rId32" w:tgtFrame="_new" w:history="1">
        <w:r w:rsidRPr="00CF7AA5">
          <w:rPr>
            <w:rStyle w:val="Hyperlink"/>
            <w:lang w:val="en-GB"/>
          </w:rPr>
          <w:t>https://www.imf.org/en/Publications/WEO/Issues/2023/04/11/world-economic-</w:t>
        </w:r>
        <w:r w:rsidRPr="00CF7AA5">
          <w:rPr>
            <w:rStyle w:val="Hyperlink"/>
            <w:lang w:val="en-GB"/>
          </w:rPr>
          <w:lastRenderedPageBreak/>
          <w:t>outlook-april-2023</w:t>
        </w:r>
      </w:hyperlink>
    </w:p>
    <w:p w14:paraId="63B024DF" w14:textId="77777777" w:rsidR="00CF7AA5" w:rsidRPr="00CF7AA5" w:rsidRDefault="00CF7AA5" w:rsidP="00CF7AA5">
      <w:pPr>
        <w:spacing w:line="360" w:lineRule="auto"/>
        <w:ind w:firstLine="709"/>
        <w:jc w:val="both"/>
      </w:pPr>
      <w:r w:rsidRPr="00CF7AA5">
        <w:t xml:space="preserve">Jamal, S., Khattak, A., Haider, T., &amp; Javed, B. (2024). The Nexus Between Macroeconomic Variables And Governance Quality: A Panel Study From Emerging Economy. Migration Letters, 21(S11), 1319-1332. </w:t>
      </w:r>
      <w:hyperlink r:id="rId33" w:history="1">
        <w:r w:rsidRPr="00CF7AA5">
          <w:rPr>
            <w:rStyle w:val="Hyperlink"/>
          </w:rPr>
          <w:t>https://www.migrationletters.com/index.php/ml/article/view/10937</w:t>
        </w:r>
      </w:hyperlink>
    </w:p>
    <w:p w14:paraId="77835A7F" w14:textId="77777777" w:rsidR="00CF7AA5" w:rsidRPr="00CF7AA5" w:rsidRDefault="00CF7AA5" w:rsidP="00CF7AA5">
      <w:pPr>
        <w:spacing w:line="360" w:lineRule="auto"/>
        <w:ind w:firstLine="709"/>
        <w:jc w:val="both"/>
        <w:rPr>
          <w:lang w:val="en-GB"/>
        </w:rPr>
      </w:pPr>
      <w:r w:rsidRPr="00CF7AA5">
        <w:rPr>
          <w:i/>
          <w:iCs/>
          <w:lang w:val="en-GB"/>
        </w:rPr>
        <w:t>Key Macroeconomic Indicators and Their Impact on the Cryptocurrency Market</w:t>
      </w:r>
      <w:r w:rsidRPr="00CF7AA5">
        <w:rPr>
          <w:lang w:val="en-GB"/>
        </w:rPr>
        <w:t>. (2024). Key Macroeconomic Indicators and Their Impact on the Cryptocurrency Market. https://crypto.com/en/university/key-macroeconomic-indicators-impact-on-cryptocurrency-market</w:t>
      </w:r>
    </w:p>
    <w:p w14:paraId="0533B207" w14:textId="77777777" w:rsidR="00CF7AA5" w:rsidRPr="00CF7AA5" w:rsidRDefault="00CF7AA5" w:rsidP="00CF7AA5">
      <w:pPr>
        <w:spacing w:line="360" w:lineRule="auto"/>
        <w:ind w:firstLine="709"/>
        <w:jc w:val="both"/>
        <w:rPr>
          <w:lang w:val="en-GB"/>
        </w:rPr>
      </w:pPr>
      <w:r w:rsidRPr="00CF7AA5">
        <w:rPr>
          <w:lang w:val="en-GB"/>
        </w:rPr>
        <w:t xml:space="preserve">Narendra, L. (2025). </w:t>
      </w:r>
      <w:r w:rsidRPr="00CF7AA5">
        <w:rPr>
          <w:i/>
          <w:iCs/>
          <w:lang w:val="en-GB"/>
        </w:rPr>
        <w:t>The Impact of Macroeconomic Indicators on Financial Market Trends: A Predictive Approach</w:t>
      </w:r>
      <w:r w:rsidRPr="00CF7AA5">
        <w:rPr>
          <w:lang w:val="en-GB"/>
        </w:rPr>
        <w:t>. https://tijer.org/tijer/papers/TIJER2502003.pdf</w:t>
      </w:r>
    </w:p>
    <w:p w14:paraId="2B415BA2" w14:textId="77777777" w:rsidR="00CF7AA5" w:rsidRPr="00CF7AA5" w:rsidRDefault="00CF7AA5" w:rsidP="00CF7AA5">
      <w:pPr>
        <w:spacing w:line="360" w:lineRule="auto"/>
        <w:ind w:firstLine="709"/>
        <w:jc w:val="both"/>
        <w:rPr>
          <w:lang w:val="en-GB"/>
        </w:rPr>
      </w:pPr>
      <w:proofErr w:type="spellStart"/>
      <w:r w:rsidRPr="00CF7AA5">
        <w:rPr>
          <w:lang w:val="en-GB"/>
        </w:rPr>
        <w:t>Odiin</w:t>
      </w:r>
      <w:proofErr w:type="spellEnd"/>
      <w:r w:rsidRPr="00CF7AA5">
        <w:rPr>
          <w:lang w:val="en-GB"/>
        </w:rPr>
        <w:t xml:space="preserve">. (2026, March 9). </w:t>
      </w:r>
      <w:r w:rsidRPr="00CF7AA5">
        <w:rPr>
          <w:i/>
          <w:iCs/>
          <w:lang w:val="en-GB"/>
        </w:rPr>
        <w:t xml:space="preserve">Will Crypto Become Mainstream Finance in 2026? - </w:t>
      </w:r>
      <w:proofErr w:type="spellStart"/>
      <w:r w:rsidRPr="00CF7AA5">
        <w:rPr>
          <w:i/>
          <w:iCs/>
          <w:lang w:val="en-GB"/>
        </w:rPr>
        <w:t>Odiin</w:t>
      </w:r>
      <w:proofErr w:type="spellEnd"/>
      <w:r w:rsidRPr="00CF7AA5">
        <w:rPr>
          <w:lang w:val="en-GB"/>
        </w:rPr>
        <w:t xml:space="preserve">. </w:t>
      </w:r>
      <w:proofErr w:type="spellStart"/>
      <w:r w:rsidRPr="00CF7AA5">
        <w:rPr>
          <w:lang w:val="en-GB"/>
        </w:rPr>
        <w:t>Odiin</w:t>
      </w:r>
      <w:proofErr w:type="spellEnd"/>
      <w:r w:rsidRPr="00CF7AA5">
        <w:rPr>
          <w:lang w:val="en-GB"/>
        </w:rPr>
        <w:t>. https://odiin.tech/will-crypto-become-mainstream-finance-in-2026/</w:t>
      </w:r>
    </w:p>
    <w:p w14:paraId="05652C53" w14:textId="77777777" w:rsidR="00CF7AA5" w:rsidRPr="00CF7AA5" w:rsidRDefault="00CF7AA5" w:rsidP="00CF7AA5">
      <w:pPr>
        <w:spacing w:line="360" w:lineRule="auto"/>
        <w:ind w:firstLine="709"/>
        <w:jc w:val="both"/>
        <w:rPr>
          <w:lang w:val="en-GB"/>
        </w:rPr>
      </w:pPr>
      <w:proofErr w:type="spellStart"/>
      <w:r w:rsidRPr="00CF7AA5">
        <w:rPr>
          <w:lang w:val="en-GB"/>
        </w:rPr>
        <w:t>PatentPC</w:t>
      </w:r>
      <w:proofErr w:type="spellEnd"/>
      <w:r w:rsidRPr="00CF7AA5">
        <w:rPr>
          <w:lang w:val="en-GB"/>
        </w:rPr>
        <w:t xml:space="preserve">. (2026). </w:t>
      </w:r>
      <w:r w:rsidRPr="00CF7AA5">
        <w:rPr>
          <w:i/>
          <w:iCs/>
          <w:lang w:val="en-GB"/>
        </w:rPr>
        <w:t>Top countries by crypto adoption: Regional trends</w:t>
      </w:r>
      <w:r w:rsidRPr="00CF7AA5">
        <w:rPr>
          <w:lang w:val="en-GB"/>
        </w:rPr>
        <w:t>.</w:t>
      </w:r>
      <w:r w:rsidRPr="00CF7AA5">
        <w:rPr>
          <w:lang w:val="en-GB"/>
        </w:rPr>
        <w:br/>
      </w:r>
      <w:hyperlink r:id="rId34" w:tgtFrame="_new" w:history="1">
        <w:r w:rsidRPr="00CF7AA5">
          <w:rPr>
            <w:rStyle w:val="Hyperlink"/>
            <w:lang w:val="en-GB"/>
          </w:rPr>
          <w:t>https://patentpc.com/blog/top-countries-by-crypto-adoption-regional-stats-trends</w:t>
        </w:r>
      </w:hyperlink>
      <w:r w:rsidRPr="00CF7AA5">
        <w:rPr>
          <w:lang w:val="en-GB"/>
        </w:rPr>
        <w:t xml:space="preserve"> </w:t>
      </w:r>
    </w:p>
    <w:p w14:paraId="156210CC" w14:textId="77777777" w:rsidR="00CF7AA5" w:rsidRPr="00CF7AA5" w:rsidRDefault="00CF7AA5" w:rsidP="00CF7AA5">
      <w:pPr>
        <w:spacing w:line="360" w:lineRule="auto"/>
        <w:ind w:firstLine="709"/>
        <w:jc w:val="both"/>
        <w:rPr>
          <w:lang w:val="en-GB"/>
        </w:rPr>
      </w:pPr>
      <w:proofErr w:type="spellStart"/>
      <w:r w:rsidRPr="00CF7AA5">
        <w:rPr>
          <w:lang w:val="en-GB"/>
        </w:rPr>
        <w:t>Phemex</w:t>
      </w:r>
      <w:proofErr w:type="spellEnd"/>
      <w:r w:rsidRPr="00CF7AA5">
        <w:rPr>
          <w:lang w:val="en-GB"/>
        </w:rPr>
        <w:t xml:space="preserve">. (2025). </w:t>
      </w:r>
      <w:r w:rsidRPr="00CF7AA5">
        <w:rPr>
          <w:i/>
          <w:iCs/>
          <w:lang w:val="en-GB"/>
        </w:rPr>
        <w:t>High inflation drives crypto adoption in several countries</w:t>
      </w:r>
      <w:r w:rsidRPr="00CF7AA5">
        <w:rPr>
          <w:lang w:val="en-GB"/>
        </w:rPr>
        <w:t>.</w:t>
      </w:r>
      <w:r w:rsidRPr="00CF7AA5">
        <w:rPr>
          <w:lang w:val="en-GB"/>
        </w:rPr>
        <w:br/>
      </w:r>
      <w:hyperlink r:id="rId35" w:tgtFrame="_new" w:history="1">
        <w:r w:rsidRPr="00CF7AA5">
          <w:rPr>
            <w:rStyle w:val="Hyperlink"/>
            <w:lang w:val="en-GB"/>
          </w:rPr>
          <w:t>https://phemex.com/news/article/high-inflation-drives-crypto-adoption-in-several-countries-40151</w:t>
        </w:r>
      </w:hyperlink>
      <w:r w:rsidRPr="00CF7AA5">
        <w:rPr>
          <w:lang w:val="en-GB"/>
        </w:rPr>
        <w:t xml:space="preserve"> </w:t>
      </w:r>
    </w:p>
    <w:p w14:paraId="6E2B0EC4" w14:textId="77777777" w:rsidR="00CF7AA5" w:rsidRPr="00CF7AA5" w:rsidRDefault="00CF7AA5" w:rsidP="00CF7AA5">
      <w:pPr>
        <w:spacing w:line="360" w:lineRule="auto"/>
        <w:ind w:firstLine="709"/>
        <w:jc w:val="both"/>
        <w:rPr>
          <w:lang w:val="en-GB"/>
        </w:rPr>
      </w:pPr>
      <w:r w:rsidRPr="00CF7AA5">
        <w:rPr>
          <w:lang w:val="en-GB"/>
        </w:rPr>
        <w:t xml:space="preserve">Ramazonov, M. А. (2022). The concept and essence of cryptocurrency. </w:t>
      </w:r>
      <w:r w:rsidRPr="00CF7AA5">
        <w:rPr>
          <w:i/>
          <w:iCs/>
          <w:lang w:val="en-GB"/>
        </w:rPr>
        <w:t>TSUL Legal Report</w:t>
      </w:r>
      <w:r w:rsidRPr="00CF7AA5">
        <w:rPr>
          <w:lang w:val="en-GB"/>
        </w:rPr>
        <w:t xml:space="preserve">, </w:t>
      </w:r>
      <w:r w:rsidRPr="00CF7AA5">
        <w:rPr>
          <w:i/>
          <w:iCs/>
          <w:lang w:val="en-GB"/>
        </w:rPr>
        <w:t>3</w:t>
      </w:r>
      <w:r w:rsidRPr="00CF7AA5">
        <w:rPr>
          <w:lang w:val="en-GB"/>
        </w:rPr>
        <w:t>(1), 44–50. https://doi.org/10.51788/tsul.lr.3.1./ZBHF6333</w:t>
      </w:r>
    </w:p>
    <w:p w14:paraId="04E258F0" w14:textId="77777777" w:rsidR="00CF7AA5" w:rsidRPr="00CF7AA5" w:rsidRDefault="00CF7AA5" w:rsidP="00CF7AA5">
      <w:pPr>
        <w:spacing w:line="360" w:lineRule="auto"/>
        <w:ind w:firstLine="709"/>
        <w:jc w:val="both"/>
        <w:rPr>
          <w:lang w:val="en-GB"/>
        </w:rPr>
      </w:pPr>
      <w:r w:rsidRPr="00CF7AA5">
        <w:rPr>
          <w:lang w:val="en-GB"/>
        </w:rPr>
        <w:t xml:space="preserve">Securities and Exchange Commission (SEC). (2026). </w:t>
      </w:r>
      <w:r w:rsidRPr="00CF7AA5">
        <w:rPr>
          <w:i/>
          <w:iCs/>
          <w:lang w:val="en-GB"/>
        </w:rPr>
        <w:t>SEC crypto task force updates and enforcement developments</w:t>
      </w:r>
      <w:r w:rsidRPr="00CF7AA5">
        <w:rPr>
          <w:lang w:val="en-GB"/>
        </w:rPr>
        <w:t>.</w:t>
      </w:r>
      <w:r w:rsidRPr="00CF7AA5">
        <w:rPr>
          <w:lang w:val="en-GB"/>
        </w:rPr>
        <w:br/>
      </w:r>
      <w:hyperlink r:id="rId36" w:tgtFrame="_new" w:history="1">
        <w:r w:rsidRPr="00CF7AA5">
          <w:rPr>
            <w:rStyle w:val="Hyperlink"/>
            <w:lang w:val="en-GB"/>
          </w:rPr>
          <w:t>https://www.sec.gov/newsroom/press-releases/2026-34</w:t>
        </w:r>
      </w:hyperlink>
    </w:p>
    <w:p w14:paraId="7A7A99AB" w14:textId="77777777" w:rsidR="00CF7AA5" w:rsidRPr="00CF7AA5" w:rsidRDefault="00CF7AA5" w:rsidP="00CF7AA5">
      <w:pPr>
        <w:spacing w:line="360" w:lineRule="auto"/>
        <w:ind w:firstLine="709"/>
        <w:jc w:val="both"/>
        <w:rPr>
          <w:lang w:val="en-GB"/>
        </w:rPr>
      </w:pPr>
      <w:r w:rsidRPr="00CF7AA5">
        <w:rPr>
          <w:lang w:val="en-GB"/>
        </w:rPr>
        <w:t xml:space="preserve">Shaalan, A. S. (2021). The Impact of Macroeconomic Policies on Investment. In </w:t>
      </w:r>
      <w:r w:rsidRPr="00CF7AA5">
        <w:rPr>
          <w:i/>
          <w:iCs/>
          <w:lang w:val="en-GB"/>
        </w:rPr>
        <w:t>www.elibrary.imf.org</w:t>
      </w:r>
      <w:r w:rsidRPr="00CF7AA5">
        <w:rPr>
          <w:lang w:val="en-GB"/>
        </w:rPr>
        <w:t>. International Monetary Fund. https://www.elibrary.imf.org/display/book/9781557751409/ch02.xml</w:t>
      </w:r>
    </w:p>
    <w:p w14:paraId="4C6634F3" w14:textId="77777777" w:rsidR="00CF7AA5" w:rsidRPr="00CF7AA5" w:rsidRDefault="00CF7AA5" w:rsidP="00CF7AA5">
      <w:pPr>
        <w:spacing w:line="360" w:lineRule="auto"/>
        <w:ind w:firstLine="709"/>
        <w:jc w:val="both"/>
        <w:rPr>
          <w:lang w:val="en-GB"/>
        </w:rPr>
      </w:pPr>
      <w:r w:rsidRPr="00CF7AA5">
        <w:rPr>
          <w:lang w:val="en-GB"/>
        </w:rPr>
        <w:t xml:space="preserve">Smith, J. (2026). </w:t>
      </w:r>
      <w:proofErr w:type="spellStart"/>
      <w:r w:rsidRPr="00CF7AA5">
        <w:rPr>
          <w:i/>
          <w:iCs/>
          <w:lang w:val="en-GB"/>
        </w:rPr>
        <w:t>Cryptoasset</w:t>
      </w:r>
      <w:proofErr w:type="spellEnd"/>
      <w:r w:rsidRPr="00CF7AA5">
        <w:rPr>
          <w:i/>
          <w:iCs/>
          <w:lang w:val="en-GB"/>
        </w:rPr>
        <w:t xml:space="preserve"> and </w:t>
      </w:r>
      <w:proofErr w:type="spellStart"/>
      <w:r w:rsidRPr="00CF7AA5">
        <w:rPr>
          <w:i/>
          <w:iCs/>
          <w:lang w:val="en-GB"/>
        </w:rPr>
        <w:t>TradFi</w:t>
      </w:r>
      <w:proofErr w:type="spellEnd"/>
      <w:r w:rsidRPr="00CF7AA5">
        <w:rPr>
          <w:i/>
          <w:iCs/>
          <w:lang w:val="en-GB"/>
        </w:rPr>
        <w:t xml:space="preserve"> convergence set to accelerate in 2026</w:t>
      </w:r>
      <w:r w:rsidRPr="00CF7AA5">
        <w:rPr>
          <w:lang w:val="en-GB"/>
        </w:rPr>
        <w:t>. Elliptic.co. https://www.elliptic.co/blog/cryptoasset-and-tradfi-convergence-set-to-accelerate-in-2026</w:t>
      </w:r>
    </w:p>
    <w:p w14:paraId="080A23A0" w14:textId="77777777" w:rsidR="00CF7AA5" w:rsidRPr="00CF7AA5" w:rsidRDefault="00CF7AA5" w:rsidP="00CF7AA5">
      <w:pPr>
        <w:spacing w:line="360" w:lineRule="auto"/>
        <w:ind w:firstLine="709"/>
        <w:jc w:val="both"/>
        <w:rPr>
          <w:lang w:val="en-GB"/>
        </w:rPr>
      </w:pPr>
      <w:proofErr w:type="spellStart"/>
      <w:r w:rsidRPr="00CF7AA5">
        <w:rPr>
          <w:lang w:val="en-GB"/>
        </w:rPr>
        <w:t>TradingView</w:t>
      </w:r>
      <w:proofErr w:type="spellEnd"/>
      <w:r w:rsidRPr="00CF7AA5">
        <w:rPr>
          <w:lang w:val="en-GB"/>
        </w:rPr>
        <w:t xml:space="preserve"> / Cointelegraph. (2025). </w:t>
      </w:r>
      <w:r w:rsidRPr="00CF7AA5">
        <w:rPr>
          <w:i/>
          <w:iCs/>
          <w:lang w:val="en-GB"/>
        </w:rPr>
        <w:t>Fiat inflation drives crypto adoption across the globe</w:t>
      </w:r>
      <w:r w:rsidRPr="00CF7AA5">
        <w:rPr>
          <w:lang w:val="en-GB"/>
        </w:rPr>
        <w:t>.</w:t>
      </w:r>
      <w:r w:rsidRPr="00CF7AA5">
        <w:rPr>
          <w:lang w:val="en-GB"/>
        </w:rPr>
        <w:br/>
      </w:r>
      <w:hyperlink r:id="rId37" w:tgtFrame="_new" w:history="1">
        <w:r w:rsidRPr="00CF7AA5">
          <w:rPr>
            <w:rStyle w:val="Hyperlink"/>
            <w:lang w:val="en-GB"/>
          </w:rPr>
          <w:t>https://www.tradingview.com/news/cointelegraph%3A9e767242a094b%3A0-fiat-inflation-drives-crypto-adoption-across-the-globe/</w:t>
        </w:r>
      </w:hyperlink>
      <w:r w:rsidRPr="00CF7AA5">
        <w:rPr>
          <w:lang w:val="en-GB"/>
        </w:rPr>
        <w:t xml:space="preserve"> </w:t>
      </w:r>
    </w:p>
    <w:p w14:paraId="08056055" w14:textId="77777777" w:rsidR="00CF7AA5" w:rsidRPr="00CF7AA5" w:rsidRDefault="00CF7AA5" w:rsidP="00CF7AA5">
      <w:pPr>
        <w:spacing w:line="360" w:lineRule="auto"/>
        <w:ind w:firstLine="709"/>
        <w:jc w:val="both"/>
      </w:pPr>
      <w:r w:rsidRPr="00CF7AA5">
        <w:t xml:space="preserve">U.S. Bureau of Labor Statistics. (2025). </w:t>
      </w:r>
      <w:r w:rsidRPr="00CF7AA5">
        <w:rPr>
          <w:i/>
          <w:iCs/>
        </w:rPr>
        <w:t>Consumer Price Index for All Urban Consumers (CPI-U)</w:t>
      </w:r>
      <w:r w:rsidRPr="00CF7AA5">
        <w:t xml:space="preserve">. </w:t>
      </w:r>
      <w:hyperlink r:id="rId38" w:tgtFrame="_new" w:history="1">
        <w:r w:rsidRPr="00CF7AA5">
          <w:rPr>
            <w:rStyle w:val="Hyperlink"/>
          </w:rPr>
          <w:t>https://www.bls.gov/cpi/</w:t>
        </w:r>
      </w:hyperlink>
    </w:p>
    <w:p w14:paraId="514D60FD" w14:textId="77777777" w:rsidR="00CF7AA5" w:rsidRPr="00CF7AA5" w:rsidRDefault="00CF7AA5" w:rsidP="00CF7AA5">
      <w:pPr>
        <w:spacing w:line="360" w:lineRule="auto"/>
        <w:ind w:firstLine="709"/>
        <w:jc w:val="both"/>
      </w:pPr>
      <w:r w:rsidRPr="00CF7AA5">
        <w:rPr>
          <w:lang w:val="en-GB"/>
        </w:rPr>
        <w:t xml:space="preserve">U.S. Commodity Futures Trading Commission (CFTC). (2024). </w:t>
      </w:r>
      <w:r w:rsidRPr="00CF7AA5">
        <w:rPr>
          <w:i/>
          <w:iCs/>
          <w:lang w:val="en-GB"/>
        </w:rPr>
        <w:t>Customer advisory: Bitcoin and virtual currency markets</w:t>
      </w:r>
      <w:r w:rsidRPr="00CF7AA5">
        <w:rPr>
          <w:lang w:val="en-GB"/>
        </w:rPr>
        <w:t>.</w:t>
      </w:r>
      <w:r w:rsidRPr="00CF7AA5">
        <w:rPr>
          <w:lang w:val="en-GB"/>
        </w:rPr>
        <w:br/>
      </w:r>
      <w:hyperlink r:id="rId39" w:tgtFrame="_new" w:history="1">
        <w:r w:rsidRPr="00CF7AA5">
          <w:rPr>
            <w:rStyle w:val="Hyperlink"/>
            <w:lang w:val="en-GB"/>
          </w:rPr>
          <w:t>https://www.cftc.gov/LearnAndProtect/AdvisoriesAndArticles/BitcoinFuturesETF.html</w:t>
        </w:r>
      </w:hyperlink>
    </w:p>
    <w:p w14:paraId="208EA806" w14:textId="77777777" w:rsidR="00CF7AA5" w:rsidRPr="00CF7AA5" w:rsidRDefault="00CF7AA5" w:rsidP="00CF7AA5">
      <w:pPr>
        <w:spacing w:line="360" w:lineRule="auto"/>
        <w:ind w:firstLine="709"/>
        <w:jc w:val="both"/>
        <w:rPr>
          <w:lang w:val="en-GB"/>
        </w:rPr>
      </w:pPr>
      <w:r w:rsidRPr="00CF7AA5">
        <w:rPr>
          <w:lang w:val="en-GB"/>
        </w:rPr>
        <w:t xml:space="preserve">United Bank for Africa (UBA). (2024). </w:t>
      </w:r>
      <w:r w:rsidRPr="00CF7AA5">
        <w:rPr>
          <w:i/>
          <w:iCs/>
          <w:lang w:val="en-GB"/>
        </w:rPr>
        <w:t>Nigeria and Turkey among biggest adopters of crypto in 2024</w:t>
      </w:r>
      <w:r w:rsidRPr="00CF7AA5">
        <w:rPr>
          <w:lang w:val="en-GB"/>
        </w:rPr>
        <w:t>.</w:t>
      </w:r>
      <w:r w:rsidRPr="00CF7AA5">
        <w:rPr>
          <w:lang w:val="en-GB"/>
        </w:rPr>
        <w:br/>
      </w:r>
      <w:hyperlink r:id="rId40" w:tgtFrame="_new" w:history="1">
        <w:r w:rsidRPr="00CF7AA5">
          <w:rPr>
            <w:rStyle w:val="Hyperlink"/>
            <w:lang w:val="en-GB"/>
          </w:rPr>
          <w:t>https://uabonline.org/english-news/nigeria-and-turkey-biggest-adopters-of-crypto-in-2024/</w:t>
        </w:r>
      </w:hyperlink>
    </w:p>
    <w:p w14:paraId="1BD0A70E" w14:textId="77777777" w:rsidR="00CF7AA5" w:rsidRPr="00CF7AA5" w:rsidRDefault="00CF7AA5" w:rsidP="00CF7AA5">
      <w:pPr>
        <w:spacing w:line="360" w:lineRule="auto"/>
        <w:ind w:firstLine="709"/>
        <w:jc w:val="both"/>
      </w:pPr>
      <w:r w:rsidRPr="00CF7AA5">
        <w:rPr>
          <w:lang w:val="en-GB"/>
        </w:rPr>
        <w:t xml:space="preserve">VanEck. (2024). </w:t>
      </w:r>
      <w:r w:rsidRPr="00CF7AA5">
        <w:rPr>
          <w:i/>
          <w:iCs/>
          <w:lang w:val="en-GB"/>
        </w:rPr>
        <w:t>Bitcoin halving explained: History, impact, and 2024 predictions</w:t>
      </w:r>
      <w:r w:rsidRPr="00CF7AA5">
        <w:rPr>
          <w:lang w:val="en-GB"/>
        </w:rPr>
        <w:t xml:space="preserve">. </w:t>
      </w:r>
      <w:hyperlink r:id="rId41" w:tgtFrame="_new" w:history="1">
        <w:r w:rsidRPr="00CF7AA5">
          <w:rPr>
            <w:rStyle w:val="Hyperlink"/>
            <w:lang w:val="en-GB"/>
          </w:rPr>
          <w:t>https://www.vaneck.com/</w:t>
        </w:r>
      </w:hyperlink>
    </w:p>
    <w:p w14:paraId="2EA57265" w14:textId="77777777" w:rsidR="00CF7AA5" w:rsidRPr="00CF7AA5" w:rsidRDefault="00CF7AA5" w:rsidP="00CF7AA5">
      <w:pPr>
        <w:spacing w:line="360" w:lineRule="auto"/>
        <w:ind w:firstLine="709"/>
        <w:jc w:val="both"/>
        <w:rPr>
          <w:lang w:val="en-GB"/>
        </w:rPr>
      </w:pPr>
      <w:r w:rsidRPr="00CF7AA5">
        <w:rPr>
          <w:lang w:val="en-GB"/>
        </w:rPr>
        <w:t xml:space="preserve">XT.com. (2026). </w:t>
      </w:r>
      <w:r w:rsidRPr="00CF7AA5">
        <w:rPr>
          <w:i/>
          <w:iCs/>
          <w:lang w:val="en-GB"/>
        </w:rPr>
        <w:t>Why crypto adoption is surging in high-inflation economies</w:t>
      </w:r>
      <w:r w:rsidRPr="00CF7AA5">
        <w:rPr>
          <w:lang w:val="en-GB"/>
        </w:rPr>
        <w:t>.</w:t>
      </w:r>
      <w:r w:rsidRPr="00CF7AA5">
        <w:rPr>
          <w:lang w:val="en-GB"/>
        </w:rPr>
        <w:br/>
      </w:r>
      <w:hyperlink r:id="rId42" w:tgtFrame="_new" w:history="1">
        <w:r w:rsidRPr="00CF7AA5">
          <w:rPr>
            <w:rStyle w:val="Hyperlink"/>
            <w:lang w:val="en-GB"/>
          </w:rPr>
          <w:t>https://www.xt.com/fa/blog/post/why-crypto-adoption-is-surging-in-high-inflation-economies-in-2025-report</w:t>
        </w:r>
      </w:hyperlink>
      <w:r w:rsidRPr="00CF7AA5">
        <w:rPr>
          <w:lang w:val="en-GB"/>
        </w:rPr>
        <w:t xml:space="preserve"> </w:t>
      </w:r>
    </w:p>
    <w:p w14:paraId="1C2249E9" w14:textId="77777777" w:rsidR="00CF7AA5" w:rsidRPr="00CF7AA5" w:rsidRDefault="00CF7AA5" w:rsidP="00CF7AA5">
      <w:pPr>
        <w:spacing w:line="360" w:lineRule="auto"/>
        <w:ind w:firstLine="709"/>
        <w:jc w:val="both"/>
      </w:pPr>
      <w:r w:rsidRPr="00CF7AA5">
        <w:t xml:space="preserve">Yahoo Finance. (2025). </w:t>
      </w:r>
      <w:r w:rsidRPr="00CF7AA5">
        <w:rPr>
          <w:i/>
          <w:iCs/>
        </w:rPr>
        <w:t>Bitcoin USD (BTC-USD) historical data</w:t>
      </w:r>
      <w:r w:rsidRPr="00CF7AA5">
        <w:t xml:space="preserve">. </w:t>
      </w:r>
      <w:hyperlink r:id="rId43" w:tgtFrame="_new" w:history="1">
        <w:r w:rsidRPr="00CF7AA5">
          <w:rPr>
            <w:rStyle w:val="Hyperlink"/>
          </w:rPr>
          <w:t>https://finance.yahoo.com/quote/BTC-USD/history/</w:t>
        </w:r>
      </w:hyperlink>
    </w:p>
    <w:p w14:paraId="6A7A327A" w14:textId="77777777" w:rsidR="00CF7AA5" w:rsidRPr="00CF7AA5" w:rsidRDefault="00CF7AA5" w:rsidP="00CF7AA5">
      <w:pPr>
        <w:spacing w:line="360" w:lineRule="auto"/>
        <w:ind w:firstLine="709"/>
        <w:jc w:val="both"/>
        <w:rPr>
          <w:lang w:val="en-GB"/>
        </w:rPr>
      </w:pPr>
      <w:r w:rsidRPr="00CF7AA5">
        <w:rPr>
          <w:lang w:val="en-GB"/>
        </w:rPr>
        <w:t xml:space="preserve">Yahoo Finance. (2025). </w:t>
      </w:r>
      <w:r w:rsidRPr="00CF7AA5">
        <w:rPr>
          <w:i/>
          <w:iCs/>
          <w:lang w:val="en-GB"/>
        </w:rPr>
        <w:t>Crypto adoption surge in Argentina amid inflation</w:t>
      </w:r>
      <w:r w:rsidRPr="00CF7AA5">
        <w:rPr>
          <w:lang w:val="en-GB"/>
        </w:rPr>
        <w:t>.</w:t>
      </w:r>
      <w:r w:rsidRPr="00CF7AA5">
        <w:rPr>
          <w:lang w:val="en-GB"/>
        </w:rPr>
        <w:br/>
      </w:r>
      <w:hyperlink r:id="rId44" w:tgtFrame="_new" w:history="1">
        <w:r w:rsidRPr="00CF7AA5">
          <w:rPr>
            <w:rStyle w:val="Hyperlink"/>
            <w:lang w:val="en-GB"/>
          </w:rPr>
          <w:t>https://finance.yahoo.com/news/brazilian-vacations-overtake-inflation-driver-235933041.html</w:t>
        </w:r>
      </w:hyperlink>
    </w:p>
    <w:p w14:paraId="6CEF736B" w14:textId="77777777" w:rsidR="00CF7AA5" w:rsidRPr="00CF7AA5" w:rsidRDefault="00CF7AA5" w:rsidP="00CF7AA5">
      <w:pPr>
        <w:spacing w:line="360" w:lineRule="auto"/>
        <w:ind w:firstLine="709"/>
        <w:jc w:val="both"/>
      </w:pPr>
      <w:r w:rsidRPr="00CF7AA5">
        <w:t>Yatsyk, T., &amp; Shvets, V. (2020). Cryptoassets as an emerging class of digital assets in the financial accounting. Economic Annals-XXI, 183(5-6), 106-115. doi: </w:t>
      </w:r>
      <w:hyperlink r:id="rId45" w:history="1">
        <w:r w:rsidRPr="00CF7AA5">
          <w:rPr>
            <w:rStyle w:val="Hyperlink"/>
          </w:rPr>
          <w:t>https://doi.org/10.21003/ea.V183-10</w:t>
        </w:r>
      </w:hyperlink>
    </w:p>
    <w:p w14:paraId="6D3357DC" w14:textId="77777777" w:rsidR="00CF7AA5" w:rsidRPr="00CF7AA5" w:rsidRDefault="00CF7AA5" w:rsidP="00CF7AA5">
      <w:pPr>
        <w:spacing w:line="360" w:lineRule="auto"/>
        <w:ind w:firstLine="709"/>
        <w:jc w:val="both"/>
      </w:pPr>
    </w:p>
    <w:p w14:paraId="3C4310B0" w14:textId="77777777" w:rsidR="00CF7AA5" w:rsidRPr="0001508E" w:rsidRDefault="00CF7AA5" w:rsidP="0001508E">
      <w:pPr>
        <w:spacing w:line="360" w:lineRule="auto"/>
        <w:ind w:firstLine="709"/>
        <w:jc w:val="both"/>
      </w:pPr>
    </w:p>
    <w:p w14:paraId="5F6F4F0A" w14:textId="77777777" w:rsidR="00936C1C" w:rsidRPr="006040D3" w:rsidRDefault="00936C1C" w:rsidP="00936C1C">
      <w:pPr>
        <w:spacing w:line="360" w:lineRule="auto"/>
        <w:ind w:firstLine="709"/>
        <w:jc w:val="both"/>
      </w:pPr>
    </w:p>
    <w:p w14:paraId="514E2EA0" w14:textId="77777777" w:rsidR="00ED3901" w:rsidRPr="006040D3" w:rsidRDefault="00ED3901" w:rsidP="00C47C1F">
      <w:pPr>
        <w:widowControl/>
        <w:suppressAutoHyphens w:val="0"/>
        <w:jc w:val="center"/>
        <w:rPr>
          <w:b/>
          <w:bCs/>
        </w:rPr>
      </w:pPr>
    </w:p>
    <w:p w14:paraId="696685E0" w14:textId="5EE57345" w:rsidR="00C47C1F" w:rsidRPr="00421B2A" w:rsidRDefault="00C47C1F" w:rsidP="00421B2A">
      <w:pPr>
        <w:widowControl/>
        <w:suppressAutoHyphens w:val="0"/>
        <w:rPr>
          <w:b/>
          <w:bCs/>
        </w:rPr>
      </w:pPr>
    </w:p>
    <w:sectPr w:rsidR="00C47C1F" w:rsidRPr="00421B2A" w:rsidSect="005E48F5">
      <w:headerReference w:type="default" r:id="rId46"/>
      <w:footerReference w:type="default" r:id="rId47"/>
      <w:pgSz w:w="12240" w:h="15840"/>
      <w:pgMar w:top="1418" w:right="1467" w:bottom="1560" w:left="156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3E043" w14:textId="77777777" w:rsidR="00B81430" w:rsidRPr="006040D3" w:rsidRDefault="00B81430" w:rsidP="00672CE3">
      <w:r w:rsidRPr="006040D3">
        <w:separator/>
      </w:r>
    </w:p>
  </w:endnote>
  <w:endnote w:type="continuationSeparator" w:id="0">
    <w:p w14:paraId="4E43DE5F" w14:textId="77777777" w:rsidR="00B81430" w:rsidRPr="006040D3" w:rsidRDefault="00B81430" w:rsidP="00672CE3">
      <w:r w:rsidRPr="006040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928E7" w14:textId="77777777" w:rsidR="004E5F79" w:rsidRPr="006040D3" w:rsidRDefault="004E5F79">
    <w:pPr>
      <w:pStyle w:val="Footer"/>
      <w:jc w:val="center"/>
    </w:pPr>
    <w:r w:rsidRPr="006040D3">
      <w:fldChar w:fldCharType="begin"/>
    </w:r>
    <w:r w:rsidRPr="006040D3">
      <w:instrText xml:space="preserve"> PAGE   \* MERGEFORMAT </w:instrText>
    </w:r>
    <w:r w:rsidRPr="006040D3">
      <w:fldChar w:fldCharType="separate"/>
    </w:r>
    <w:r w:rsidRPr="006040D3">
      <w:t>1</w:t>
    </w:r>
    <w:r w:rsidRPr="006040D3">
      <w:fldChar w:fldCharType="end"/>
    </w:r>
  </w:p>
  <w:p w14:paraId="30F2E888" w14:textId="77777777" w:rsidR="004E5F79" w:rsidRPr="006040D3" w:rsidRDefault="004E5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469BA" w14:textId="77777777" w:rsidR="00B81430" w:rsidRPr="006040D3" w:rsidRDefault="00B81430" w:rsidP="00672CE3">
      <w:r w:rsidRPr="006040D3">
        <w:separator/>
      </w:r>
    </w:p>
  </w:footnote>
  <w:footnote w:type="continuationSeparator" w:id="0">
    <w:p w14:paraId="275E30B7" w14:textId="77777777" w:rsidR="00B81430" w:rsidRPr="006040D3" w:rsidRDefault="00B81430" w:rsidP="00672CE3">
      <w:r w:rsidRPr="006040D3">
        <w:continuationSeparator/>
      </w:r>
    </w:p>
  </w:footnote>
  <w:footnote w:id="1">
    <w:p w14:paraId="3250B19E" w14:textId="11B7B093" w:rsidR="00CB165E" w:rsidRPr="006040D3" w:rsidRDefault="00CB165E">
      <w:pPr>
        <w:pStyle w:val="FootnoteText"/>
      </w:pPr>
      <w:r w:rsidRPr="006040D3">
        <w:rPr>
          <w:rStyle w:val="FootnoteReference"/>
        </w:rPr>
        <w:footnoteRef/>
      </w:r>
      <w:r w:rsidRPr="006040D3">
        <w:t xml:space="preserve"> </w:t>
      </w:r>
      <w:r w:rsidRPr="006040D3">
        <w:t xml:space="preserve">Ramazonov, M. А. (2022). The concept and essence of cryptocurrency. </w:t>
      </w:r>
      <w:r w:rsidRPr="006040D3">
        <w:rPr>
          <w:i/>
          <w:iCs/>
        </w:rPr>
        <w:t>TSUL Legal Report</w:t>
      </w:r>
      <w:r w:rsidRPr="006040D3">
        <w:t xml:space="preserve">, </w:t>
      </w:r>
      <w:r w:rsidRPr="006040D3">
        <w:rPr>
          <w:i/>
          <w:iCs/>
        </w:rPr>
        <w:t>3</w:t>
      </w:r>
      <w:r w:rsidRPr="006040D3">
        <w:t>(1), 44–50. https://doi.org/10.51788/tsul.lr.3.1./ZBHF6333</w:t>
      </w:r>
    </w:p>
  </w:footnote>
  <w:footnote w:id="2">
    <w:p w14:paraId="77712A4D" w14:textId="77777777" w:rsidR="00CB165E" w:rsidRPr="006040D3" w:rsidRDefault="00CB165E" w:rsidP="00CB165E">
      <w:pPr>
        <w:pStyle w:val="FootnoteText"/>
      </w:pPr>
      <w:r w:rsidRPr="006040D3">
        <w:rPr>
          <w:rStyle w:val="FootnoteReference"/>
        </w:rPr>
        <w:footnoteRef/>
      </w:r>
      <w:r w:rsidRPr="006040D3">
        <w:t xml:space="preserve"> </w:t>
      </w:r>
      <w:r w:rsidRPr="006040D3">
        <w:t xml:space="preserve">Bouri, </w:t>
      </w:r>
      <w:r w:rsidRPr="006040D3">
        <w:t xml:space="preserve">E., Molnár, P., Azzi, G., Roubaud, D., &amp; Hagfors, L. I. (2017). On the hedge and safe haven properties of Bitcoin: Is it really more than a diversifier? Finance Research Letters, 20, 192–198. </w:t>
      </w:r>
      <w:hyperlink r:id="rId1" w:history="1">
        <w:r w:rsidRPr="006040D3">
          <w:rPr>
            <w:rStyle w:val="Hyperlink"/>
          </w:rPr>
          <w:t>https://ideas.repec.org/a/eee/finlet/v20y2017icp192-198.html</w:t>
        </w:r>
      </w:hyperlink>
    </w:p>
    <w:p w14:paraId="6755946D" w14:textId="4B70B88B" w:rsidR="00CB165E" w:rsidRPr="006040D3" w:rsidRDefault="00CB165E">
      <w:pPr>
        <w:pStyle w:val="FootnoteText"/>
      </w:pPr>
    </w:p>
  </w:footnote>
  <w:footnote w:id="3">
    <w:p w14:paraId="47B7F316" w14:textId="1E7BC216" w:rsidR="00CB165E" w:rsidRPr="006040D3" w:rsidRDefault="00CB165E">
      <w:pPr>
        <w:pStyle w:val="FootnoteText"/>
      </w:pPr>
      <w:r w:rsidRPr="006040D3">
        <w:rPr>
          <w:rStyle w:val="FootnoteReference"/>
        </w:rPr>
        <w:footnoteRef/>
      </w:r>
      <w:r w:rsidRPr="006040D3">
        <w:t xml:space="preserve"> </w:t>
      </w:r>
      <w:r w:rsidRPr="006040D3">
        <w:t xml:space="preserve">Bouri, E., Shahzad, S. J. H., Roubaud, D., Kristoufek, L., &amp; Lucey, B. M. (2019). Bitcoin, gold, and commodities as safe havens for stocks: New insights through wavelet analysis. The Quarterly Review of Economics and Finance, 77, 156–164. </w:t>
      </w:r>
      <w:hyperlink r:id="rId2" w:history="1">
        <w:r w:rsidRPr="006040D3">
          <w:rPr>
            <w:rStyle w:val="Hyperlink"/>
          </w:rPr>
          <w:t>https://ideas.repec.org/a/eee/quaeco/v77y2020icp156-164.html</w:t>
        </w:r>
      </w:hyperlink>
    </w:p>
  </w:footnote>
  <w:footnote w:id="4">
    <w:p w14:paraId="49B81300" w14:textId="4A0FBC4C" w:rsidR="00CB165E" w:rsidRPr="006040D3" w:rsidRDefault="00CB165E">
      <w:pPr>
        <w:pStyle w:val="FootnoteText"/>
      </w:pPr>
      <w:r w:rsidRPr="006040D3">
        <w:rPr>
          <w:rStyle w:val="FootnoteReference"/>
        </w:rPr>
        <w:footnoteRef/>
      </w:r>
      <w:r w:rsidRPr="006040D3">
        <w:t xml:space="preserve"> </w:t>
      </w:r>
      <w:r w:rsidRPr="006040D3">
        <w:t>Heskett, J. (2017). The future of blockchain and its role in financial systems. Harvard Business Review. https://hbr.org/2017/03/how-blockchain-is-changing-finance</w:t>
      </w:r>
    </w:p>
  </w:footnote>
  <w:footnote w:id="5">
    <w:p w14:paraId="15D2DEED" w14:textId="77777777" w:rsidR="00CB165E" w:rsidRPr="006040D3" w:rsidRDefault="00CB165E" w:rsidP="00CB165E">
      <w:pPr>
        <w:pStyle w:val="FootnoteText"/>
      </w:pPr>
      <w:r w:rsidRPr="006040D3">
        <w:rPr>
          <w:rStyle w:val="FootnoteReference"/>
        </w:rPr>
        <w:footnoteRef/>
      </w:r>
      <w:r w:rsidRPr="006040D3">
        <w:t xml:space="preserve"> </w:t>
      </w:r>
      <w:r w:rsidRPr="006040D3">
        <w:t>Goodell, J. W., &amp; Goutte, S. (2020). Diversifying with cryptocurrencies? How much is enough? Economics Letters, 191, 109125.https://econpapers.repec.org/RePEc:hal:journl:halshs-02876529</w:t>
      </w:r>
    </w:p>
    <w:p w14:paraId="1E70E258" w14:textId="55BED4A8" w:rsidR="00CB165E" w:rsidRPr="006040D3" w:rsidRDefault="00CB165E">
      <w:pPr>
        <w:pStyle w:val="FootnoteText"/>
      </w:pPr>
    </w:p>
  </w:footnote>
  <w:footnote w:id="6">
    <w:p w14:paraId="4097C4DC" w14:textId="7E8CE9D6" w:rsidR="00CB165E" w:rsidRPr="006040D3" w:rsidRDefault="00CB165E">
      <w:pPr>
        <w:pStyle w:val="FootnoteText"/>
      </w:pPr>
      <w:r w:rsidRPr="006040D3">
        <w:rPr>
          <w:rStyle w:val="FootnoteReference"/>
        </w:rPr>
        <w:footnoteRef/>
      </w:r>
      <w:r w:rsidRPr="006040D3">
        <w:t xml:space="preserve"> </w:t>
      </w:r>
      <w:r w:rsidRPr="006040D3">
        <w:t>Heskett, J. (2017). The future of blockchain and its role in financial systems. Harvard Business Review. https://hbr.org/2017/03/how-blockchain-is-changing-finance</w:t>
      </w:r>
    </w:p>
  </w:footnote>
  <w:footnote w:id="7">
    <w:p w14:paraId="27C18912" w14:textId="0F146ED3" w:rsidR="00CB165E" w:rsidRPr="006040D3" w:rsidRDefault="00CB165E">
      <w:pPr>
        <w:pStyle w:val="FootnoteText"/>
      </w:pPr>
      <w:r w:rsidRPr="006040D3">
        <w:rPr>
          <w:rStyle w:val="FootnoteReference"/>
        </w:rPr>
        <w:footnoteRef/>
      </w:r>
      <w:r w:rsidRPr="006040D3">
        <w:t xml:space="preserve"> </w:t>
      </w:r>
      <w:r w:rsidRPr="006040D3">
        <w:t xml:space="preserve">Ramazonov, M. А. (2022). The concept and essence of cryptocurrency. </w:t>
      </w:r>
      <w:r w:rsidRPr="006040D3">
        <w:rPr>
          <w:i/>
          <w:iCs/>
        </w:rPr>
        <w:t>TSUL Legal Report</w:t>
      </w:r>
      <w:r w:rsidRPr="006040D3">
        <w:t xml:space="preserve">, </w:t>
      </w:r>
      <w:r w:rsidRPr="006040D3">
        <w:rPr>
          <w:i/>
          <w:iCs/>
        </w:rPr>
        <w:t>3</w:t>
      </w:r>
      <w:r w:rsidRPr="006040D3">
        <w:t>(1), 44–50. https://doi.org/10.51788/tsul.lr.3.1./ZBHF6333</w:t>
      </w:r>
    </w:p>
  </w:footnote>
  <w:footnote w:id="8">
    <w:p w14:paraId="664B4A1C" w14:textId="63F03D8B" w:rsidR="00CB165E" w:rsidRPr="006040D3" w:rsidRDefault="00CB165E">
      <w:pPr>
        <w:pStyle w:val="FootnoteText"/>
      </w:pPr>
      <w:r w:rsidRPr="006040D3">
        <w:rPr>
          <w:rStyle w:val="FootnoteReference"/>
        </w:rPr>
        <w:footnoteRef/>
      </w:r>
      <w:r w:rsidRPr="006040D3">
        <w:t xml:space="preserve"> </w:t>
      </w:r>
      <w:r w:rsidRPr="006040D3">
        <w:t xml:space="preserve">Yatsyk, </w:t>
      </w:r>
      <w:r w:rsidRPr="006040D3">
        <w:t>T., &amp; Shvets, V. (2020). Cryptoassets as an emerging class of digital assets in the financial accounting. Economic Annals-XXI, 183(5-6), 106-115. doi: </w:t>
      </w:r>
      <w:r w:rsidRPr="006040D3">
        <w:fldChar w:fldCharType="begin"/>
      </w:r>
      <w:r w:rsidRPr="006040D3">
        <w:instrText>HYPERLINK "https://doi.org/10.21003/ea.V183-10"</w:instrText>
      </w:r>
      <w:r w:rsidRPr="006040D3">
        <w:fldChar w:fldCharType="separate"/>
      </w:r>
      <w:r w:rsidRPr="006040D3">
        <w:rPr>
          <w:rStyle w:val="Hyperlink"/>
        </w:rPr>
        <w:t>https://doi.org/10.21003/ea.V183-10</w:t>
      </w:r>
      <w:r w:rsidRPr="006040D3">
        <w:fldChar w:fldCharType="end"/>
      </w:r>
    </w:p>
  </w:footnote>
  <w:footnote w:id="9">
    <w:p w14:paraId="6724649E" w14:textId="77777777" w:rsidR="00CB165E" w:rsidRPr="006040D3" w:rsidRDefault="00CB165E" w:rsidP="00CB165E">
      <w:pPr>
        <w:pStyle w:val="FootnoteText"/>
      </w:pPr>
      <w:r w:rsidRPr="006040D3">
        <w:rPr>
          <w:rStyle w:val="FootnoteReference"/>
        </w:rPr>
        <w:footnoteRef/>
      </w:r>
      <w:r w:rsidRPr="006040D3">
        <w:t xml:space="preserve"> </w:t>
      </w:r>
      <w:r w:rsidRPr="006040D3">
        <w:t xml:space="preserve">Benedetti, H., &amp; Smith, S. S. (2024). Cryptoassets and Fintech. </w:t>
      </w:r>
      <w:r w:rsidRPr="006040D3">
        <w:rPr>
          <w:i/>
          <w:iCs/>
        </w:rPr>
        <w:t>Emerald Publishing Limited EBooks</w:t>
      </w:r>
      <w:r w:rsidRPr="006040D3">
        <w:t>, 267–281. https://doi.org/10.1108/978-1-83753-608-520241034</w:t>
      </w:r>
    </w:p>
    <w:p w14:paraId="0F7455AB" w14:textId="7A34EE6A" w:rsidR="00CB165E" w:rsidRPr="006040D3" w:rsidRDefault="00CB165E">
      <w:pPr>
        <w:pStyle w:val="FootnoteText"/>
      </w:pPr>
    </w:p>
  </w:footnote>
  <w:footnote w:id="10">
    <w:p w14:paraId="3C521C85" w14:textId="77777777" w:rsidR="00AA7178" w:rsidRPr="006040D3" w:rsidRDefault="00CB165E" w:rsidP="00AA7178">
      <w:pPr>
        <w:pStyle w:val="FootnoteText"/>
      </w:pPr>
      <w:r w:rsidRPr="006040D3">
        <w:rPr>
          <w:rStyle w:val="FootnoteReference"/>
        </w:rPr>
        <w:footnoteRef/>
      </w:r>
      <w:r w:rsidRPr="006040D3">
        <w:t xml:space="preserve"> </w:t>
      </w:r>
      <w:r w:rsidR="00AA7178" w:rsidRPr="006040D3">
        <w:t xml:space="preserve">Dyhrberg, </w:t>
      </w:r>
      <w:r w:rsidR="00AA7178" w:rsidRPr="006040D3">
        <w:t xml:space="preserve">A. H. (2016). Bitcoin, gold, and the dollar—A GARCH volatility analysis. Finance Research Letters, 16, 85–92. </w:t>
      </w:r>
      <w:hyperlink r:id="rId3" w:history="1">
        <w:r w:rsidR="00AA7178" w:rsidRPr="006040D3">
          <w:rPr>
            <w:rStyle w:val="Hyperlink"/>
          </w:rPr>
          <w:t>https://ideas.repec.org/a/eee/finlet/v16y2016icp85-92.html</w:t>
        </w:r>
      </w:hyperlink>
    </w:p>
    <w:p w14:paraId="69BCD97E" w14:textId="351CF92D" w:rsidR="00CB165E" w:rsidRPr="006040D3" w:rsidRDefault="00CB165E">
      <w:pPr>
        <w:pStyle w:val="FootnoteText"/>
      </w:pPr>
    </w:p>
  </w:footnote>
  <w:footnote w:id="11">
    <w:p w14:paraId="0F87214A" w14:textId="77777777" w:rsidR="00AA7178" w:rsidRPr="006040D3" w:rsidRDefault="00AA7178" w:rsidP="00AA7178">
      <w:pPr>
        <w:pStyle w:val="FootnoteText"/>
      </w:pPr>
      <w:r w:rsidRPr="006040D3">
        <w:rPr>
          <w:rStyle w:val="FootnoteReference"/>
        </w:rPr>
        <w:footnoteRef/>
      </w:r>
      <w:r w:rsidRPr="006040D3">
        <w:t xml:space="preserve"> </w:t>
      </w:r>
      <w:r w:rsidRPr="006040D3">
        <w:t xml:space="preserve">Brini, R., &amp; Lenz, C. (2024). Understanding Bitcoin price volatility: A financial innovation perspective. Journal of Financial Innovation, 15(2), 210–230. </w:t>
      </w:r>
      <w:hyperlink r:id="rId4" w:history="1">
        <w:r w:rsidRPr="006040D3">
          <w:rPr>
            <w:rStyle w:val="Hyperlink"/>
          </w:rPr>
          <w:t>https://ideas.repec.org/a/spr/fininn/v10y2024i1d10.1186_s40854-024-00646-y.html</w:t>
        </w:r>
      </w:hyperlink>
    </w:p>
    <w:p w14:paraId="4E14C02A" w14:textId="77777777" w:rsidR="00AA7178" w:rsidRPr="00AA7178" w:rsidRDefault="00AA7178" w:rsidP="00AA7178">
      <w:pPr>
        <w:pStyle w:val="FootnoteText"/>
      </w:pPr>
      <w:r w:rsidRPr="00AA7178">
        <w:t xml:space="preserve">Cheah, E.-T., &amp; Fry, J. (2015). Speculative bubbles in Bitcoin markets? An empirical investigation into the fundamental value of Bitcoin. Economics Letters, 130, 32–36. </w:t>
      </w:r>
      <w:hyperlink r:id="rId5" w:history="1">
        <w:r w:rsidRPr="00AA7178">
          <w:rPr>
            <w:rStyle w:val="Hyperlink"/>
          </w:rPr>
          <w:t>https://www.sciencedirect.com/science/article/abs/pii/S0165176515000890</w:t>
        </w:r>
      </w:hyperlink>
    </w:p>
    <w:p w14:paraId="21195F7C" w14:textId="0569557E" w:rsidR="00AA7178" w:rsidRPr="006040D3" w:rsidRDefault="00AA7178">
      <w:pPr>
        <w:pStyle w:val="FootnoteText"/>
      </w:pPr>
      <w:r w:rsidRPr="00AA7178">
        <w:t xml:space="preserve">Conlon, T., &amp; McGee, R. (2020). Safe haven or risky hazard? Bitcoin during the COVID19 bear market. Finance Research Letters, 35, 101607. </w:t>
      </w:r>
      <w:hyperlink r:id="rId6" w:history="1">
        <w:r w:rsidRPr="00AA7178">
          <w:rPr>
            <w:rStyle w:val="Hyperlink"/>
          </w:rPr>
          <w:t>https://www.sciencedirect.com/science/article/pii/S1544612320304244</w:t>
        </w:r>
      </w:hyperlink>
    </w:p>
  </w:footnote>
  <w:footnote w:id="12">
    <w:p w14:paraId="146D0390" w14:textId="77777777" w:rsidR="00AA7178" w:rsidRPr="006040D3" w:rsidRDefault="00AA7178" w:rsidP="00AA7178">
      <w:pPr>
        <w:pStyle w:val="FootnoteText"/>
      </w:pPr>
      <w:r w:rsidRPr="006040D3">
        <w:rPr>
          <w:rStyle w:val="FootnoteReference"/>
        </w:rPr>
        <w:footnoteRef/>
      </w:r>
      <w:r w:rsidRPr="006040D3">
        <w:t xml:space="preserve"> </w:t>
      </w:r>
      <w:r w:rsidRPr="006040D3">
        <w:t xml:space="preserve">Dyhrberg, </w:t>
      </w:r>
      <w:r w:rsidRPr="006040D3">
        <w:t xml:space="preserve">A. H. (2016). Bitcoin, gold, and the dollar—A GARCH volatility analysis. Finance Research Letters, 16, 85–92. </w:t>
      </w:r>
      <w:hyperlink r:id="rId7" w:history="1">
        <w:r w:rsidRPr="006040D3">
          <w:rPr>
            <w:rStyle w:val="Hyperlink"/>
          </w:rPr>
          <w:t>https://ideas.repec.org/a/eee/finlet/v16y2016icp85-92.html</w:t>
        </w:r>
      </w:hyperlink>
    </w:p>
    <w:p w14:paraId="42A50409" w14:textId="352E6648" w:rsidR="00AA7178" w:rsidRPr="006040D3" w:rsidRDefault="00AA7178">
      <w:pPr>
        <w:pStyle w:val="FootnoteText"/>
      </w:pPr>
    </w:p>
  </w:footnote>
  <w:footnote w:id="13">
    <w:p w14:paraId="78F3D33B" w14:textId="77777777" w:rsidR="00401DDA" w:rsidRPr="006040D3" w:rsidRDefault="00401DDA" w:rsidP="00401DDA">
      <w:pPr>
        <w:pStyle w:val="FootnoteText"/>
      </w:pPr>
      <w:r w:rsidRPr="006040D3">
        <w:rPr>
          <w:rStyle w:val="FootnoteReference"/>
        </w:rPr>
        <w:footnoteRef/>
      </w:r>
      <w:r w:rsidRPr="006040D3">
        <w:t xml:space="preserve"> </w:t>
      </w:r>
      <w:r w:rsidRPr="006040D3">
        <w:t xml:space="preserve">Ashraf, N. A., Sethi, S., Abid, N. H., &amp; Muhammad, N. (2025). Cryptocurrency and Macroeconomic Stability: Can Bitcoin Protect Against Inflation? </w:t>
      </w:r>
      <w:r w:rsidRPr="006040D3">
        <w:rPr>
          <w:i/>
          <w:iCs/>
        </w:rPr>
        <w:t>Indus Journal of Social Sciences.</w:t>
      </w:r>
      <w:r w:rsidRPr="006040D3">
        <w:t xml:space="preserve">, </w:t>
      </w:r>
      <w:r w:rsidRPr="006040D3">
        <w:rPr>
          <w:i/>
          <w:iCs/>
        </w:rPr>
        <w:t>3</w:t>
      </w:r>
      <w:r w:rsidRPr="006040D3">
        <w:t>(1), 764–774. https://doi.org/10.59075/ijss.v3i1.813</w:t>
      </w:r>
    </w:p>
    <w:p w14:paraId="73899E1F" w14:textId="3CFB6550" w:rsidR="00401DDA" w:rsidRPr="006040D3" w:rsidRDefault="00401DDA">
      <w:pPr>
        <w:pStyle w:val="FootnoteText"/>
      </w:pPr>
    </w:p>
  </w:footnote>
  <w:footnote w:id="14">
    <w:p w14:paraId="2F3DB673" w14:textId="64ACED4C" w:rsidR="00401DDA" w:rsidRPr="006040D3" w:rsidRDefault="00401DDA">
      <w:pPr>
        <w:pStyle w:val="FootnoteText"/>
      </w:pPr>
      <w:r w:rsidRPr="006040D3">
        <w:rPr>
          <w:rStyle w:val="FootnoteReference"/>
        </w:rPr>
        <w:footnoteRef/>
      </w:r>
      <w:r w:rsidRPr="006040D3">
        <w:t xml:space="preserve"> </w:t>
      </w:r>
      <w:r w:rsidRPr="006040D3">
        <w:t xml:space="preserve">Smith, </w:t>
      </w:r>
      <w:r w:rsidRPr="006040D3">
        <w:t xml:space="preserve">J. (2026). </w:t>
      </w:r>
      <w:r w:rsidRPr="006040D3">
        <w:rPr>
          <w:i/>
          <w:iCs/>
        </w:rPr>
        <w:t>Cryptoasset and TradFi convergence set to accelerate in 2026</w:t>
      </w:r>
      <w:r w:rsidRPr="006040D3">
        <w:t>. Elliptic.co. https://www.elliptic.co/blog/cryptoasset-and-tradfi-convergence-set-to-accelerate-in-2026</w:t>
      </w:r>
    </w:p>
  </w:footnote>
  <w:footnote w:id="15">
    <w:p w14:paraId="2E19EA52" w14:textId="77777777" w:rsidR="00401DDA" w:rsidRPr="006040D3" w:rsidRDefault="00401DDA" w:rsidP="00401DDA">
      <w:pPr>
        <w:pStyle w:val="FootnoteText"/>
      </w:pPr>
      <w:r w:rsidRPr="006040D3">
        <w:rPr>
          <w:rStyle w:val="FootnoteReference"/>
        </w:rPr>
        <w:footnoteRef/>
      </w:r>
      <w:r w:rsidRPr="006040D3">
        <w:t xml:space="preserve"> </w:t>
      </w:r>
      <w:r w:rsidRPr="006040D3">
        <w:t xml:space="preserve">Goodell, </w:t>
      </w:r>
      <w:r w:rsidRPr="006040D3">
        <w:t>J. W., &amp; Goutte, S. (2020). Diversifying with cryptocurrencies? How much is enough? Economics Letters, 191, 109125.https://econpapers.repec.org/RePEc:hal:journl:halshs-02876529</w:t>
      </w:r>
    </w:p>
    <w:p w14:paraId="521E7CA7" w14:textId="333F1359" w:rsidR="00401DDA" w:rsidRPr="006040D3" w:rsidRDefault="00401DDA">
      <w:pPr>
        <w:pStyle w:val="FootnoteText"/>
      </w:pPr>
    </w:p>
  </w:footnote>
  <w:footnote w:id="16">
    <w:p w14:paraId="11A84B84" w14:textId="53E41D97" w:rsidR="00401DDA" w:rsidRPr="006040D3" w:rsidRDefault="00401DDA">
      <w:pPr>
        <w:pStyle w:val="FootnoteText"/>
      </w:pPr>
      <w:r w:rsidRPr="006040D3">
        <w:rPr>
          <w:rStyle w:val="FootnoteReference"/>
        </w:rPr>
        <w:footnoteRef/>
      </w:r>
      <w:r w:rsidRPr="006040D3">
        <w:t xml:space="preserve"> </w:t>
      </w:r>
      <w:r w:rsidRPr="006040D3">
        <w:t xml:space="preserve">Odiin. (2026, March 9). </w:t>
      </w:r>
      <w:r w:rsidRPr="006040D3">
        <w:rPr>
          <w:i/>
          <w:iCs/>
        </w:rPr>
        <w:t>Will Crypto Become Mainstream Finance in 2026? - Odiin</w:t>
      </w:r>
      <w:r w:rsidRPr="006040D3">
        <w:t>. Odiin. https://odiin.tech/will-crypto-become-mainstream-finance-in-2026/</w:t>
      </w:r>
    </w:p>
  </w:footnote>
  <w:footnote w:id="17">
    <w:p w14:paraId="23C56B9D" w14:textId="77777777" w:rsidR="00401DDA" w:rsidRPr="006040D3" w:rsidRDefault="00401DDA" w:rsidP="00401DDA">
      <w:pPr>
        <w:pStyle w:val="FootnoteText"/>
      </w:pPr>
      <w:r w:rsidRPr="006040D3">
        <w:rPr>
          <w:rStyle w:val="FootnoteReference"/>
        </w:rPr>
        <w:footnoteRef/>
      </w:r>
      <w:r w:rsidRPr="006040D3">
        <w:t xml:space="preserve"> </w:t>
      </w:r>
      <w:r w:rsidRPr="006040D3">
        <w:t xml:space="preserve">Smith, </w:t>
      </w:r>
      <w:r w:rsidRPr="006040D3">
        <w:t xml:space="preserve">J. (2026). </w:t>
      </w:r>
      <w:r w:rsidRPr="006040D3">
        <w:rPr>
          <w:i/>
          <w:iCs/>
        </w:rPr>
        <w:t>Cryptoasset and TradFi convergence set to accelerate in 2026</w:t>
      </w:r>
      <w:r w:rsidRPr="006040D3">
        <w:t>. Elliptic.co. https://www.elliptic.co/blog/cryptoasset-and-tradfi-convergence-set-to-accelerate-in-2026</w:t>
      </w:r>
    </w:p>
    <w:p w14:paraId="12D61407" w14:textId="67BE2D24" w:rsidR="00401DDA" w:rsidRPr="006040D3" w:rsidRDefault="00401DDA">
      <w:pPr>
        <w:pStyle w:val="FootnoteText"/>
      </w:pPr>
    </w:p>
  </w:footnote>
  <w:footnote w:id="18">
    <w:p w14:paraId="1F828B4A" w14:textId="6B7E8515" w:rsidR="00401DDA" w:rsidRPr="006040D3" w:rsidRDefault="00401DDA">
      <w:pPr>
        <w:pStyle w:val="FootnoteText"/>
      </w:pPr>
      <w:r w:rsidRPr="006040D3">
        <w:rPr>
          <w:rStyle w:val="FootnoteReference"/>
        </w:rPr>
        <w:footnoteRef/>
      </w:r>
      <w:r w:rsidRPr="006040D3">
        <w:t xml:space="preserve"> </w:t>
      </w:r>
      <w:r w:rsidRPr="006040D3">
        <w:t xml:space="preserve">Smith, </w:t>
      </w:r>
      <w:r w:rsidRPr="006040D3">
        <w:t xml:space="preserve">J. (2026). </w:t>
      </w:r>
      <w:r w:rsidRPr="006040D3">
        <w:rPr>
          <w:i/>
          <w:iCs/>
        </w:rPr>
        <w:t>Cryptoasset and TradFi convergence set to accelerate in 2026</w:t>
      </w:r>
      <w:r w:rsidRPr="006040D3">
        <w:t>. Elliptic.co. https://www.elliptic.co/blog/cryptoasset-and-tradfi-convergence-set-to-accelerate-in-2026</w:t>
      </w:r>
    </w:p>
  </w:footnote>
  <w:footnote w:id="19">
    <w:p w14:paraId="6E5BA465" w14:textId="0E1F7A71" w:rsidR="009E084F" w:rsidRPr="006040D3" w:rsidRDefault="009E084F">
      <w:pPr>
        <w:pStyle w:val="FootnoteText"/>
      </w:pPr>
      <w:r w:rsidRPr="006040D3">
        <w:rPr>
          <w:rStyle w:val="FootnoteReference"/>
        </w:rPr>
        <w:footnoteRef/>
      </w:r>
      <w:r w:rsidRPr="006040D3">
        <w:t xml:space="preserve"> </w:t>
      </w:r>
      <w:r w:rsidRPr="006040D3">
        <w:t xml:space="preserve">European </w:t>
      </w:r>
      <w:r w:rsidRPr="006040D3">
        <w:t xml:space="preserve">Securities and Markets Authority (ESMA). (2025). </w:t>
      </w:r>
      <w:r w:rsidRPr="006040D3">
        <w:rPr>
          <w:i/>
          <w:iCs/>
        </w:rPr>
        <w:t>Guidance on non-MiCA compliant asset-referenced tokens and e-money tokens</w:t>
      </w:r>
      <w:r w:rsidRPr="006040D3">
        <w:t>.</w:t>
      </w:r>
      <w:r w:rsidRPr="006040D3">
        <w:br/>
      </w:r>
      <w:hyperlink r:id="rId8" w:tgtFrame="_new" w:history="1">
        <w:r w:rsidRPr="006040D3">
          <w:rPr>
            <w:rStyle w:val="Hyperlink"/>
          </w:rPr>
          <w:t>https://www.esma.europa.eu/press-news/esma-news/esma-and-european-commission-publish-guidance-non-mica-compliant-arts-and-emts</w:t>
        </w:r>
      </w:hyperlink>
    </w:p>
  </w:footnote>
  <w:footnote w:id="20">
    <w:p w14:paraId="064DD3DD" w14:textId="6559D462" w:rsidR="009E084F" w:rsidRPr="006040D3" w:rsidRDefault="009E084F">
      <w:pPr>
        <w:pStyle w:val="FootnoteText"/>
      </w:pPr>
      <w:r w:rsidRPr="006040D3">
        <w:rPr>
          <w:rStyle w:val="FootnoteReference"/>
        </w:rPr>
        <w:footnoteRef/>
      </w:r>
      <w:r w:rsidRPr="006040D3">
        <w:t xml:space="preserve"> </w:t>
      </w:r>
      <w:r w:rsidRPr="006040D3">
        <w:t xml:space="preserve">Financial </w:t>
      </w:r>
      <w:r w:rsidRPr="006040D3">
        <w:t xml:space="preserve">Conduct Authority (FCA). (2025). </w:t>
      </w:r>
      <w:r w:rsidRPr="006040D3">
        <w:rPr>
          <w:i/>
          <w:iCs/>
        </w:rPr>
        <w:t>The new UK cryptoasset regulatory regime</w:t>
      </w:r>
      <w:r w:rsidRPr="006040D3">
        <w:t>.</w:t>
      </w:r>
      <w:r w:rsidRPr="006040D3">
        <w:br/>
      </w:r>
      <w:hyperlink r:id="rId9" w:tgtFrame="_new" w:history="1">
        <w:r w:rsidRPr="006040D3">
          <w:rPr>
            <w:rStyle w:val="Hyperlink"/>
          </w:rPr>
          <w:t>https://www.fca.org.uk/firms/new-regime-cryptoasset-regulation</w:t>
        </w:r>
      </w:hyperlink>
    </w:p>
  </w:footnote>
  <w:footnote w:id="21">
    <w:p w14:paraId="34522D02" w14:textId="5FE855EE" w:rsidR="009E084F" w:rsidRPr="006040D3" w:rsidRDefault="009E084F">
      <w:pPr>
        <w:pStyle w:val="FootnoteText"/>
      </w:pPr>
      <w:r w:rsidRPr="006040D3">
        <w:rPr>
          <w:rStyle w:val="FootnoteReference"/>
        </w:rPr>
        <w:footnoteRef/>
      </w:r>
      <w:r w:rsidRPr="006040D3">
        <w:t xml:space="preserve"> </w:t>
      </w:r>
      <w:r w:rsidRPr="006040D3">
        <w:t xml:space="preserve">European </w:t>
      </w:r>
      <w:r w:rsidRPr="006040D3">
        <w:t xml:space="preserve">Parliament &amp; Council of the European Union. (2023). </w:t>
      </w:r>
      <w:r w:rsidRPr="006040D3">
        <w:rPr>
          <w:i/>
          <w:iCs/>
        </w:rPr>
        <w:t>Regulation (EU) 2023/1114 on markets in crypto-assets (MiCA)</w:t>
      </w:r>
      <w:r w:rsidRPr="006040D3">
        <w:t>.</w:t>
      </w:r>
      <w:r w:rsidRPr="006040D3">
        <w:br/>
        <w:t>https://eur-lex.europa.eu/legal-content/EN/TXT/?uri=CELEX:32023R1114</w:t>
      </w:r>
    </w:p>
  </w:footnote>
  <w:footnote w:id="22">
    <w:p w14:paraId="22D2BAD0" w14:textId="07E14420" w:rsidR="009E084F" w:rsidRPr="006040D3" w:rsidRDefault="009E084F">
      <w:pPr>
        <w:pStyle w:val="FootnoteText"/>
      </w:pPr>
      <w:r w:rsidRPr="006040D3">
        <w:rPr>
          <w:rStyle w:val="FootnoteReference"/>
        </w:rPr>
        <w:footnoteRef/>
      </w:r>
      <w:r w:rsidRPr="006040D3">
        <w:t xml:space="preserve"> </w:t>
      </w:r>
      <w:r w:rsidRPr="006040D3">
        <w:t xml:space="preserve">European </w:t>
      </w:r>
      <w:r w:rsidRPr="006040D3">
        <w:t xml:space="preserve">Securities and Markets Authority (ESMA). (2025). </w:t>
      </w:r>
      <w:r w:rsidRPr="006040D3">
        <w:rPr>
          <w:i/>
          <w:iCs/>
        </w:rPr>
        <w:t>Guidance on non-MiCA compliant asset-referenced tokens and e-money tokens</w:t>
      </w:r>
      <w:r w:rsidRPr="006040D3">
        <w:t>.</w:t>
      </w:r>
      <w:r w:rsidRPr="006040D3">
        <w:br/>
      </w:r>
      <w:hyperlink r:id="rId10" w:tgtFrame="_new" w:history="1">
        <w:r w:rsidRPr="006040D3">
          <w:rPr>
            <w:rStyle w:val="Hyperlink"/>
          </w:rPr>
          <w:t>https://www.esma.europa.eu/press-news/esma-news/esma-and-european-commission-publish-guidance-non-mica-compliant-arts-and-emts</w:t>
        </w:r>
      </w:hyperlink>
    </w:p>
  </w:footnote>
  <w:footnote w:id="23">
    <w:p w14:paraId="1F7DBFD6" w14:textId="06DB1548" w:rsidR="009E084F" w:rsidRPr="006040D3" w:rsidRDefault="009E084F">
      <w:pPr>
        <w:pStyle w:val="FootnoteText"/>
      </w:pPr>
      <w:r w:rsidRPr="006040D3">
        <w:rPr>
          <w:rStyle w:val="FootnoteReference"/>
        </w:rPr>
        <w:footnoteRef/>
      </w:r>
      <w:r w:rsidRPr="006040D3">
        <w:t xml:space="preserve"> </w:t>
      </w:r>
      <w:r w:rsidRPr="006040D3">
        <w:t xml:space="preserve">European </w:t>
      </w:r>
      <w:r w:rsidRPr="006040D3">
        <w:t xml:space="preserve">Parliament &amp; Council of the European Union. (2024). </w:t>
      </w:r>
      <w:r w:rsidRPr="006040D3">
        <w:rPr>
          <w:i/>
          <w:iCs/>
        </w:rPr>
        <w:t>Regulation (EU) 2024/1624 on the prevention of the use of the financial system for the purposes of money laundering or terrorist financing</w:t>
      </w:r>
      <w:r w:rsidRPr="006040D3">
        <w:t>.</w:t>
      </w:r>
      <w:r w:rsidRPr="006040D3">
        <w:br/>
      </w:r>
      <w:hyperlink r:id="rId11" w:tgtFrame="_new" w:history="1">
        <w:r w:rsidRPr="006040D3">
          <w:rPr>
            <w:rStyle w:val="Hyperlink"/>
          </w:rPr>
          <w:t>https://eur-lex.europa.eu/eli/reg/2024/1624/oj</w:t>
        </w:r>
      </w:hyperlink>
    </w:p>
  </w:footnote>
  <w:footnote w:id="24">
    <w:p w14:paraId="332412C8" w14:textId="50B20763" w:rsidR="009E084F" w:rsidRPr="006040D3" w:rsidRDefault="009E084F">
      <w:pPr>
        <w:pStyle w:val="FootnoteText"/>
      </w:pPr>
      <w:r w:rsidRPr="006040D3">
        <w:rPr>
          <w:rStyle w:val="FootnoteReference"/>
        </w:rPr>
        <w:footnoteRef/>
      </w:r>
      <w:r w:rsidRPr="006040D3">
        <w:t xml:space="preserve"> </w:t>
      </w:r>
      <w:r w:rsidRPr="006040D3">
        <w:t xml:space="preserve">Securities </w:t>
      </w:r>
      <w:r w:rsidRPr="006040D3">
        <w:t xml:space="preserve">and Exchange Commission (SEC). (2026). </w:t>
      </w:r>
      <w:r w:rsidRPr="006040D3">
        <w:rPr>
          <w:i/>
          <w:iCs/>
        </w:rPr>
        <w:t>SEC crypto task force updates and enforcement developments</w:t>
      </w:r>
      <w:r w:rsidRPr="006040D3">
        <w:t>.</w:t>
      </w:r>
      <w:r w:rsidRPr="006040D3">
        <w:br/>
      </w:r>
      <w:hyperlink r:id="rId12" w:tgtFrame="_new" w:history="1">
        <w:r w:rsidRPr="006040D3">
          <w:rPr>
            <w:rStyle w:val="Hyperlink"/>
          </w:rPr>
          <w:t>https://www.sec.gov/newsroom/press-releases/2026-34</w:t>
        </w:r>
      </w:hyperlink>
    </w:p>
  </w:footnote>
  <w:footnote w:id="25">
    <w:p w14:paraId="53163D02" w14:textId="2D6352C4" w:rsidR="009E084F" w:rsidRPr="006040D3" w:rsidRDefault="009E084F">
      <w:pPr>
        <w:pStyle w:val="FootnoteText"/>
      </w:pPr>
      <w:r w:rsidRPr="006040D3">
        <w:rPr>
          <w:rStyle w:val="FootnoteReference"/>
        </w:rPr>
        <w:footnoteRef/>
      </w:r>
      <w:r w:rsidRPr="006040D3">
        <w:t xml:space="preserve"> </w:t>
      </w:r>
      <w:r w:rsidR="003C3F04" w:rsidRPr="006040D3">
        <w:t xml:space="preserve">U.S. </w:t>
      </w:r>
      <w:r w:rsidR="003C3F04" w:rsidRPr="006040D3">
        <w:t xml:space="preserve">Commodity Futures Trading Commission (CFTC). (2024). </w:t>
      </w:r>
      <w:r w:rsidR="003C3F04" w:rsidRPr="006040D3">
        <w:rPr>
          <w:i/>
          <w:iCs/>
        </w:rPr>
        <w:t>Customer advisory: Bitcoin and virtual currency markets</w:t>
      </w:r>
      <w:r w:rsidR="003C3F04" w:rsidRPr="006040D3">
        <w:t>.</w:t>
      </w:r>
      <w:r w:rsidR="003C3F04" w:rsidRPr="006040D3">
        <w:br/>
      </w:r>
      <w:hyperlink r:id="rId13" w:tgtFrame="_new" w:history="1">
        <w:r w:rsidR="003C3F04" w:rsidRPr="006040D3">
          <w:rPr>
            <w:rStyle w:val="Hyperlink"/>
          </w:rPr>
          <w:t>https://www.cftc.gov/LearnAndProtect/AdvisoriesAndArticles/BitcoinFuturesETF.html</w:t>
        </w:r>
      </w:hyperlink>
    </w:p>
  </w:footnote>
  <w:footnote w:id="26">
    <w:p w14:paraId="0454F32D" w14:textId="7038E817" w:rsidR="003C3F04" w:rsidRPr="006040D3" w:rsidRDefault="003C3F04">
      <w:pPr>
        <w:pStyle w:val="FootnoteText"/>
      </w:pPr>
      <w:r w:rsidRPr="006040D3">
        <w:rPr>
          <w:rStyle w:val="FootnoteReference"/>
        </w:rPr>
        <w:footnoteRef/>
      </w:r>
      <w:r w:rsidRPr="006040D3">
        <w:t xml:space="preserve"> </w:t>
      </w:r>
      <w:r w:rsidRPr="006040D3">
        <w:t xml:space="preserve">Securities </w:t>
      </w:r>
      <w:r w:rsidRPr="006040D3">
        <w:t xml:space="preserve">and Exchange Commission (SEC). (2026). </w:t>
      </w:r>
      <w:r w:rsidRPr="006040D3">
        <w:rPr>
          <w:i/>
          <w:iCs/>
        </w:rPr>
        <w:t>SEC crypto task force updates and enforcement developments</w:t>
      </w:r>
      <w:r w:rsidRPr="006040D3">
        <w:t>.</w:t>
      </w:r>
      <w:r w:rsidRPr="006040D3">
        <w:br/>
      </w:r>
      <w:hyperlink r:id="rId14" w:tgtFrame="_new" w:history="1">
        <w:r w:rsidRPr="006040D3">
          <w:rPr>
            <w:rStyle w:val="Hyperlink"/>
          </w:rPr>
          <w:t>https://www.sec.gov/newsroom/press-releases/2026-34</w:t>
        </w:r>
      </w:hyperlink>
    </w:p>
  </w:footnote>
  <w:footnote w:id="27">
    <w:p w14:paraId="4AB686CF" w14:textId="6689563C" w:rsidR="003C3F04" w:rsidRPr="006040D3" w:rsidRDefault="003C3F04">
      <w:pPr>
        <w:pStyle w:val="FootnoteText"/>
      </w:pPr>
      <w:r w:rsidRPr="006040D3">
        <w:rPr>
          <w:rStyle w:val="FootnoteReference"/>
        </w:rPr>
        <w:footnoteRef/>
      </w:r>
      <w:r w:rsidRPr="006040D3">
        <w:t xml:space="preserve"> </w:t>
      </w:r>
      <w:r w:rsidRPr="006040D3">
        <w:t xml:space="preserve">Financial </w:t>
      </w:r>
      <w:r w:rsidRPr="006040D3">
        <w:t xml:space="preserve">Stability Board (FSB). (2023). </w:t>
      </w:r>
      <w:r w:rsidRPr="006040D3">
        <w:rPr>
          <w:i/>
          <w:iCs/>
        </w:rPr>
        <w:t>Regulation, supervision and oversight of crypto-asset activities and markets</w:t>
      </w:r>
      <w:r w:rsidRPr="006040D3">
        <w:t>.</w:t>
      </w:r>
      <w:r w:rsidRPr="006040D3">
        <w:br/>
      </w:r>
      <w:hyperlink r:id="rId15" w:tgtFrame="_new" w:history="1">
        <w:r w:rsidRPr="006040D3">
          <w:rPr>
            <w:rStyle w:val="Hyperlink"/>
          </w:rPr>
          <w:t>https://www.fsb.org/wp-content/uploads/P170723-1.pdf</w:t>
        </w:r>
      </w:hyperlink>
    </w:p>
  </w:footnote>
  <w:footnote w:id="28">
    <w:p w14:paraId="1D740C2E" w14:textId="5A21001F" w:rsidR="0063103D" w:rsidRPr="006040D3" w:rsidRDefault="0063103D">
      <w:pPr>
        <w:pStyle w:val="FootnoteText"/>
      </w:pPr>
      <w:r w:rsidRPr="006040D3">
        <w:rPr>
          <w:rStyle w:val="FootnoteReference"/>
        </w:rPr>
        <w:footnoteRef/>
      </w:r>
      <w:r w:rsidRPr="006040D3">
        <w:t xml:space="preserve"> </w:t>
      </w:r>
      <w:r w:rsidRPr="006040D3">
        <w:t xml:space="preserve">Narendra, </w:t>
      </w:r>
      <w:r w:rsidRPr="006040D3">
        <w:t xml:space="preserve">L. (2025). </w:t>
      </w:r>
      <w:r w:rsidRPr="006040D3">
        <w:rPr>
          <w:i/>
          <w:iCs/>
        </w:rPr>
        <w:t>The Impact of Macroeconomic Indicators on Financial Market Trends: A Predictive Approach</w:t>
      </w:r>
      <w:r w:rsidRPr="006040D3">
        <w:t>. https://tijer.org/tijer/papers/TIJER2502003.pdf</w:t>
      </w:r>
    </w:p>
  </w:footnote>
  <w:footnote w:id="29">
    <w:p w14:paraId="67A306D7" w14:textId="77777777" w:rsidR="0063103D" w:rsidRPr="006040D3" w:rsidRDefault="0063103D" w:rsidP="0063103D">
      <w:pPr>
        <w:pStyle w:val="FootnoteText"/>
      </w:pPr>
      <w:r w:rsidRPr="006040D3">
        <w:rPr>
          <w:rStyle w:val="FootnoteReference"/>
        </w:rPr>
        <w:footnoteRef/>
      </w:r>
      <w:r w:rsidRPr="006040D3">
        <w:t xml:space="preserve"> </w:t>
      </w:r>
      <w:r w:rsidRPr="006040D3">
        <w:t xml:space="preserve">Czapkiewicz, </w:t>
      </w:r>
      <w:r w:rsidRPr="006040D3">
        <w:t xml:space="preserve">A., Paweł Jamer, &amp; Landmesser, J. M. (2018). Effects of macroeconomic indicators on the financial markets interrelations. </w:t>
      </w:r>
      <w:r w:rsidRPr="006040D3">
        <w:rPr>
          <w:i/>
          <w:iCs/>
        </w:rPr>
        <w:t>ResearchGate</w:t>
      </w:r>
      <w:r w:rsidRPr="006040D3">
        <w:t xml:space="preserve">, </w:t>
      </w:r>
      <w:r w:rsidRPr="006040D3">
        <w:rPr>
          <w:i/>
          <w:iCs/>
        </w:rPr>
        <w:t>68</w:t>
      </w:r>
      <w:r w:rsidRPr="006040D3">
        <w:t>(3), 267–292. https://www.researchgate.net/publication/326973662_Effects_of_macroeconomic_indicators_on_the_financial_markets_interrelations</w:t>
      </w:r>
    </w:p>
    <w:p w14:paraId="251AAF5D" w14:textId="744A44F6" w:rsidR="0063103D" w:rsidRPr="006040D3" w:rsidRDefault="0063103D">
      <w:pPr>
        <w:pStyle w:val="FootnoteText"/>
      </w:pPr>
    </w:p>
  </w:footnote>
  <w:footnote w:id="30">
    <w:p w14:paraId="1397E8A4" w14:textId="58078F44" w:rsidR="0063103D" w:rsidRPr="006040D3" w:rsidRDefault="0063103D">
      <w:pPr>
        <w:pStyle w:val="FootnoteText"/>
      </w:pPr>
      <w:r w:rsidRPr="006040D3">
        <w:rPr>
          <w:rStyle w:val="FootnoteReference"/>
        </w:rPr>
        <w:footnoteRef/>
      </w:r>
      <w:r w:rsidRPr="006040D3">
        <w:t xml:space="preserve"> </w:t>
      </w:r>
      <w:r w:rsidRPr="006040D3">
        <w:t xml:space="preserve">Shaalan, </w:t>
      </w:r>
      <w:r w:rsidRPr="006040D3">
        <w:t xml:space="preserve">A. S. (2021). The Impact of Macroeconomic Policies on Investment. In </w:t>
      </w:r>
      <w:r w:rsidRPr="006040D3">
        <w:rPr>
          <w:i/>
          <w:iCs/>
        </w:rPr>
        <w:t>www.elibrary.imf.org</w:t>
      </w:r>
      <w:r w:rsidRPr="006040D3">
        <w:t>. International Monetary Fund. https://www.elibrary.imf.org/display/book/9781557751409/ch02.xml</w:t>
      </w:r>
    </w:p>
  </w:footnote>
  <w:footnote w:id="31">
    <w:p w14:paraId="1BB7A904" w14:textId="5F7555BB" w:rsidR="0063103D" w:rsidRPr="006040D3" w:rsidRDefault="0063103D">
      <w:pPr>
        <w:pStyle w:val="FootnoteText"/>
      </w:pPr>
      <w:r w:rsidRPr="006040D3">
        <w:rPr>
          <w:rStyle w:val="FootnoteReference"/>
        </w:rPr>
        <w:footnoteRef/>
      </w:r>
      <w:r w:rsidRPr="006040D3">
        <w:t xml:space="preserve"> </w:t>
      </w:r>
      <w:r w:rsidRPr="006040D3">
        <w:t xml:space="preserve">Shaalan, </w:t>
      </w:r>
      <w:r w:rsidRPr="006040D3">
        <w:t xml:space="preserve">A. S. (2021). The Impact of Macroeconomic Policies on Investment. In </w:t>
      </w:r>
      <w:r w:rsidRPr="006040D3">
        <w:rPr>
          <w:i/>
          <w:iCs/>
        </w:rPr>
        <w:t>www.elibrary.imf.org</w:t>
      </w:r>
      <w:r w:rsidRPr="006040D3">
        <w:t>. International Monetary Fund. https://www.elibrary.imf.org/display/book/9781557751409/ch02.xml</w:t>
      </w:r>
    </w:p>
  </w:footnote>
  <w:footnote w:id="32">
    <w:p w14:paraId="0B350B19" w14:textId="77777777" w:rsidR="0063103D" w:rsidRPr="006040D3" w:rsidRDefault="0063103D" w:rsidP="0063103D">
      <w:pPr>
        <w:pStyle w:val="FootnoteText"/>
      </w:pPr>
      <w:r w:rsidRPr="006040D3">
        <w:rPr>
          <w:rStyle w:val="FootnoteReference"/>
        </w:rPr>
        <w:footnoteRef/>
      </w:r>
      <w:r w:rsidRPr="006040D3">
        <w:t xml:space="preserve"> </w:t>
      </w:r>
      <w:r w:rsidRPr="006040D3">
        <w:t xml:space="preserve">Shaalan, </w:t>
      </w:r>
      <w:r w:rsidRPr="006040D3">
        <w:t xml:space="preserve">A. S. (2021). The Impact of Macroeconomic Policies on Investment. In </w:t>
      </w:r>
      <w:r w:rsidRPr="006040D3">
        <w:rPr>
          <w:i/>
          <w:iCs/>
        </w:rPr>
        <w:t>www.elibrary.imf.org</w:t>
      </w:r>
      <w:r w:rsidRPr="006040D3">
        <w:t>. International Monetary Fund. https://www.elibrary.imf.org/display/book/9781557751409/ch02.xml</w:t>
      </w:r>
    </w:p>
    <w:p w14:paraId="5A312442" w14:textId="0CF787E4" w:rsidR="0063103D" w:rsidRPr="006040D3" w:rsidRDefault="0063103D">
      <w:pPr>
        <w:pStyle w:val="FootnoteText"/>
      </w:pPr>
    </w:p>
  </w:footnote>
  <w:footnote w:id="33">
    <w:p w14:paraId="3486B0CD" w14:textId="5ACED46E" w:rsidR="0063103D" w:rsidRPr="006040D3" w:rsidRDefault="0063103D">
      <w:pPr>
        <w:pStyle w:val="FootnoteText"/>
      </w:pPr>
      <w:r w:rsidRPr="006040D3">
        <w:rPr>
          <w:rStyle w:val="FootnoteReference"/>
        </w:rPr>
        <w:footnoteRef/>
      </w:r>
      <w:r w:rsidRPr="006040D3">
        <w:t xml:space="preserve"> </w:t>
      </w:r>
      <w:r w:rsidRPr="006040D3">
        <w:t xml:space="preserve">Czapkiewicz, </w:t>
      </w:r>
      <w:r w:rsidRPr="006040D3">
        <w:t xml:space="preserve">A., Paweł Jamer, &amp; Landmesser, J. M. (2018). Effects of macroeconomic indicators on the financial markets interrelations. </w:t>
      </w:r>
      <w:r w:rsidRPr="006040D3">
        <w:rPr>
          <w:i/>
          <w:iCs/>
        </w:rPr>
        <w:t>ResearchGate</w:t>
      </w:r>
      <w:r w:rsidRPr="006040D3">
        <w:t xml:space="preserve">, </w:t>
      </w:r>
      <w:r w:rsidRPr="006040D3">
        <w:rPr>
          <w:i/>
          <w:iCs/>
        </w:rPr>
        <w:t>68</w:t>
      </w:r>
      <w:r w:rsidRPr="006040D3">
        <w:t>(3), 267–292. https://www.researchgate.net/publication/326973662_Effects_of_macroeconomic_indicators_on_the_financial_markets_interrelations</w:t>
      </w:r>
    </w:p>
  </w:footnote>
  <w:footnote w:id="34">
    <w:p w14:paraId="3BD0A41E" w14:textId="77777777" w:rsidR="0063103D" w:rsidRPr="006040D3" w:rsidRDefault="0063103D" w:rsidP="0063103D">
      <w:pPr>
        <w:pStyle w:val="FootnoteText"/>
      </w:pPr>
      <w:r w:rsidRPr="006040D3">
        <w:rPr>
          <w:rStyle w:val="FootnoteReference"/>
        </w:rPr>
        <w:footnoteRef/>
      </w:r>
      <w:r w:rsidRPr="006040D3">
        <w:t xml:space="preserve"> </w:t>
      </w:r>
      <w:r w:rsidRPr="006040D3">
        <w:t xml:space="preserve">Czapkiewicz, </w:t>
      </w:r>
      <w:r w:rsidRPr="006040D3">
        <w:t xml:space="preserve">A., Paweł Jamer, &amp; Landmesser, J. M. (2018). Effects of macroeconomic indicators on the financial markets interrelations. </w:t>
      </w:r>
      <w:r w:rsidRPr="006040D3">
        <w:rPr>
          <w:i/>
          <w:iCs/>
        </w:rPr>
        <w:t>ResearchGate</w:t>
      </w:r>
      <w:r w:rsidRPr="006040D3">
        <w:t xml:space="preserve">, </w:t>
      </w:r>
      <w:r w:rsidRPr="006040D3">
        <w:rPr>
          <w:i/>
          <w:iCs/>
        </w:rPr>
        <w:t>68</w:t>
      </w:r>
      <w:r w:rsidRPr="006040D3">
        <w:t>(3), 267–292. https://www.researchgate.net/publication/326973662_Effects_of_macroeconomic_indicators_on_the_financial_markets_interrelations</w:t>
      </w:r>
    </w:p>
    <w:p w14:paraId="590E6F7D" w14:textId="4E34DE47" w:rsidR="0063103D" w:rsidRPr="006040D3" w:rsidRDefault="0063103D">
      <w:pPr>
        <w:pStyle w:val="FootnoteText"/>
      </w:pPr>
    </w:p>
  </w:footnote>
  <w:footnote w:id="35">
    <w:p w14:paraId="0FDF1CC0" w14:textId="77777777" w:rsidR="006040D3" w:rsidRPr="006040D3" w:rsidRDefault="006040D3" w:rsidP="006040D3">
      <w:pPr>
        <w:pStyle w:val="FootnoteText"/>
      </w:pPr>
      <w:r w:rsidRPr="006040D3">
        <w:rPr>
          <w:rStyle w:val="FootnoteReference"/>
        </w:rPr>
        <w:footnoteRef/>
      </w:r>
      <w:r w:rsidRPr="006040D3">
        <w:t xml:space="preserve"> </w:t>
      </w:r>
      <w:r w:rsidRPr="006040D3">
        <w:t xml:space="preserve">Bouri, </w:t>
      </w:r>
      <w:r w:rsidRPr="006040D3">
        <w:t xml:space="preserve">E., Molnár, P., Azzi, G., Roubaud, D., &amp; Hagfors, L. I. (2017). On the hedge and safe haven properties of Bitcoin: Is it really more than a diversifier? Finance Research Letters, 20, 192–198. </w:t>
      </w:r>
      <w:hyperlink r:id="rId16" w:history="1">
        <w:r w:rsidRPr="006040D3">
          <w:rPr>
            <w:rStyle w:val="Hyperlink"/>
          </w:rPr>
          <w:t>https://ideas.repec.org/a/eee/finlet/v20y2017icp192-198.html</w:t>
        </w:r>
      </w:hyperlink>
    </w:p>
    <w:p w14:paraId="62EBCC5C" w14:textId="3D78F83B" w:rsidR="006040D3" w:rsidRPr="006040D3" w:rsidRDefault="006040D3">
      <w:pPr>
        <w:pStyle w:val="FootnoteText"/>
      </w:pPr>
      <w:r w:rsidRPr="006040D3">
        <w:t xml:space="preserve">Bouri, E., Shahzad, S. J. H., Roubaud, D., Kristoufek, L., &amp; Lucey, B. M. (2019). Bitcoin, gold, and commodities as safe havens for stocks: New insights through wavelet analysis. The Quarterly Review of Economics and Finance, 77, 156–164. </w:t>
      </w:r>
      <w:hyperlink r:id="rId17" w:history="1">
        <w:r w:rsidRPr="006040D3">
          <w:rPr>
            <w:rStyle w:val="Hyperlink"/>
          </w:rPr>
          <w:t>https://ideas.repec.org/a/eee/quaeco/v77y2020icp156-164.html</w:t>
        </w:r>
      </w:hyperlink>
    </w:p>
  </w:footnote>
  <w:footnote w:id="36">
    <w:p w14:paraId="0ABACBB2" w14:textId="17534D07" w:rsidR="006040D3" w:rsidRDefault="006040D3">
      <w:pPr>
        <w:pStyle w:val="FootnoteText"/>
      </w:pPr>
      <w:r>
        <w:rPr>
          <w:rStyle w:val="FootnoteReference"/>
        </w:rPr>
        <w:footnoteRef/>
      </w:r>
      <w:r>
        <w:t xml:space="preserve"> </w:t>
      </w:r>
      <w:r w:rsidRPr="006040D3">
        <w:t xml:space="preserve">Chainalysis. (2025). </w:t>
      </w:r>
      <w:r w:rsidRPr="006040D3">
        <w:rPr>
          <w:i/>
          <w:iCs/>
        </w:rPr>
        <w:t>The 2025 global crypto adoption index</w:t>
      </w:r>
      <w:r w:rsidRPr="006040D3">
        <w:t>.</w:t>
      </w:r>
      <w:r w:rsidRPr="006040D3">
        <w:br/>
      </w:r>
      <w:hyperlink r:id="rId18" w:tgtFrame="_new" w:history="1">
        <w:r w:rsidRPr="006040D3">
          <w:rPr>
            <w:rStyle w:val="Hyperlink"/>
          </w:rPr>
          <w:t>https://www.chainalysis.com/blog/2025-global-crypto-adoption-index/</w:t>
        </w:r>
      </w:hyperlink>
    </w:p>
  </w:footnote>
  <w:footnote w:id="37">
    <w:p w14:paraId="513BC0FE" w14:textId="11C73C10" w:rsidR="006040D3" w:rsidRDefault="006040D3">
      <w:pPr>
        <w:pStyle w:val="FootnoteText"/>
      </w:pPr>
      <w:r>
        <w:rPr>
          <w:rStyle w:val="FootnoteReference"/>
        </w:rPr>
        <w:footnoteRef/>
      </w:r>
      <w:r>
        <w:t xml:space="preserve"> </w:t>
      </w:r>
      <w:r w:rsidRPr="006040D3">
        <w:t xml:space="preserve">Chainalysis. (2025). </w:t>
      </w:r>
      <w:r w:rsidRPr="006040D3">
        <w:rPr>
          <w:i/>
          <w:iCs/>
        </w:rPr>
        <w:t>Latin America crypto adoption report</w:t>
      </w:r>
      <w:r w:rsidRPr="006040D3">
        <w:t>.</w:t>
      </w:r>
      <w:r w:rsidRPr="006040D3">
        <w:br/>
      </w:r>
      <w:hyperlink r:id="rId19" w:tgtFrame="_new" w:history="1">
        <w:r w:rsidRPr="006040D3">
          <w:rPr>
            <w:rStyle w:val="Hyperlink"/>
          </w:rPr>
          <w:t>https://www.chainalysis.com/blog/latin-america-crypto-adoption-2025/</w:t>
        </w:r>
      </w:hyperlink>
    </w:p>
    <w:p w14:paraId="6E3CF8F0" w14:textId="2020A882" w:rsidR="006040D3" w:rsidRDefault="00D8449B">
      <w:pPr>
        <w:pStyle w:val="FootnoteText"/>
      </w:pPr>
      <w:r w:rsidRPr="00D8449B">
        <w:t xml:space="preserve">Yahoo Finance. (2025). </w:t>
      </w:r>
      <w:r w:rsidRPr="00D8449B">
        <w:rPr>
          <w:i/>
          <w:iCs/>
        </w:rPr>
        <w:t>Crypto adoption surge in Argentina amid inflation</w:t>
      </w:r>
      <w:r w:rsidRPr="00D8449B">
        <w:t>.</w:t>
      </w:r>
      <w:r w:rsidRPr="00D8449B">
        <w:br/>
      </w:r>
      <w:hyperlink r:id="rId20" w:tgtFrame="_new" w:history="1">
        <w:r w:rsidRPr="00D8449B">
          <w:rPr>
            <w:rStyle w:val="Hyperlink"/>
          </w:rPr>
          <w:t>https://finance.yahoo.com/news/brazilian-vacations-overtake-inflation-driver-235933041.html</w:t>
        </w:r>
      </w:hyperlink>
    </w:p>
  </w:footnote>
  <w:footnote w:id="38">
    <w:p w14:paraId="47BA24C6" w14:textId="77777777" w:rsidR="006040D3" w:rsidRPr="006040D3" w:rsidRDefault="006040D3" w:rsidP="006040D3">
      <w:pPr>
        <w:pStyle w:val="FootnoteText"/>
        <w:rPr>
          <w:lang w:val="en-GB"/>
        </w:rPr>
      </w:pPr>
      <w:r>
        <w:rPr>
          <w:rStyle w:val="FootnoteReference"/>
        </w:rPr>
        <w:footnoteRef/>
      </w:r>
      <w:r>
        <w:t xml:space="preserve"> </w:t>
      </w:r>
      <w:proofErr w:type="spellStart"/>
      <w:r w:rsidRPr="006040D3">
        <w:rPr>
          <w:lang w:val="en-GB"/>
        </w:rPr>
        <w:t>CoinLedger</w:t>
      </w:r>
      <w:proofErr w:type="spellEnd"/>
      <w:r w:rsidRPr="006040D3">
        <w:rPr>
          <w:lang w:val="en-GB"/>
        </w:rPr>
        <w:t xml:space="preserve">. (2025). </w:t>
      </w:r>
      <w:r w:rsidRPr="006040D3">
        <w:rPr>
          <w:i/>
          <w:iCs/>
          <w:lang w:val="en-GB"/>
        </w:rPr>
        <w:t>Top countries that use Bitcoin – statistics</w:t>
      </w:r>
      <w:r w:rsidRPr="006040D3">
        <w:rPr>
          <w:lang w:val="en-GB"/>
        </w:rPr>
        <w:t>.</w:t>
      </w:r>
      <w:r w:rsidRPr="006040D3">
        <w:rPr>
          <w:lang w:val="en-GB"/>
        </w:rPr>
        <w:br/>
      </w:r>
      <w:hyperlink r:id="rId21" w:tgtFrame="_new" w:history="1">
        <w:r w:rsidRPr="006040D3">
          <w:rPr>
            <w:rStyle w:val="Hyperlink"/>
            <w:lang w:val="en-GB"/>
          </w:rPr>
          <w:t>https://coinledger.io/research/top-10-countries-that-use-bitcoin</w:t>
        </w:r>
      </w:hyperlink>
      <w:r w:rsidRPr="006040D3">
        <w:rPr>
          <w:lang w:val="en-GB"/>
        </w:rPr>
        <w:t xml:space="preserve"> </w:t>
      </w:r>
    </w:p>
    <w:p w14:paraId="39A7EA34" w14:textId="2E29D664" w:rsidR="006040D3" w:rsidRDefault="006040D3">
      <w:pPr>
        <w:pStyle w:val="FootnoteText"/>
      </w:pPr>
      <w:proofErr w:type="spellStart"/>
      <w:r w:rsidRPr="006040D3">
        <w:rPr>
          <w:lang w:val="en-GB"/>
        </w:rPr>
        <w:t>Coinpedia</w:t>
      </w:r>
      <w:proofErr w:type="spellEnd"/>
      <w:r w:rsidRPr="006040D3">
        <w:rPr>
          <w:lang w:val="en-GB"/>
        </w:rPr>
        <w:t xml:space="preserve">. (2025). </w:t>
      </w:r>
      <w:r w:rsidRPr="006040D3">
        <w:rPr>
          <w:i/>
          <w:iCs/>
          <w:lang w:val="en-GB"/>
        </w:rPr>
        <w:t>Global crypto adoption report 2025</w:t>
      </w:r>
      <w:r w:rsidRPr="006040D3">
        <w:rPr>
          <w:lang w:val="en-GB"/>
        </w:rPr>
        <w:t>.</w:t>
      </w:r>
      <w:r w:rsidRPr="006040D3">
        <w:rPr>
          <w:lang w:val="en-GB"/>
        </w:rPr>
        <w:br/>
      </w:r>
      <w:hyperlink r:id="rId22" w:tgtFrame="_new" w:history="1">
        <w:r w:rsidRPr="006040D3">
          <w:rPr>
            <w:rStyle w:val="Hyperlink"/>
            <w:lang w:val="en-GB"/>
          </w:rPr>
          <w:t>https://www.tradingview.com/news/coinpedia%3Af8b90af45094b%3A0-global-crypto-adoption-report-2025/</w:t>
        </w:r>
      </w:hyperlink>
      <w:r w:rsidRPr="006040D3">
        <w:rPr>
          <w:lang w:val="en-GB"/>
        </w:rPr>
        <w:t xml:space="preserve"> </w:t>
      </w:r>
    </w:p>
  </w:footnote>
  <w:footnote w:id="39">
    <w:p w14:paraId="309AE80A" w14:textId="77777777" w:rsidR="006040D3" w:rsidRPr="006040D3" w:rsidRDefault="006040D3" w:rsidP="006040D3">
      <w:pPr>
        <w:pStyle w:val="FootnoteText"/>
        <w:rPr>
          <w:lang w:val="en-GB"/>
        </w:rPr>
      </w:pPr>
      <w:r>
        <w:rPr>
          <w:rStyle w:val="FootnoteReference"/>
        </w:rPr>
        <w:footnoteRef/>
      </w:r>
      <w:r>
        <w:t xml:space="preserve"> </w:t>
      </w:r>
      <w:proofErr w:type="spellStart"/>
      <w:r w:rsidRPr="006040D3">
        <w:rPr>
          <w:lang w:val="en-GB"/>
        </w:rPr>
        <w:t>CryptoSlate</w:t>
      </w:r>
      <w:proofErr w:type="spellEnd"/>
      <w:r w:rsidRPr="006040D3">
        <w:rPr>
          <w:lang w:val="en-GB"/>
        </w:rPr>
        <w:t xml:space="preserve">. (2024). </w:t>
      </w:r>
      <w:r w:rsidRPr="006040D3">
        <w:rPr>
          <w:i/>
          <w:iCs/>
          <w:lang w:val="en-GB"/>
        </w:rPr>
        <w:t>High inflation vs regional conflict: Which leads to higher crypto adoption?</w:t>
      </w:r>
      <w:r w:rsidRPr="006040D3">
        <w:rPr>
          <w:lang w:val="en-GB"/>
        </w:rPr>
        <w:br/>
      </w:r>
      <w:hyperlink r:id="rId23" w:tgtFrame="_new" w:history="1">
        <w:r w:rsidRPr="006040D3">
          <w:rPr>
            <w:rStyle w:val="Hyperlink"/>
            <w:lang w:val="en-GB"/>
          </w:rPr>
          <w:t>https://cryptoslate.com/high-inflation-vs-regional-conflict-which-leads-to-higher-adoption-of-bitcoin-and-crypto/</w:t>
        </w:r>
      </w:hyperlink>
      <w:r w:rsidRPr="006040D3">
        <w:rPr>
          <w:lang w:val="en-GB"/>
        </w:rPr>
        <w:t xml:space="preserve"> </w:t>
      </w:r>
    </w:p>
    <w:p w14:paraId="41C4A73E" w14:textId="77777777" w:rsidR="006040D3" w:rsidRPr="006040D3" w:rsidRDefault="006040D3" w:rsidP="006040D3">
      <w:pPr>
        <w:pStyle w:val="FootnoteText"/>
        <w:rPr>
          <w:lang w:val="en-GB"/>
        </w:rPr>
      </w:pPr>
      <w:proofErr w:type="spellStart"/>
      <w:r w:rsidRPr="006040D3">
        <w:rPr>
          <w:lang w:val="en-GB"/>
        </w:rPr>
        <w:t>Phemex</w:t>
      </w:r>
      <w:proofErr w:type="spellEnd"/>
      <w:r w:rsidRPr="006040D3">
        <w:rPr>
          <w:lang w:val="en-GB"/>
        </w:rPr>
        <w:t xml:space="preserve">. (2025). </w:t>
      </w:r>
      <w:r w:rsidRPr="006040D3">
        <w:rPr>
          <w:i/>
          <w:iCs/>
          <w:lang w:val="en-GB"/>
        </w:rPr>
        <w:t>High inflation drives crypto adoption in several countries</w:t>
      </w:r>
      <w:r w:rsidRPr="006040D3">
        <w:rPr>
          <w:lang w:val="en-GB"/>
        </w:rPr>
        <w:t>.</w:t>
      </w:r>
      <w:r w:rsidRPr="006040D3">
        <w:rPr>
          <w:lang w:val="en-GB"/>
        </w:rPr>
        <w:br/>
      </w:r>
      <w:hyperlink r:id="rId24" w:tgtFrame="_new" w:history="1">
        <w:r w:rsidRPr="006040D3">
          <w:rPr>
            <w:rStyle w:val="Hyperlink"/>
            <w:lang w:val="en-GB"/>
          </w:rPr>
          <w:t>https://phemex.com/news/article/high-inflation-drives-crypto-adoption-in-several-countries-40151</w:t>
        </w:r>
      </w:hyperlink>
      <w:r w:rsidRPr="006040D3">
        <w:rPr>
          <w:lang w:val="en-GB"/>
        </w:rPr>
        <w:t xml:space="preserve"> </w:t>
      </w:r>
    </w:p>
    <w:p w14:paraId="3050C6AC" w14:textId="77777777" w:rsidR="006040D3" w:rsidRPr="006040D3" w:rsidRDefault="006040D3" w:rsidP="006040D3">
      <w:pPr>
        <w:pStyle w:val="FootnoteText"/>
        <w:rPr>
          <w:lang w:val="en-GB"/>
        </w:rPr>
      </w:pPr>
      <w:proofErr w:type="spellStart"/>
      <w:r w:rsidRPr="006040D3">
        <w:rPr>
          <w:lang w:val="en-GB"/>
        </w:rPr>
        <w:t>PatentPC</w:t>
      </w:r>
      <w:proofErr w:type="spellEnd"/>
      <w:r w:rsidRPr="006040D3">
        <w:rPr>
          <w:lang w:val="en-GB"/>
        </w:rPr>
        <w:t xml:space="preserve">. (2026). </w:t>
      </w:r>
      <w:r w:rsidRPr="006040D3">
        <w:rPr>
          <w:i/>
          <w:iCs/>
          <w:lang w:val="en-GB"/>
        </w:rPr>
        <w:t>Top countries by crypto adoption: Regional trends</w:t>
      </w:r>
      <w:r w:rsidRPr="006040D3">
        <w:rPr>
          <w:lang w:val="en-GB"/>
        </w:rPr>
        <w:t>.</w:t>
      </w:r>
      <w:r w:rsidRPr="006040D3">
        <w:rPr>
          <w:lang w:val="en-GB"/>
        </w:rPr>
        <w:br/>
      </w:r>
      <w:hyperlink r:id="rId25" w:tgtFrame="_new" w:history="1">
        <w:r w:rsidRPr="006040D3">
          <w:rPr>
            <w:rStyle w:val="Hyperlink"/>
            <w:lang w:val="en-GB"/>
          </w:rPr>
          <w:t>https://patentpc.com/blog/top-countries-by-crypto-adoption-regional-stats-trends</w:t>
        </w:r>
      </w:hyperlink>
      <w:r w:rsidRPr="006040D3">
        <w:rPr>
          <w:lang w:val="en-GB"/>
        </w:rPr>
        <w:t xml:space="preserve"> </w:t>
      </w:r>
    </w:p>
    <w:p w14:paraId="25E28376" w14:textId="77777777" w:rsidR="006040D3" w:rsidRPr="006040D3" w:rsidRDefault="006040D3" w:rsidP="006040D3">
      <w:pPr>
        <w:pStyle w:val="FootnoteText"/>
        <w:rPr>
          <w:lang w:val="en-GB"/>
        </w:rPr>
      </w:pPr>
      <w:proofErr w:type="spellStart"/>
      <w:r w:rsidRPr="006040D3">
        <w:rPr>
          <w:lang w:val="en-GB"/>
        </w:rPr>
        <w:t>TradingView</w:t>
      </w:r>
      <w:proofErr w:type="spellEnd"/>
      <w:r w:rsidRPr="006040D3">
        <w:rPr>
          <w:lang w:val="en-GB"/>
        </w:rPr>
        <w:t xml:space="preserve"> / Cointelegraph. (2025). </w:t>
      </w:r>
      <w:r w:rsidRPr="006040D3">
        <w:rPr>
          <w:i/>
          <w:iCs/>
          <w:lang w:val="en-GB"/>
        </w:rPr>
        <w:t>Fiat inflation drives crypto adoption across the globe</w:t>
      </w:r>
      <w:r w:rsidRPr="006040D3">
        <w:rPr>
          <w:lang w:val="en-GB"/>
        </w:rPr>
        <w:t>.</w:t>
      </w:r>
      <w:r w:rsidRPr="006040D3">
        <w:rPr>
          <w:lang w:val="en-GB"/>
        </w:rPr>
        <w:br/>
      </w:r>
      <w:hyperlink r:id="rId26" w:tgtFrame="_new" w:history="1">
        <w:r w:rsidRPr="006040D3">
          <w:rPr>
            <w:rStyle w:val="Hyperlink"/>
            <w:lang w:val="en-GB"/>
          </w:rPr>
          <w:t>https://www.tradingview.com/news/cointelegraph%3A9e767242a094b%3A0-fiat-inflation-drives-crypto-adoption-across-the-globe/</w:t>
        </w:r>
      </w:hyperlink>
      <w:r w:rsidRPr="006040D3">
        <w:rPr>
          <w:lang w:val="en-GB"/>
        </w:rPr>
        <w:t xml:space="preserve"> </w:t>
      </w:r>
    </w:p>
    <w:p w14:paraId="7DDA0A93" w14:textId="77777777" w:rsidR="006040D3" w:rsidRPr="006040D3" w:rsidRDefault="006040D3" w:rsidP="006040D3">
      <w:pPr>
        <w:pStyle w:val="FootnoteText"/>
        <w:rPr>
          <w:lang w:val="en-GB"/>
        </w:rPr>
      </w:pPr>
      <w:r w:rsidRPr="006040D3">
        <w:rPr>
          <w:lang w:val="en-GB"/>
        </w:rPr>
        <w:t xml:space="preserve">XT.com. (2026). </w:t>
      </w:r>
      <w:r w:rsidRPr="006040D3">
        <w:rPr>
          <w:i/>
          <w:iCs/>
          <w:lang w:val="en-GB"/>
        </w:rPr>
        <w:t>Why crypto adoption is surging in high-inflation economies</w:t>
      </w:r>
      <w:r w:rsidRPr="006040D3">
        <w:rPr>
          <w:lang w:val="en-GB"/>
        </w:rPr>
        <w:t>.</w:t>
      </w:r>
      <w:r w:rsidRPr="006040D3">
        <w:rPr>
          <w:lang w:val="en-GB"/>
        </w:rPr>
        <w:br/>
      </w:r>
      <w:hyperlink r:id="rId27" w:tgtFrame="_new" w:history="1">
        <w:r w:rsidRPr="006040D3">
          <w:rPr>
            <w:rStyle w:val="Hyperlink"/>
            <w:lang w:val="en-GB"/>
          </w:rPr>
          <w:t>https://www.xt.com/fa/blog/post/why-crypto-adoption-is-surging-in-high-inflation-economies-in-2025-report</w:t>
        </w:r>
      </w:hyperlink>
      <w:r w:rsidRPr="006040D3">
        <w:rPr>
          <w:lang w:val="en-GB"/>
        </w:rPr>
        <w:t xml:space="preserve"> </w:t>
      </w:r>
    </w:p>
    <w:p w14:paraId="1EE0E64D" w14:textId="30D498E6" w:rsidR="006040D3" w:rsidRDefault="006040D3">
      <w:pPr>
        <w:pStyle w:val="FootnoteText"/>
      </w:pPr>
    </w:p>
  </w:footnote>
  <w:footnote w:id="40">
    <w:p w14:paraId="7E32FB60" w14:textId="77777777" w:rsidR="00D8449B" w:rsidRPr="00D8449B" w:rsidRDefault="00D8449B" w:rsidP="00D8449B">
      <w:pPr>
        <w:pStyle w:val="FootnoteText"/>
        <w:rPr>
          <w:lang w:val="en-GB"/>
        </w:rPr>
      </w:pPr>
      <w:r>
        <w:rPr>
          <w:rStyle w:val="FootnoteReference"/>
        </w:rPr>
        <w:footnoteRef/>
      </w:r>
      <w:r>
        <w:t xml:space="preserve"> </w:t>
      </w:r>
      <w:proofErr w:type="spellStart"/>
      <w:r w:rsidRPr="00D8449B">
        <w:rPr>
          <w:lang w:val="en-GB"/>
        </w:rPr>
        <w:t>PatentPC</w:t>
      </w:r>
      <w:proofErr w:type="spellEnd"/>
      <w:r w:rsidRPr="00D8449B">
        <w:rPr>
          <w:lang w:val="en-GB"/>
        </w:rPr>
        <w:t xml:space="preserve">. (2026). </w:t>
      </w:r>
      <w:r w:rsidRPr="00D8449B">
        <w:rPr>
          <w:i/>
          <w:iCs/>
          <w:lang w:val="en-GB"/>
        </w:rPr>
        <w:t>Top countries by crypto adoption: Regional trends</w:t>
      </w:r>
      <w:r w:rsidRPr="00D8449B">
        <w:rPr>
          <w:lang w:val="en-GB"/>
        </w:rPr>
        <w:t>.</w:t>
      </w:r>
      <w:r w:rsidRPr="00D8449B">
        <w:rPr>
          <w:lang w:val="en-GB"/>
        </w:rPr>
        <w:br/>
      </w:r>
      <w:hyperlink r:id="rId28" w:tgtFrame="_new" w:history="1">
        <w:r w:rsidRPr="00D8449B">
          <w:rPr>
            <w:rStyle w:val="Hyperlink"/>
            <w:lang w:val="en-GB"/>
          </w:rPr>
          <w:t>https://patentpc.com/blog/top-countries-by-crypto-adoption-regional-stats-trends</w:t>
        </w:r>
      </w:hyperlink>
      <w:r w:rsidRPr="00D8449B">
        <w:rPr>
          <w:lang w:val="en-GB"/>
        </w:rPr>
        <w:t xml:space="preserve"> </w:t>
      </w:r>
    </w:p>
    <w:p w14:paraId="04E292C1" w14:textId="77777777" w:rsidR="00D8449B" w:rsidRPr="00D8449B" w:rsidRDefault="00D8449B" w:rsidP="00D8449B">
      <w:pPr>
        <w:pStyle w:val="FootnoteText"/>
        <w:rPr>
          <w:lang w:val="en-GB"/>
        </w:rPr>
      </w:pPr>
      <w:proofErr w:type="spellStart"/>
      <w:r w:rsidRPr="00D8449B">
        <w:rPr>
          <w:lang w:val="en-GB"/>
        </w:rPr>
        <w:t>TradingView</w:t>
      </w:r>
      <w:proofErr w:type="spellEnd"/>
      <w:r w:rsidRPr="00D8449B">
        <w:rPr>
          <w:lang w:val="en-GB"/>
        </w:rPr>
        <w:t xml:space="preserve"> / Cointelegraph. (2025). </w:t>
      </w:r>
      <w:r w:rsidRPr="00D8449B">
        <w:rPr>
          <w:i/>
          <w:iCs/>
          <w:lang w:val="en-GB"/>
        </w:rPr>
        <w:t>Fiat inflation drives crypto adoption across the globe</w:t>
      </w:r>
      <w:r w:rsidRPr="00D8449B">
        <w:rPr>
          <w:lang w:val="en-GB"/>
        </w:rPr>
        <w:t>.</w:t>
      </w:r>
      <w:r w:rsidRPr="00D8449B">
        <w:rPr>
          <w:lang w:val="en-GB"/>
        </w:rPr>
        <w:br/>
      </w:r>
      <w:hyperlink r:id="rId29" w:tgtFrame="_new" w:history="1">
        <w:r w:rsidRPr="00D8449B">
          <w:rPr>
            <w:rStyle w:val="Hyperlink"/>
            <w:lang w:val="en-GB"/>
          </w:rPr>
          <w:t>https://www.tradingview.com/news/cointelegraph%3A9e767242a094b%3A0-fiat-inflation-drives-crypto-adoption-across-the-globe/</w:t>
        </w:r>
      </w:hyperlink>
      <w:r w:rsidRPr="00D8449B">
        <w:rPr>
          <w:lang w:val="en-GB"/>
        </w:rPr>
        <w:t xml:space="preserve"> </w:t>
      </w:r>
    </w:p>
    <w:p w14:paraId="29E32322" w14:textId="12CC094C" w:rsidR="00D8449B" w:rsidRDefault="00D8449B">
      <w:pPr>
        <w:pStyle w:val="FootnoteText"/>
      </w:pPr>
      <w:r w:rsidRPr="00D8449B">
        <w:rPr>
          <w:lang w:val="en-GB"/>
        </w:rPr>
        <w:t xml:space="preserve">XT.com. (2026). </w:t>
      </w:r>
      <w:r w:rsidRPr="00D8449B">
        <w:rPr>
          <w:i/>
          <w:iCs/>
          <w:lang w:val="en-GB"/>
        </w:rPr>
        <w:t>Why crypto adoption is surging in high-inflation economies</w:t>
      </w:r>
      <w:r w:rsidRPr="00D8449B">
        <w:rPr>
          <w:lang w:val="en-GB"/>
        </w:rPr>
        <w:t>.</w:t>
      </w:r>
      <w:r w:rsidRPr="00D8449B">
        <w:rPr>
          <w:lang w:val="en-GB"/>
        </w:rPr>
        <w:br/>
      </w:r>
      <w:hyperlink r:id="rId30" w:tgtFrame="_new" w:history="1">
        <w:r w:rsidRPr="00D8449B">
          <w:rPr>
            <w:rStyle w:val="Hyperlink"/>
            <w:lang w:val="en-GB"/>
          </w:rPr>
          <w:t>https://www.xt.com/fa/blog/post/why-crypto-adoption-is-surging-in-high-inflation-economies-in-2025-report</w:t>
        </w:r>
      </w:hyperlink>
    </w:p>
  </w:footnote>
  <w:footnote w:id="41">
    <w:p w14:paraId="23D5799F" w14:textId="77777777" w:rsidR="00D8449B" w:rsidRPr="00D8449B" w:rsidRDefault="00D8449B" w:rsidP="00D8449B">
      <w:pPr>
        <w:pStyle w:val="FootnoteText"/>
        <w:rPr>
          <w:lang w:val="en-GB"/>
        </w:rPr>
      </w:pPr>
      <w:r>
        <w:rPr>
          <w:rStyle w:val="FootnoteReference"/>
        </w:rPr>
        <w:footnoteRef/>
      </w:r>
      <w:r>
        <w:t xml:space="preserve"> </w:t>
      </w:r>
      <w:r w:rsidRPr="00D8449B">
        <w:rPr>
          <w:i/>
          <w:iCs/>
          <w:lang w:val="en-GB"/>
        </w:rPr>
        <w:t>Key Macroeconomic Indicators and Their Impact on the Cryptocurrency Market</w:t>
      </w:r>
      <w:r w:rsidRPr="00D8449B">
        <w:rPr>
          <w:lang w:val="en-GB"/>
        </w:rPr>
        <w:t>. (2024). Key Macroeconomic Indicators and Their Impact on the Cryptocurrency Market. https://crypto.com/en/university/key-macroeconomic-indicators-impact-on-cryptocurrency-market</w:t>
      </w:r>
    </w:p>
    <w:p w14:paraId="61561959" w14:textId="4FA79783" w:rsidR="00D8449B" w:rsidRDefault="00D8449B">
      <w:pPr>
        <w:pStyle w:val="FootnoteText"/>
      </w:pPr>
    </w:p>
  </w:footnote>
  <w:footnote w:id="42">
    <w:p w14:paraId="0380C966" w14:textId="77777777" w:rsidR="00D8449B" w:rsidRPr="00D8449B" w:rsidRDefault="00D8449B" w:rsidP="00D8449B">
      <w:pPr>
        <w:pStyle w:val="FootnoteText"/>
        <w:rPr>
          <w:lang w:val="en-GB"/>
        </w:rPr>
      </w:pPr>
      <w:r>
        <w:rPr>
          <w:rStyle w:val="FootnoteReference"/>
        </w:rPr>
        <w:footnoteRef/>
      </w:r>
      <w:r>
        <w:t xml:space="preserve"> </w:t>
      </w:r>
      <w:proofErr w:type="spellStart"/>
      <w:r w:rsidRPr="00D8449B">
        <w:rPr>
          <w:lang w:val="en-GB"/>
        </w:rPr>
        <w:t>Chainalysis</w:t>
      </w:r>
      <w:proofErr w:type="spellEnd"/>
      <w:r w:rsidRPr="00D8449B">
        <w:rPr>
          <w:lang w:val="en-GB"/>
        </w:rPr>
        <w:t xml:space="preserve">. (2024). </w:t>
      </w:r>
      <w:r w:rsidRPr="00D8449B">
        <w:rPr>
          <w:i/>
          <w:iCs/>
          <w:lang w:val="en-GB"/>
        </w:rPr>
        <w:t>The 2023 geography of cryptocurrency report</w:t>
      </w:r>
      <w:r w:rsidRPr="00D8449B">
        <w:rPr>
          <w:lang w:val="en-GB"/>
        </w:rPr>
        <w:t>.</w:t>
      </w:r>
      <w:r w:rsidRPr="00D8449B">
        <w:rPr>
          <w:lang w:val="en-GB"/>
        </w:rPr>
        <w:br/>
      </w:r>
      <w:hyperlink r:id="rId31" w:tgtFrame="_new" w:history="1">
        <w:r w:rsidRPr="00D8449B">
          <w:rPr>
            <w:rStyle w:val="Hyperlink"/>
            <w:lang w:val="en-GB"/>
          </w:rPr>
          <w:t>https://www.chainalysis.com/blog/2023-global-crypto-adoption-index/</w:t>
        </w:r>
      </w:hyperlink>
    </w:p>
    <w:p w14:paraId="7EBB04D3" w14:textId="77777777" w:rsidR="00D8449B" w:rsidRPr="00D8449B" w:rsidRDefault="00D8449B" w:rsidP="00D8449B">
      <w:pPr>
        <w:pStyle w:val="FootnoteText"/>
        <w:rPr>
          <w:lang w:val="en-GB"/>
        </w:rPr>
      </w:pPr>
      <w:r w:rsidRPr="00D8449B">
        <w:rPr>
          <w:lang w:val="en-GB"/>
        </w:rPr>
        <w:t xml:space="preserve">Forbes. (2024). </w:t>
      </w:r>
      <w:r w:rsidRPr="00D8449B">
        <w:rPr>
          <w:i/>
          <w:iCs/>
          <w:lang w:val="en-GB"/>
        </w:rPr>
        <w:t>Why inflation-battered Argentinians are turning to crypto</w:t>
      </w:r>
      <w:r w:rsidRPr="00D8449B">
        <w:rPr>
          <w:lang w:val="en-GB"/>
        </w:rPr>
        <w:t>.</w:t>
      </w:r>
      <w:r w:rsidRPr="00D8449B">
        <w:rPr>
          <w:lang w:val="en-GB"/>
        </w:rPr>
        <w:br/>
      </w:r>
      <w:hyperlink r:id="rId32" w:tgtFrame="_new" w:history="1">
        <w:r w:rsidRPr="00D8449B">
          <w:rPr>
            <w:rStyle w:val="Hyperlink"/>
            <w:lang w:val="en-GB"/>
          </w:rPr>
          <w:t>https://www.forbes.com/sites/javierpaz/2024/07/08/why-inflation-battered-argentinians-are-turning-to-crypto/</w:t>
        </w:r>
      </w:hyperlink>
    </w:p>
    <w:p w14:paraId="67B50A63" w14:textId="77777777" w:rsidR="00D8449B" w:rsidRPr="00D8449B" w:rsidRDefault="00D8449B" w:rsidP="00D8449B">
      <w:pPr>
        <w:pStyle w:val="FootnoteText"/>
        <w:rPr>
          <w:lang w:val="en-GB"/>
        </w:rPr>
      </w:pPr>
      <w:r w:rsidRPr="00D8449B">
        <w:rPr>
          <w:lang w:val="en-GB"/>
        </w:rPr>
        <w:t xml:space="preserve">American Economic Association. (2026). </w:t>
      </w:r>
      <w:r w:rsidRPr="00D8449B">
        <w:rPr>
          <w:i/>
          <w:iCs/>
          <w:lang w:val="en-GB"/>
        </w:rPr>
        <w:t>Cryptocurrency adoption in high-inflation environments: Evidence from Argentina</w:t>
      </w:r>
      <w:r w:rsidRPr="00D8449B">
        <w:rPr>
          <w:lang w:val="en-GB"/>
        </w:rPr>
        <w:t>.</w:t>
      </w:r>
      <w:r w:rsidRPr="00D8449B">
        <w:rPr>
          <w:lang w:val="en-GB"/>
        </w:rPr>
        <w:br/>
      </w:r>
      <w:hyperlink r:id="rId33" w:tgtFrame="_new" w:history="1">
        <w:r w:rsidRPr="00D8449B">
          <w:rPr>
            <w:rStyle w:val="Hyperlink"/>
            <w:lang w:val="en-GB"/>
          </w:rPr>
          <w:t>https://www.aeaweb.org/conference/2026/program/paper/y6HRibzE</w:t>
        </w:r>
      </w:hyperlink>
    </w:p>
    <w:p w14:paraId="275C5BFF" w14:textId="77777777" w:rsidR="00D8449B" w:rsidRPr="00D8449B" w:rsidRDefault="00D8449B" w:rsidP="00D8449B">
      <w:pPr>
        <w:pStyle w:val="FootnoteText"/>
        <w:rPr>
          <w:lang w:val="en-GB"/>
        </w:rPr>
      </w:pPr>
      <w:r w:rsidRPr="00D8449B">
        <w:rPr>
          <w:lang w:val="en-GB"/>
        </w:rPr>
        <w:t xml:space="preserve">United Bank for Africa (UBA). (2024). </w:t>
      </w:r>
      <w:r w:rsidRPr="00D8449B">
        <w:rPr>
          <w:i/>
          <w:iCs/>
          <w:lang w:val="en-GB"/>
        </w:rPr>
        <w:t>Nigeria and Turkey among biggest adopters of crypto in 2024</w:t>
      </w:r>
      <w:r w:rsidRPr="00D8449B">
        <w:rPr>
          <w:lang w:val="en-GB"/>
        </w:rPr>
        <w:t>.</w:t>
      </w:r>
      <w:r w:rsidRPr="00D8449B">
        <w:rPr>
          <w:lang w:val="en-GB"/>
        </w:rPr>
        <w:br/>
      </w:r>
      <w:hyperlink r:id="rId34" w:tgtFrame="_new" w:history="1">
        <w:r w:rsidRPr="00D8449B">
          <w:rPr>
            <w:rStyle w:val="Hyperlink"/>
            <w:lang w:val="en-GB"/>
          </w:rPr>
          <w:t>https://uabonline.org/english-news/nigeria-and-turkey-biggest-adopters-of-crypto-in-2024/</w:t>
        </w:r>
      </w:hyperlink>
    </w:p>
    <w:p w14:paraId="5D728107" w14:textId="1D420BEC" w:rsidR="00D8449B" w:rsidRDefault="00D8449B">
      <w:pPr>
        <w:pStyle w:val="FootnoteText"/>
      </w:pPr>
    </w:p>
  </w:footnote>
  <w:footnote w:id="43">
    <w:p w14:paraId="3A16CCE3" w14:textId="77777777" w:rsidR="003054A7" w:rsidRPr="006040D3" w:rsidRDefault="003054A7" w:rsidP="003054A7">
      <w:pPr>
        <w:pStyle w:val="FootnoteText"/>
      </w:pPr>
      <w:r w:rsidRPr="006040D3">
        <w:rPr>
          <w:rStyle w:val="FootnoteReference"/>
        </w:rPr>
        <w:footnoteRef/>
      </w:r>
      <w:r w:rsidRPr="006040D3">
        <w:t xml:space="preserve"> </w:t>
      </w:r>
      <w:r w:rsidRPr="006040D3">
        <w:t xml:space="preserve">U.S. Bureau of Labor Statistics. (2025). </w:t>
      </w:r>
      <w:r w:rsidRPr="006040D3">
        <w:rPr>
          <w:i/>
          <w:iCs/>
        </w:rPr>
        <w:t>Consumer Price Index for All Urban Consumers (CPI-U)</w:t>
      </w:r>
      <w:r w:rsidRPr="006040D3">
        <w:t xml:space="preserve">. </w:t>
      </w:r>
      <w:hyperlink r:id="rId35" w:tgtFrame="_new" w:history="1">
        <w:r w:rsidRPr="006040D3">
          <w:rPr>
            <w:rStyle w:val="Hyperlink"/>
          </w:rPr>
          <w:t>https://www.bls.gov/cpi/</w:t>
        </w:r>
      </w:hyperlink>
    </w:p>
    <w:p w14:paraId="17BEF85C" w14:textId="77777777" w:rsidR="003054A7" w:rsidRPr="003054A7" w:rsidRDefault="003054A7" w:rsidP="003054A7">
      <w:pPr>
        <w:pStyle w:val="FootnoteText"/>
      </w:pPr>
      <w:r w:rsidRPr="003054A7">
        <w:t xml:space="preserve">Board of Governors of the Federal Reserve System. (2025). </w:t>
      </w:r>
      <w:r w:rsidRPr="003054A7">
        <w:rPr>
          <w:i/>
          <w:iCs/>
        </w:rPr>
        <w:t>Federal funds rate</w:t>
      </w:r>
      <w:r w:rsidRPr="003054A7">
        <w:t xml:space="preserve">. </w:t>
      </w:r>
      <w:hyperlink r:id="rId36" w:tgtFrame="_new" w:history="1">
        <w:r w:rsidRPr="003054A7">
          <w:rPr>
            <w:rStyle w:val="Hyperlink"/>
          </w:rPr>
          <w:t>https://www.federalreserve.gov/</w:t>
        </w:r>
      </w:hyperlink>
    </w:p>
    <w:p w14:paraId="144A9760" w14:textId="77777777" w:rsidR="003054A7" w:rsidRPr="003054A7" w:rsidRDefault="003054A7" w:rsidP="003054A7">
      <w:pPr>
        <w:pStyle w:val="FootnoteText"/>
      </w:pPr>
      <w:r w:rsidRPr="003054A7">
        <w:t xml:space="preserve">CoinMarketCap. (2025). </w:t>
      </w:r>
      <w:r w:rsidRPr="003054A7">
        <w:rPr>
          <w:i/>
          <w:iCs/>
        </w:rPr>
        <w:t>Bitcoin (BTC) historical data</w:t>
      </w:r>
      <w:r w:rsidRPr="003054A7">
        <w:t xml:space="preserve">. </w:t>
      </w:r>
      <w:hyperlink r:id="rId37" w:tgtFrame="_new" w:history="1">
        <w:r w:rsidRPr="003054A7">
          <w:rPr>
            <w:rStyle w:val="Hyperlink"/>
          </w:rPr>
          <w:t>https://coinmarketcap.com/currencies/bitcoin/historical-data/</w:t>
        </w:r>
      </w:hyperlink>
    </w:p>
    <w:p w14:paraId="0C9DE8F6" w14:textId="77777777" w:rsidR="003054A7" w:rsidRPr="003054A7" w:rsidRDefault="003054A7" w:rsidP="003054A7">
      <w:pPr>
        <w:pStyle w:val="FootnoteText"/>
      </w:pPr>
      <w:r w:rsidRPr="003054A7">
        <w:t xml:space="preserve">Yahoo Finance. (2025). </w:t>
      </w:r>
      <w:r w:rsidRPr="003054A7">
        <w:rPr>
          <w:i/>
          <w:iCs/>
        </w:rPr>
        <w:t>Bitcoin USD (BTC-USD) historical data</w:t>
      </w:r>
      <w:r w:rsidRPr="003054A7">
        <w:t xml:space="preserve">. </w:t>
      </w:r>
      <w:hyperlink r:id="rId38" w:tgtFrame="_new" w:history="1">
        <w:r w:rsidRPr="003054A7">
          <w:rPr>
            <w:rStyle w:val="Hyperlink"/>
          </w:rPr>
          <w:t>https://finance.yahoo.com/quote/BTC-USD/history/</w:t>
        </w:r>
      </w:hyperlink>
    </w:p>
    <w:p w14:paraId="20FEE9DB" w14:textId="77777777" w:rsidR="003054A7" w:rsidRPr="003054A7" w:rsidRDefault="003054A7" w:rsidP="003054A7">
      <w:pPr>
        <w:pStyle w:val="FootnoteText"/>
      </w:pPr>
    </w:p>
    <w:p w14:paraId="257F0ABA" w14:textId="6E5E2AC8" w:rsidR="003054A7" w:rsidRPr="006040D3" w:rsidRDefault="003054A7">
      <w:pPr>
        <w:pStyle w:val="FootnoteText"/>
      </w:pPr>
    </w:p>
  </w:footnote>
  <w:footnote w:id="44">
    <w:p w14:paraId="7DE95934" w14:textId="77777777" w:rsidR="003054A7" w:rsidRPr="006040D3" w:rsidRDefault="003054A7" w:rsidP="003054A7">
      <w:pPr>
        <w:pStyle w:val="FootnoteText"/>
      </w:pPr>
      <w:r w:rsidRPr="006040D3">
        <w:rPr>
          <w:rStyle w:val="FootnoteReference"/>
        </w:rPr>
        <w:footnoteRef/>
      </w:r>
      <w:r w:rsidRPr="006040D3">
        <w:t xml:space="preserve"> </w:t>
      </w:r>
      <w:r w:rsidRPr="006040D3">
        <w:t xml:space="preserve">International </w:t>
      </w:r>
      <w:r w:rsidRPr="006040D3">
        <w:t xml:space="preserve">Monetary Fund. (2021). </w:t>
      </w:r>
      <w:r w:rsidRPr="006040D3">
        <w:rPr>
          <w:i/>
          <w:iCs/>
        </w:rPr>
        <w:t>Fiscal monitor: A fair shot</w:t>
      </w:r>
      <w:r w:rsidRPr="006040D3">
        <w:t>. https://www.imf.org/en/Publications/FM/Issues/2021/04/07/fiscal-monitor-april-2021</w:t>
      </w:r>
    </w:p>
    <w:p w14:paraId="4FD15C89" w14:textId="0116D563" w:rsidR="003054A7" w:rsidRPr="006040D3" w:rsidRDefault="003054A7">
      <w:pPr>
        <w:pStyle w:val="FootnoteText"/>
      </w:pPr>
      <w:r w:rsidRPr="003054A7">
        <w:t xml:space="preserve">Board of Governors of the Federal Reserve System. (2020). </w:t>
      </w:r>
      <w:r w:rsidRPr="003054A7">
        <w:rPr>
          <w:i/>
          <w:iCs/>
        </w:rPr>
        <w:t>Monetary policy report</w:t>
      </w:r>
      <w:r w:rsidRPr="003054A7">
        <w:t xml:space="preserve">. </w:t>
      </w:r>
      <w:hyperlink r:id="rId39" w:tgtFrame="_new" w:history="1">
        <w:r w:rsidRPr="003054A7">
          <w:rPr>
            <w:rStyle w:val="Hyperlink"/>
          </w:rPr>
          <w:t>https://www.federalreserve.gov/monetarypolicy/mpr_default.htm</w:t>
        </w:r>
      </w:hyperlink>
    </w:p>
  </w:footnote>
  <w:footnote w:id="45">
    <w:p w14:paraId="66ECF3DA" w14:textId="77777777" w:rsidR="003054A7" w:rsidRPr="006040D3" w:rsidRDefault="003054A7" w:rsidP="003054A7">
      <w:pPr>
        <w:pStyle w:val="FootnoteText"/>
      </w:pPr>
      <w:r w:rsidRPr="006040D3">
        <w:rPr>
          <w:rStyle w:val="FootnoteReference"/>
        </w:rPr>
        <w:footnoteRef/>
      </w:r>
      <w:r w:rsidRPr="006040D3">
        <w:t xml:space="preserve"> </w:t>
      </w:r>
      <w:r w:rsidRPr="006040D3">
        <w:t xml:space="preserve">Board </w:t>
      </w:r>
      <w:r w:rsidRPr="006040D3">
        <w:t xml:space="preserve">of Governors of the Federal Reserve System. (2023). </w:t>
      </w:r>
      <w:r w:rsidRPr="006040D3">
        <w:rPr>
          <w:i/>
          <w:iCs/>
        </w:rPr>
        <w:t>Monetary policy report</w:t>
      </w:r>
      <w:r w:rsidRPr="006040D3">
        <w:t xml:space="preserve">. </w:t>
      </w:r>
      <w:hyperlink r:id="rId40" w:tgtFrame="_new" w:history="1">
        <w:r w:rsidRPr="006040D3">
          <w:rPr>
            <w:rStyle w:val="Hyperlink"/>
          </w:rPr>
          <w:t>https://www.federalreserve.gov/monetarypolicy/mpr_default.htm</w:t>
        </w:r>
      </w:hyperlink>
    </w:p>
    <w:p w14:paraId="3A6F9F0A" w14:textId="79809177" w:rsidR="003054A7" w:rsidRPr="006040D3" w:rsidRDefault="003054A7">
      <w:pPr>
        <w:pStyle w:val="FootnoteText"/>
      </w:pPr>
      <w:r w:rsidRPr="003054A7">
        <w:t xml:space="preserve">International Monetary Fund. (2023). </w:t>
      </w:r>
      <w:r w:rsidRPr="003054A7">
        <w:rPr>
          <w:i/>
          <w:iCs/>
        </w:rPr>
        <w:t>World economic outlook: Navigating global divergences</w:t>
      </w:r>
      <w:r w:rsidRPr="003054A7">
        <w:t xml:space="preserve">. </w:t>
      </w:r>
      <w:hyperlink r:id="rId41" w:tgtFrame="_new" w:history="1">
        <w:r w:rsidRPr="003054A7">
          <w:rPr>
            <w:rStyle w:val="Hyperlink"/>
          </w:rPr>
          <w:t>https://www.imf.org/en/Publications/WEO/Issues/2023/04/11/world-economic-outlook-april-2023</w:t>
        </w:r>
      </w:hyperlink>
    </w:p>
  </w:footnote>
  <w:footnote w:id="46">
    <w:p w14:paraId="69361711" w14:textId="77777777" w:rsidR="003054A7" w:rsidRPr="006040D3" w:rsidRDefault="003054A7" w:rsidP="003054A7">
      <w:pPr>
        <w:pStyle w:val="FootnoteText"/>
      </w:pPr>
      <w:r w:rsidRPr="006040D3">
        <w:rPr>
          <w:rStyle w:val="FootnoteReference"/>
        </w:rPr>
        <w:footnoteRef/>
      </w:r>
      <w:r w:rsidRPr="006040D3">
        <w:t xml:space="preserve"> </w:t>
      </w:r>
      <w:r w:rsidRPr="006040D3">
        <w:t xml:space="preserve">International </w:t>
      </w:r>
      <w:r w:rsidRPr="006040D3">
        <w:t xml:space="preserve">Monetary Fund. (2024). </w:t>
      </w:r>
      <w:r w:rsidRPr="006040D3">
        <w:rPr>
          <w:i/>
          <w:iCs/>
        </w:rPr>
        <w:t>World economic outlook: Steady but slow—Resilience amid divergence</w:t>
      </w:r>
      <w:r w:rsidRPr="006040D3">
        <w:t xml:space="preserve">. </w:t>
      </w:r>
      <w:hyperlink r:id="rId42" w:tgtFrame="_new" w:history="1">
        <w:r w:rsidRPr="006040D3">
          <w:rPr>
            <w:rStyle w:val="Hyperlink"/>
          </w:rPr>
          <w:t>https://www.imf.org/en/Publications/WEO/Issues/2024/04/16/world-economic-outlook-april-2024</w:t>
        </w:r>
      </w:hyperlink>
    </w:p>
    <w:p w14:paraId="72470142" w14:textId="425454B7" w:rsidR="003054A7" w:rsidRPr="006040D3" w:rsidRDefault="003054A7">
      <w:pPr>
        <w:pStyle w:val="FootnoteText"/>
      </w:pPr>
      <w:r w:rsidRPr="003054A7">
        <w:t xml:space="preserve">Organisation for Economic Co-operation and Development. (2024). </w:t>
      </w:r>
      <w:r w:rsidRPr="003054A7">
        <w:rPr>
          <w:i/>
          <w:iCs/>
        </w:rPr>
        <w:t>OECD economic outlook, Volume 2024 Issue 1</w:t>
      </w:r>
      <w:r w:rsidRPr="003054A7">
        <w:t xml:space="preserve">. </w:t>
      </w:r>
      <w:hyperlink r:id="rId43" w:tgtFrame="_new" w:history="1">
        <w:r w:rsidRPr="003054A7">
          <w:rPr>
            <w:rStyle w:val="Hyperlink"/>
          </w:rPr>
          <w:t>https://www.oecd.org/economic-outlook/</w:t>
        </w:r>
      </w:hyperlink>
    </w:p>
  </w:footnote>
  <w:footnote w:id="47">
    <w:p w14:paraId="2CD8CF93" w14:textId="523464ED" w:rsidR="009C5290" w:rsidRPr="006040D3" w:rsidRDefault="009C5290">
      <w:pPr>
        <w:pStyle w:val="FootnoteText"/>
      </w:pPr>
      <w:r w:rsidRPr="006040D3">
        <w:rPr>
          <w:rStyle w:val="FootnoteReference"/>
        </w:rPr>
        <w:footnoteRef/>
      </w:r>
      <w:r w:rsidRPr="006040D3">
        <w:t xml:space="preserve"> </w:t>
      </w:r>
      <w:r w:rsidRPr="006040D3">
        <w:t xml:space="preserve">U.S. </w:t>
      </w:r>
      <w:r w:rsidRPr="006040D3">
        <w:t xml:space="preserve">Securities and Exchange Commission. (2024). </w:t>
      </w:r>
      <w:r w:rsidRPr="006040D3">
        <w:rPr>
          <w:i/>
          <w:iCs/>
        </w:rPr>
        <w:t>Spot Bitcoin ETP approvals and regulatory developments</w:t>
      </w:r>
      <w:r w:rsidRPr="006040D3">
        <w:t xml:space="preserve">. </w:t>
      </w:r>
      <w:hyperlink r:id="rId44" w:tgtFrame="_new" w:history="1">
        <w:r w:rsidRPr="006040D3">
          <w:rPr>
            <w:rStyle w:val="Hyperlink"/>
          </w:rPr>
          <w:t>https://www.sec.gov/</w:t>
        </w:r>
      </w:hyperlink>
    </w:p>
  </w:footnote>
  <w:footnote w:id="48">
    <w:p w14:paraId="418C99BB" w14:textId="77777777" w:rsidR="009C5290" w:rsidRPr="006040D3" w:rsidRDefault="009C5290" w:rsidP="009C5290">
      <w:pPr>
        <w:pStyle w:val="FootnoteText"/>
      </w:pPr>
      <w:r w:rsidRPr="006040D3">
        <w:rPr>
          <w:rStyle w:val="FootnoteReference"/>
        </w:rPr>
        <w:footnoteRef/>
      </w:r>
      <w:r w:rsidRPr="006040D3">
        <w:t xml:space="preserve"> </w:t>
      </w:r>
      <w:r w:rsidRPr="006040D3">
        <w:t xml:space="preserve">Chainalysis. </w:t>
      </w:r>
      <w:r w:rsidRPr="006040D3">
        <w:t xml:space="preserve">(2024). </w:t>
      </w:r>
      <w:r w:rsidRPr="006040D3">
        <w:rPr>
          <w:i/>
          <w:iCs/>
        </w:rPr>
        <w:t>Bitcoin halving 2024: What it means for supply and demand</w:t>
      </w:r>
      <w:r w:rsidRPr="006040D3">
        <w:t xml:space="preserve">. </w:t>
      </w:r>
      <w:hyperlink r:id="rId45" w:tgtFrame="_new" w:history="1">
        <w:r w:rsidRPr="006040D3">
          <w:rPr>
            <w:rStyle w:val="Hyperlink"/>
          </w:rPr>
          <w:t>https://www.chainalysis.com/blog/bitcoin-halving-2024/</w:t>
        </w:r>
      </w:hyperlink>
    </w:p>
    <w:p w14:paraId="49F27778" w14:textId="77777777" w:rsidR="009C5290" w:rsidRPr="009C5290" w:rsidRDefault="009C5290" w:rsidP="009C5290">
      <w:pPr>
        <w:pStyle w:val="FootnoteText"/>
      </w:pPr>
      <w:r w:rsidRPr="009C5290">
        <w:t xml:space="preserve">VanEck. (2024). </w:t>
      </w:r>
      <w:r w:rsidRPr="009C5290">
        <w:rPr>
          <w:i/>
          <w:iCs/>
        </w:rPr>
        <w:t>Bitcoin halving explained: History, impact, and 2024 predictions</w:t>
      </w:r>
      <w:r w:rsidRPr="009C5290">
        <w:t xml:space="preserve">. </w:t>
      </w:r>
      <w:hyperlink r:id="rId46" w:tgtFrame="_new" w:history="1">
        <w:r w:rsidRPr="009C5290">
          <w:rPr>
            <w:rStyle w:val="Hyperlink"/>
          </w:rPr>
          <w:t>https://www.vaneck.com/</w:t>
        </w:r>
      </w:hyperlink>
    </w:p>
    <w:p w14:paraId="06729C0D" w14:textId="75DE1CF1" w:rsidR="009C5290" w:rsidRPr="009C5290" w:rsidRDefault="009C529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6CE5" w14:textId="77777777" w:rsidR="004E5F79" w:rsidRPr="006040D3" w:rsidRDefault="004E5F79">
    <w:pPr>
      <w:pStyle w:val="Header"/>
      <w:jc w:val="right"/>
    </w:pPr>
  </w:p>
  <w:p w14:paraId="1CA38CB9" w14:textId="77777777" w:rsidR="004E5F79" w:rsidRPr="006040D3" w:rsidRDefault="004E5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444DAF"/>
    <w:multiLevelType w:val="hybridMultilevel"/>
    <w:tmpl w:val="DF54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3A4D5F"/>
    <w:multiLevelType w:val="hybridMultilevel"/>
    <w:tmpl w:val="FA4CFB3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03C67B7D"/>
    <w:multiLevelType w:val="hybridMultilevel"/>
    <w:tmpl w:val="5F3CE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0C3750"/>
    <w:multiLevelType w:val="hybridMultilevel"/>
    <w:tmpl w:val="6C825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687937"/>
    <w:multiLevelType w:val="hybridMultilevel"/>
    <w:tmpl w:val="15BE92E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1174362C"/>
    <w:multiLevelType w:val="hybridMultilevel"/>
    <w:tmpl w:val="F238DF2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11F46559"/>
    <w:multiLevelType w:val="hybridMultilevel"/>
    <w:tmpl w:val="9C04C28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123119E4"/>
    <w:multiLevelType w:val="hybridMultilevel"/>
    <w:tmpl w:val="1040B2A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14716952"/>
    <w:multiLevelType w:val="multilevel"/>
    <w:tmpl w:val="72A2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B237E0"/>
    <w:multiLevelType w:val="hybridMultilevel"/>
    <w:tmpl w:val="912CE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310D04"/>
    <w:multiLevelType w:val="hybridMultilevel"/>
    <w:tmpl w:val="EEBE7AD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194D5B99"/>
    <w:multiLevelType w:val="hybridMultilevel"/>
    <w:tmpl w:val="69DEC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618C3"/>
    <w:multiLevelType w:val="multilevel"/>
    <w:tmpl w:val="5C5E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4B105A"/>
    <w:multiLevelType w:val="hybridMultilevel"/>
    <w:tmpl w:val="E6C01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6567B9"/>
    <w:multiLevelType w:val="multilevel"/>
    <w:tmpl w:val="C928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DE4256"/>
    <w:multiLevelType w:val="hybridMultilevel"/>
    <w:tmpl w:val="4BBA9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235A9"/>
    <w:multiLevelType w:val="hybridMultilevel"/>
    <w:tmpl w:val="85E63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5A4BFD"/>
    <w:multiLevelType w:val="multilevel"/>
    <w:tmpl w:val="F14C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DF22D5"/>
    <w:multiLevelType w:val="hybridMultilevel"/>
    <w:tmpl w:val="EDF806F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306F5045"/>
    <w:multiLevelType w:val="hybridMultilevel"/>
    <w:tmpl w:val="5276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533FF4"/>
    <w:multiLevelType w:val="hybridMultilevel"/>
    <w:tmpl w:val="469E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773EC7"/>
    <w:multiLevelType w:val="hybridMultilevel"/>
    <w:tmpl w:val="17C2B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19526D"/>
    <w:multiLevelType w:val="hybridMultilevel"/>
    <w:tmpl w:val="6FEAE178"/>
    <w:lvl w:ilvl="0" w:tplc="DF8467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447E66F3"/>
    <w:multiLevelType w:val="hybridMultilevel"/>
    <w:tmpl w:val="7E3C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4F31C4"/>
    <w:multiLevelType w:val="hybridMultilevel"/>
    <w:tmpl w:val="C778D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85230C"/>
    <w:multiLevelType w:val="multilevel"/>
    <w:tmpl w:val="7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8B2D84"/>
    <w:multiLevelType w:val="hybridMultilevel"/>
    <w:tmpl w:val="B9846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E14ED4"/>
    <w:multiLevelType w:val="hybridMultilevel"/>
    <w:tmpl w:val="DE60CAA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60C4792E"/>
    <w:multiLevelType w:val="multilevel"/>
    <w:tmpl w:val="7C28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5671AA"/>
    <w:multiLevelType w:val="multilevel"/>
    <w:tmpl w:val="B36A8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2024A5"/>
    <w:multiLevelType w:val="hybridMultilevel"/>
    <w:tmpl w:val="21D6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551E4B"/>
    <w:multiLevelType w:val="multilevel"/>
    <w:tmpl w:val="9BE8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D80359"/>
    <w:multiLevelType w:val="hybridMultilevel"/>
    <w:tmpl w:val="4762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755AF9"/>
    <w:multiLevelType w:val="hybridMultilevel"/>
    <w:tmpl w:val="77C2D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E32755"/>
    <w:multiLevelType w:val="hybridMultilevel"/>
    <w:tmpl w:val="FF74CA7C"/>
    <w:lvl w:ilvl="0" w:tplc="F09E8D94">
      <w:start w:val="4"/>
      <w:numFmt w:val="decimal"/>
      <w:lvlText w:val="%1."/>
      <w:lvlJc w:val="left"/>
      <w:pPr>
        <w:ind w:left="142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7" w15:restartNumberingAfterBreak="0">
    <w:nsid w:val="79AD2C36"/>
    <w:multiLevelType w:val="multilevel"/>
    <w:tmpl w:val="7C5EB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1F2CF5"/>
    <w:multiLevelType w:val="hybridMultilevel"/>
    <w:tmpl w:val="E342E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2158594">
    <w:abstractNumId w:val="38"/>
  </w:num>
  <w:num w:numId="2" w16cid:durableId="292442423">
    <w:abstractNumId w:val="5"/>
  </w:num>
  <w:num w:numId="3" w16cid:durableId="2063483321">
    <w:abstractNumId w:val="26"/>
  </w:num>
  <w:num w:numId="4" w16cid:durableId="2092508766">
    <w:abstractNumId w:val="28"/>
  </w:num>
  <w:num w:numId="5" w16cid:durableId="804007087">
    <w:abstractNumId w:val="25"/>
  </w:num>
  <w:num w:numId="6" w16cid:durableId="865486138">
    <w:abstractNumId w:val="21"/>
  </w:num>
  <w:num w:numId="7" w16cid:durableId="930313252">
    <w:abstractNumId w:val="18"/>
  </w:num>
  <w:num w:numId="8" w16cid:durableId="1298338039">
    <w:abstractNumId w:val="2"/>
  </w:num>
  <w:num w:numId="9" w16cid:durableId="640381805">
    <w:abstractNumId w:val="4"/>
  </w:num>
  <w:num w:numId="10" w16cid:durableId="864172287">
    <w:abstractNumId w:val="22"/>
  </w:num>
  <w:num w:numId="11" w16cid:durableId="329253654">
    <w:abstractNumId w:val="15"/>
  </w:num>
  <w:num w:numId="12" w16cid:durableId="1403259869">
    <w:abstractNumId w:val="17"/>
  </w:num>
  <w:num w:numId="13" w16cid:durableId="1677993850">
    <w:abstractNumId w:val="23"/>
  </w:num>
  <w:num w:numId="14" w16cid:durableId="245768245">
    <w:abstractNumId w:val="11"/>
  </w:num>
  <w:num w:numId="15" w16cid:durableId="978534836">
    <w:abstractNumId w:val="35"/>
  </w:num>
  <w:num w:numId="16" w16cid:durableId="725952008">
    <w:abstractNumId w:val="13"/>
  </w:num>
  <w:num w:numId="17" w16cid:durableId="1008362603">
    <w:abstractNumId w:val="32"/>
  </w:num>
  <w:num w:numId="18" w16cid:durableId="1630164683">
    <w:abstractNumId w:val="34"/>
  </w:num>
  <w:num w:numId="19" w16cid:durableId="1386949219">
    <w:abstractNumId w:val="24"/>
  </w:num>
  <w:num w:numId="20" w16cid:durableId="8257805">
    <w:abstractNumId w:val="36"/>
  </w:num>
  <w:num w:numId="21" w16cid:durableId="1096560602">
    <w:abstractNumId w:val="6"/>
  </w:num>
  <w:num w:numId="22" w16cid:durableId="1315717024">
    <w:abstractNumId w:val="20"/>
  </w:num>
  <w:num w:numId="23" w16cid:durableId="326834004">
    <w:abstractNumId w:val="9"/>
  </w:num>
  <w:num w:numId="24" w16cid:durableId="583808978">
    <w:abstractNumId w:val="19"/>
  </w:num>
  <w:num w:numId="25" w16cid:durableId="1016006915">
    <w:abstractNumId w:val="10"/>
  </w:num>
  <w:num w:numId="26" w16cid:durableId="812333685">
    <w:abstractNumId w:val="7"/>
  </w:num>
  <w:num w:numId="27" w16cid:durableId="1637493702">
    <w:abstractNumId w:val="3"/>
  </w:num>
  <w:num w:numId="28" w16cid:durableId="1493793984">
    <w:abstractNumId w:val="12"/>
  </w:num>
  <w:num w:numId="29" w16cid:durableId="452403860">
    <w:abstractNumId w:val="29"/>
  </w:num>
  <w:num w:numId="30" w16cid:durableId="1143038489">
    <w:abstractNumId w:val="8"/>
  </w:num>
  <w:num w:numId="31" w16cid:durableId="864950499">
    <w:abstractNumId w:val="27"/>
  </w:num>
  <w:num w:numId="32" w16cid:durableId="1528058075">
    <w:abstractNumId w:val="33"/>
  </w:num>
  <w:num w:numId="33" w16cid:durableId="463235336">
    <w:abstractNumId w:val="30"/>
  </w:num>
  <w:num w:numId="34" w16cid:durableId="676539954">
    <w:abstractNumId w:val="16"/>
  </w:num>
  <w:num w:numId="35" w16cid:durableId="1301809433">
    <w:abstractNumId w:val="14"/>
  </w:num>
  <w:num w:numId="36" w16cid:durableId="1982953130">
    <w:abstractNumId w:val="37"/>
  </w:num>
  <w:num w:numId="37" w16cid:durableId="24138724">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A0C"/>
    <w:rsid w:val="00001589"/>
    <w:rsid w:val="00002DC6"/>
    <w:rsid w:val="00004FBD"/>
    <w:rsid w:val="0000589C"/>
    <w:rsid w:val="00006EFF"/>
    <w:rsid w:val="00007D24"/>
    <w:rsid w:val="00007E4B"/>
    <w:rsid w:val="00014851"/>
    <w:rsid w:val="00014C1B"/>
    <w:rsid w:val="0001508E"/>
    <w:rsid w:val="00015F17"/>
    <w:rsid w:val="0002280A"/>
    <w:rsid w:val="00024713"/>
    <w:rsid w:val="00024726"/>
    <w:rsid w:val="000251C8"/>
    <w:rsid w:val="00031FBF"/>
    <w:rsid w:val="0003374C"/>
    <w:rsid w:val="00041762"/>
    <w:rsid w:val="00042CB3"/>
    <w:rsid w:val="00044F4F"/>
    <w:rsid w:val="000511C6"/>
    <w:rsid w:val="00051396"/>
    <w:rsid w:val="000537CC"/>
    <w:rsid w:val="00056C5E"/>
    <w:rsid w:val="00060B7A"/>
    <w:rsid w:val="00060CC9"/>
    <w:rsid w:val="00061EAE"/>
    <w:rsid w:val="00063034"/>
    <w:rsid w:val="00064BDC"/>
    <w:rsid w:val="00065091"/>
    <w:rsid w:val="0006550F"/>
    <w:rsid w:val="00065D71"/>
    <w:rsid w:val="000672E8"/>
    <w:rsid w:val="00067532"/>
    <w:rsid w:val="00070538"/>
    <w:rsid w:val="00070A3A"/>
    <w:rsid w:val="0007281D"/>
    <w:rsid w:val="00074145"/>
    <w:rsid w:val="00074B78"/>
    <w:rsid w:val="00075750"/>
    <w:rsid w:val="00076B76"/>
    <w:rsid w:val="00077665"/>
    <w:rsid w:val="00077DDE"/>
    <w:rsid w:val="000812E5"/>
    <w:rsid w:val="00081A4C"/>
    <w:rsid w:val="000821EC"/>
    <w:rsid w:val="000835C6"/>
    <w:rsid w:val="00083F94"/>
    <w:rsid w:val="00087FBD"/>
    <w:rsid w:val="000946C4"/>
    <w:rsid w:val="000A5F22"/>
    <w:rsid w:val="000B0A34"/>
    <w:rsid w:val="000B5695"/>
    <w:rsid w:val="000C5E61"/>
    <w:rsid w:val="000C61E0"/>
    <w:rsid w:val="000C7AAF"/>
    <w:rsid w:val="000D0762"/>
    <w:rsid w:val="000D0E51"/>
    <w:rsid w:val="000D1719"/>
    <w:rsid w:val="000D4636"/>
    <w:rsid w:val="000D6EE7"/>
    <w:rsid w:val="000E06F0"/>
    <w:rsid w:val="000E0BC4"/>
    <w:rsid w:val="000E2834"/>
    <w:rsid w:val="000E3B66"/>
    <w:rsid w:val="000F17AF"/>
    <w:rsid w:val="000F44BF"/>
    <w:rsid w:val="000F4C3E"/>
    <w:rsid w:val="000F79B7"/>
    <w:rsid w:val="000F7EDD"/>
    <w:rsid w:val="001004F3"/>
    <w:rsid w:val="0011093F"/>
    <w:rsid w:val="00111A89"/>
    <w:rsid w:val="001136AE"/>
    <w:rsid w:val="00114E72"/>
    <w:rsid w:val="00115AC3"/>
    <w:rsid w:val="001165C6"/>
    <w:rsid w:val="00120E3E"/>
    <w:rsid w:val="001228AA"/>
    <w:rsid w:val="00122CEF"/>
    <w:rsid w:val="00123AFE"/>
    <w:rsid w:val="00124651"/>
    <w:rsid w:val="00126EA1"/>
    <w:rsid w:val="00130B50"/>
    <w:rsid w:val="00131F20"/>
    <w:rsid w:val="00133DAB"/>
    <w:rsid w:val="001420ED"/>
    <w:rsid w:val="0014480C"/>
    <w:rsid w:val="00146059"/>
    <w:rsid w:val="00151EAD"/>
    <w:rsid w:val="0015219A"/>
    <w:rsid w:val="0015667F"/>
    <w:rsid w:val="00160854"/>
    <w:rsid w:val="00163923"/>
    <w:rsid w:val="00167B9F"/>
    <w:rsid w:val="00170A24"/>
    <w:rsid w:val="001842A7"/>
    <w:rsid w:val="0018593F"/>
    <w:rsid w:val="00186E67"/>
    <w:rsid w:val="00191D26"/>
    <w:rsid w:val="00191DA6"/>
    <w:rsid w:val="00193095"/>
    <w:rsid w:val="00193440"/>
    <w:rsid w:val="001A0861"/>
    <w:rsid w:val="001A1E05"/>
    <w:rsid w:val="001A408E"/>
    <w:rsid w:val="001A7B67"/>
    <w:rsid w:val="001B040F"/>
    <w:rsid w:val="001B2407"/>
    <w:rsid w:val="001B326C"/>
    <w:rsid w:val="001B4EFB"/>
    <w:rsid w:val="001C0064"/>
    <w:rsid w:val="001C0096"/>
    <w:rsid w:val="001C1AF5"/>
    <w:rsid w:val="001C3A6A"/>
    <w:rsid w:val="001C689E"/>
    <w:rsid w:val="001D3314"/>
    <w:rsid w:val="001D3F15"/>
    <w:rsid w:val="001D61DF"/>
    <w:rsid w:val="001D6B39"/>
    <w:rsid w:val="001D74C2"/>
    <w:rsid w:val="001D7BDC"/>
    <w:rsid w:val="001E0396"/>
    <w:rsid w:val="001E0FB9"/>
    <w:rsid w:val="001E1220"/>
    <w:rsid w:val="001E142F"/>
    <w:rsid w:val="001E22E8"/>
    <w:rsid w:val="001E4AB3"/>
    <w:rsid w:val="001E6F1F"/>
    <w:rsid w:val="001E7AB9"/>
    <w:rsid w:val="001F0B7E"/>
    <w:rsid w:val="001F2B2C"/>
    <w:rsid w:val="002021EE"/>
    <w:rsid w:val="00203214"/>
    <w:rsid w:val="00204AF8"/>
    <w:rsid w:val="00210249"/>
    <w:rsid w:val="002214C0"/>
    <w:rsid w:val="00224E5C"/>
    <w:rsid w:val="00225769"/>
    <w:rsid w:val="00227D17"/>
    <w:rsid w:val="0023092F"/>
    <w:rsid w:val="00233872"/>
    <w:rsid w:val="0023688B"/>
    <w:rsid w:val="00237E91"/>
    <w:rsid w:val="002408F5"/>
    <w:rsid w:val="002422B9"/>
    <w:rsid w:val="002429B4"/>
    <w:rsid w:val="0024517C"/>
    <w:rsid w:val="00246614"/>
    <w:rsid w:val="00246C6B"/>
    <w:rsid w:val="0025263E"/>
    <w:rsid w:val="0025304B"/>
    <w:rsid w:val="00253C7F"/>
    <w:rsid w:val="0025539B"/>
    <w:rsid w:val="002557BB"/>
    <w:rsid w:val="00255CE4"/>
    <w:rsid w:val="00256AF4"/>
    <w:rsid w:val="00257724"/>
    <w:rsid w:val="00260393"/>
    <w:rsid w:val="00261DD9"/>
    <w:rsid w:val="00262B07"/>
    <w:rsid w:val="00287284"/>
    <w:rsid w:val="002876B0"/>
    <w:rsid w:val="00291422"/>
    <w:rsid w:val="00292171"/>
    <w:rsid w:val="00292992"/>
    <w:rsid w:val="0029545E"/>
    <w:rsid w:val="002A03ED"/>
    <w:rsid w:val="002A2CAC"/>
    <w:rsid w:val="002A32B8"/>
    <w:rsid w:val="002A5196"/>
    <w:rsid w:val="002B2239"/>
    <w:rsid w:val="002B3E00"/>
    <w:rsid w:val="002B5166"/>
    <w:rsid w:val="002B6C93"/>
    <w:rsid w:val="002C6259"/>
    <w:rsid w:val="002C7803"/>
    <w:rsid w:val="002C7AC7"/>
    <w:rsid w:val="002D4D25"/>
    <w:rsid w:val="002E027B"/>
    <w:rsid w:val="002E11C0"/>
    <w:rsid w:val="002E260E"/>
    <w:rsid w:val="002E315F"/>
    <w:rsid w:val="002E325E"/>
    <w:rsid w:val="002E44A2"/>
    <w:rsid w:val="002E72E6"/>
    <w:rsid w:val="002E776E"/>
    <w:rsid w:val="002E7931"/>
    <w:rsid w:val="002F09B4"/>
    <w:rsid w:val="002F0F8D"/>
    <w:rsid w:val="002F2EC5"/>
    <w:rsid w:val="002F3969"/>
    <w:rsid w:val="002F71D2"/>
    <w:rsid w:val="002F7753"/>
    <w:rsid w:val="00300CEA"/>
    <w:rsid w:val="00304F82"/>
    <w:rsid w:val="003054A7"/>
    <w:rsid w:val="003063F0"/>
    <w:rsid w:val="00306E10"/>
    <w:rsid w:val="0030730B"/>
    <w:rsid w:val="00307B18"/>
    <w:rsid w:val="0031222E"/>
    <w:rsid w:val="0031409D"/>
    <w:rsid w:val="003170B9"/>
    <w:rsid w:val="003259D4"/>
    <w:rsid w:val="00327BD2"/>
    <w:rsid w:val="00330468"/>
    <w:rsid w:val="003332B4"/>
    <w:rsid w:val="00333744"/>
    <w:rsid w:val="00333890"/>
    <w:rsid w:val="0033496A"/>
    <w:rsid w:val="00335EBC"/>
    <w:rsid w:val="00336D3A"/>
    <w:rsid w:val="00337A9C"/>
    <w:rsid w:val="00340105"/>
    <w:rsid w:val="003422E6"/>
    <w:rsid w:val="00342357"/>
    <w:rsid w:val="0035244C"/>
    <w:rsid w:val="0035695B"/>
    <w:rsid w:val="00357A00"/>
    <w:rsid w:val="00364838"/>
    <w:rsid w:val="00364B7A"/>
    <w:rsid w:val="003663FD"/>
    <w:rsid w:val="00367580"/>
    <w:rsid w:val="0037067C"/>
    <w:rsid w:val="00371C07"/>
    <w:rsid w:val="00373551"/>
    <w:rsid w:val="00375D71"/>
    <w:rsid w:val="0038376B"/>
    <w:rsid w:val="00383A15"/>
    <w:rsid w:val="00383EB8"/>
    <w:rsid w:val="003845FD"/>
    <w:rsid w:val="003876B7"/>
    <w:rsid w:val="00387CBD"/>
    <w:rsid w:val="00390A6D"/>
    <w:rsid w:val="00395F1D"/>
    <w:rsid w:val="003A11BC"/>
    <w:rsid w:val="003A562B"/>
    <w:rsid w:val="003A6A2C"/>
    <w:rsid w:val="003A7046"/>
    <w:rsid w:val="003B2388"/>
    <w:rsid w:val="003B299F"/>
    <w:rsid w:val="003C1501"/>
    <w:rsid w:val="003C3AA2"/>
    <w:rsid w:val="003C3F04"/>
    <w:rsid w:val="003C50F3"/>
    <w:rsid w:val="003D1EE1"/>
    <w:rsid w:val="003D54D1"/>
    <w:rsid w:val="003D733B"/>
    <w:rsid w:val="003E4BC5"/>
    <w:rsid w:val="003E55C3"/>
    <w:rsid w:val="003E5671"/>
    <w:rsid w:val="003E616E"/>
    <w:rsid w:val="003E73E8"/>
    <w:rsid w:val="003E7B59"/>
    <w:rsid w:val="003F0494"/>
    <w:rsid w:val="003F064F"/>
    <w:rsid w:val="003F110A"/>
    <w:rsid w:val="003F30A0"/>
    <w:rsid w:val="003F385F"/>
    <w:rsid w:val="003F4994"/>
    <w:rsid w:val="00400607"/>
    <w:rsid w:val="00400716"/>
    <w:rsid w:val="00401DDA"/>
    <w:rsid w:val="004052A5"/>
    <w:rsid w:val="004054E7"/>
    <w:rsid w:val="00405A04"/>
    <w:rsid w:val="00410614"/>
    <w:rsid w:val="0041280E"/>
    <w:rsid w:val="004131E2"/>
    <w:rsid w:val="00416FE6"/>
    <w:rsid w:val="00417D8A"/>
    <w:rsid w:val="00421B2A"/>
    <w:rsid w:val="004224EC"/>
    <w:rsid w:val="00431007"/>
    <w:rsid w:val="004340A8"/>
    <w:rsid w:val="0043522A"/>
    <w:rsid w:val="004353A2"/>
    <w:rsid w:val="00440A12"/>
    <w:rsid w:val="00440EEC"/>
    <w:rsid w:val="00444806"/>
    <w:rsid w:val="00444F53"/>
    <w:rsid w:val="0044726B"/>
    <w:rsid w:val="00450E21"/>
    <w:rsid w:val="004514B8"/>
    <w:rsid w:val="0045166F"/>
    <w:rsid w:val="004522AF"/>
    <w:rsid w:val="00452E62"/>
    <w:rsid w:val="00453422"/>
    <w:rsid w:val="00453C32"/>
    <w:rsid w:val="00456493"/>
    <w:rsid w:val="00463DB9"/>
    <w:rsid w:val="0046531C"/>
    <w:rsid w:val="00466C13"/>
    <w:rsid w:val="00467E9E"/>
    <w:rsid w:val="00470658"/>
    <w:rsid w:val="00472415"/>
    <w:rsid w:val="004724C1"/>
    <w:rsid w:val="00474D33"/>
    <w:rsid w:val="00485CC1"/>
    <w:rsid w:val="00487FF6"/>
    <w:rsid w:val="00490600"/>
    <w:rsid w:val="0049082A"/>
    <w:rsid w:val="00491904"/>
    <w:rsid w:val="00491A8D"/>
    <w:rsid w:val="00495904"/>
    <w:rsid w:val="004959DB"/>
    <w:rsid w:val="00496980"/>
    <w:rsid w:val="00497446"/>
    <w:rsid w:val="004978F4"/>
    <w:rsid w:val="004A220E"/>
    <w:rsid w:val="004A3D27"/>
    <w:rsid w:val="004A5C84"/>
    <w:rsid w:val="004A68BC"/>
    <w:rsid w:val="004B0572"/>
    <w:rsid w:val="004B24B7"/>
    <w:rsid w:val="004B57F1"/>
    <w:rsid w:val="004C4CD5"/>
    <w:rsid w:val="004C797B"/>
    <w:rsid w:val="004D10B6"/>
    <w:rsid w:val="004D2E01"/>
    <w:rsid w:val="004D2E90"/>
    <w:rsid w:val="004D7C18"/>
    <w:rsid w:val="004D7F66"/>
    <w:rsid w:val="004E1510"/>
    <w:rsid w:val="004E197C"/>
    <w:rsid w:val="004E238D"/>
    <w:rsid w:val="004E354F"/>
    <w:rsid w:val="004E3E20"/>
    <w:rsid w:val="004E5F79"/>
    <w:rsid w:val="004E7051"/>
    <w:rsid w:val="004E7912"/>
    <w:rsid w:val="004F19CD"/>
    <w:rsid w:val="004F3A71"/>
    <w:rsid w:val="00500D51"/>
    <w:rsid w:val="0050287D"/>
    <w:rsid w:val="00502E00"/>
    <w:rsid w:val="005035C0"/>
    <w:rsid w:val="00503CF7"/>
    <w:rsid w:val="00504AD6"/>
    <w:rsid w:val="00505B8D"/>
    <w:rsid w:val="00506383"/>
    <w:rsid w:val="00510503"/>
    <w:rsid w:val="00510836"/>
    <w:rsid w:val="00511101"/>
    <w:rsid w:val="0051164D"/>
    <w:rsid w:val="005125B4"/>
    <w:rsid w:val="00513D02"/>
    <w:rsid w:val="005167D7"/>
    <w:rsid w:val="00516975"/>
    <w:rsid w:val="005232AD"/>
    <w:rsid w:val="0052559A"/>
    <w:rsid w:val="00527977"/>
    <w:rsid w:val="00530654"/>
    <w:rsid w:val="0053191F"/>
    <w:rsid w:val="00532275"/>
    <w:rsid w:val="005324BB"/>
    <w:rsid w:val="00535D5B"/>
    <w:rsid w:val="00536041"/>
    <w:rsid w:val="00536342"/>
    <w:rsid w:val="0053705D"/>
    <w:rsid w:val="00540745"/>
    <w:rsid w:val="005411A6"/>
    <w:rsid w:val="0054153F"/>
    <w:rsid w:val="005421B4"/>
    <w:rsid w:val="00543C54"/>
    <w:rsid w:val="00546E07"/>
    <w:rsid w:val="005540FE"/>
    <w:rsid w:val="00556908"/>
    <w:rsid w:val="0056074F"/>
    <w:rsid w:val="0056214C"/>
    <w:rsid w:val="0056235F"/>
    <w:rsid w:val="00562CE0"/>
    <w:rsid w:val="005638CE"/>
    <w:rsid w:val="005655BA"/>
    <w:rsid w:val="005664A8"/>
    <w:rsid w:val="00566EF6"/>
    <w:rsid w:val="0057044F"/>
    <w:rsid w:val="00573FA6"/>
    <w:rsid w:val="005745D8"/>
    <w:rsid w:val="005770F5"/>
    <w:rsid w:val="0058541A"/>
    <w:rsid w:val="00585BE6"/>
    <w:rsid w:val="0059076A"/>
    <w:rsid w:val="00590ADD"/>
    <w:rsid w:val="005923E6"/>
    <w:rsid w:val="00593D66"/>
    <w:rsid w:val="00596AFD"/>
    <w:rsid w:val="005976A8"/>
    <w:rsid w:val="005977EE"/>
    <w:rsid w:val="005A2312"/>
    <w:rsid w:val="005A2E97"/>
    <w:rsid w:val="005A6069"/>
    <w:rsid w:val="005B1C08"/>
    <w:rsid w:val="005C0B4F"/>
    <w:rsid w:val="005C27B3"/>
    <w:rsid w:val="005C2E3E"/>
    <w:rsid w:val="005C6DC0"/>
    <w:rsid w:val="005D2900"/>
    <w:rsid w:val="005D4CF0"/>
    <w:rsid w:val="005E05B1"/>
    <w:rsid w:val="005E2E00"/>
    <w:rsid w:val="005E360C"/>
    <w:rsid w:val="005E48F5"/>
    <w:rsid w:val="005E6D96"/>
    <w:rsid w:val="005F7F75"/>
    <w:rsid w:val="006040D3"/>
    <w:rsid w:val="006100CA"/>
    <w:rsid w:val="006103B9"/>
    <w:rsid w:val="00612E37"/>
    <w:rsid w:val="0061477A"/>
    <w:rsid w:val="006234D0"/>
    <w:rsid w:val="00624CC7"/>
    <w:rsid w:val="0062520D"/>
    <w:rsid w:val="00625CCC"/>
    <w:rsid w:val="0063103D"/>
    <w:rsid w:val="00631356"/>
    <w:rsid w:val="00631DE1"/>
    <w:rsid w:val="006321DA"/>
    <w:rsid w:val="00636070"/>
    <w:rsid w:val="00655125"/>
    <w:rsid w:val="00665ACE"/>
    <w:rsid w:val="00665F28"/>
    <w:rsid w:val="006723BA"/>
    <w:rsid w:val="006724D1"/>
    <w:rsid w:val="00672CE3"/>
    <w:rsid w:val="00674505"/>
    <w:rsid w:val="00676439"/>
    <w:rsid w:val="00677CCE"/>
    <w:rsid w:val="00677D06"/>
    <w:rsid w:val="006858F8"/>
    <w:rsid w:val="00685E1C"/>
    <w:rsid w:val="00686415"/>
    <w:rsid w:val="00690650"/>
    <w:rsid w:val="00695E73"/>
    <w:rsid w:val="00697AB6"/>
    <w:rsid w:val="00697C45"/>
    <w:rsid w:val="006A185F"/>
    <w:rsid w:val="006A30C0"/>
    <w:rsid w:val="006A32F9"/>
    <w:rsid w:val="006A63D2"/>
    <w:rsid w:val="006A6E28"/>
    <w:rsid w:val="006B01F1"/>
    <w:rsid w:val="006B21DF"/>
    <w:rsid w:val="006B3B6C"/>
    <w:rsid w:val="006B6BA9"/>
    <w:rsid w:val="006C074E"/>
    <w:rsid w:val="006C22A8"/>
    <w:rsid w:val="006C2789"/>
    <w:rsid w:val="006C433E"/>
    <w:rsid w:val="006C5BEE"/>
    <w:rsid w:val="006C7A10"/>
    <w:rsid w:val="006C7CBD"/>
    <w:rsid w:val="006D13DC"/>
    <w:rsid w:val="006D23BD"/>
    <w:rsid w:val="006D3D9E"/>
    <w:rsid w:val="006D41CA"/>
    <w:rsid w:val="006D4A30"/>
    <w:rsid w:val="006D671E"/>
    <w:rsid w:val="006D67AC"/>
    <w:rsid w:val="006D7D0D"/>
    <w:rsid w:val="006E20FE"/>
    <w:rsid w:val="006E27BF"/>
    <w:rsid w:val="006E2E39"/>
    <w:rsid w:val="006E458D"/>
    <w:rsid w:val="006E4E0E"/>
    <w:rsid w:val="006E50F9"/>
    <w:rsid w:val="006E5705"/>
    <w:rsid w:val="006F0E9F"/>
    <w:rsid w:val="006F143A"/>
    <w:rsid w:val="006F4326"/>
    <w:rsid w:val="006F4D5A"/>
    <w:rsid w:val="006F7144"/>
    <w:rsid w:val="00702945"/>
    <w:rsid w:val="00705BFB"/>
    <w:rsid w:val="007063DD"/>
    <w:rsid w:val="00711C8F"/>
    <w:rsid w:val="00715C4D"/>
    <w:rsid w:val="00720C34"/>
    <w:rsid w:val="00722282"/>
    <w:rsid w:val="00725B8A"/>
    <w:rsid w:val="00726E8F"/>
    <w:rsid w:val="007272D0"/>
    <w:rsid w:val="007339E6"/>
    <w:rsid w:val="007345CC"/>
    <w:rsid w:val="0073561A"/>
    <w:rsid w:val="007359EE"/>
    <w:rsid w:val="007424BF"/>
    <w:rsid w:val="0074427E"/>
    <w:rsid w:val="00750084"/>
    <w:rsid w:val="00750382"/>
    <w:rsid w:val="0076043F"/>
    <w:rsid w:val="00762AF4"/>
    <w:rsid w:val="00763B39"/>
    <w:rsid w:val="0076549E"/>
    <w:rsid w:val="007659EE"/>
    <w:rsid w:val="007738E2"/>
    <w:rsid w:val="00776609"/>
    <w:rsid w:val="0078110A"/>
    <w:rsid w:val="0078138E"/>
    <w:rsid w:val="007826AF"/>
    <w:rsid w:val="00784682"/>
    <w:rsid w:val="00785491"/>
    <w:rsid w:val="00790332"/>
    <w:rsid w:val="00793580"/>
    <w:rsid w:val="00794265"/>
    <w:rsid w:val="007960EE"/>
    <w:rsid w:val="007A01CC"/>
    <w:rsid w:val="007A502E"/>
    <w:rsid w:val="007B0487"/>
    <w:rsid w:val="007B1C1B"/>
    <w:rsid w:val="007B7160"/>
    <w:rsid w:val="007B73C1"/>
    <w:rsid w:val="007C089D"/>
    <w:rsid w:val="007C1E9A"/>
    <w:rsid w:val="007C387F"/>
    <w:rsid w:val="007C5A3F"/>
    <w:rsid w:val="007D07D7"/>
    <w:rsid w:val="007D18E5"/>
    <w:rsid w:val="007D2EC6"/>
    <w:rsid w:val="007D5BD5"/>
    <w:rsid w:val="007D5C06"/>
    <w:rsid w:val="007D7CBD"/>
    <w:rsid w:val="007E4320"/>
    <w:rsid w:val="007E74F5"/>
    <w:rsid w:val="007F1D92"/>
    <w:rsid w:val="007F220A"/>
    <w:rsid w:val="007F221F"/>
    <w:rsid w:val="007F2EE8"/>
    <w:rsid w:val="007F3365"/>
    <w:rsid w:val="007F7293"/>
    <w:rsid w:val="00802B92"/>
    <w:rsid w:val="00803D31"/>
    <w:rsid w:val="00807E2F"/>
    <w:rsid w:val="008115A6"/>
    <w:rsid w:val="00815FFC"/>
    <w:rsid w:val="00822BC0"/>
    <w:rsid w:val="00822D8A"/>
    <w:rsid w:val="00823CC5"/>
    <w:rsid w:val="00832925"/>
    <w:rsid w:val="0083327D"/>
    <w:rsid w:val="008341B8"/>
    <w:rsid w:val="0083501C"/>
    <w:rsid w:val="00835942"/>
    <w:rsid w:val="008363F3"/>
    <w:rsid w:val="00843190"/>
    <w:rsid w:val="00843696"/>
    <w:rsid w:val="00843F06"/>
    <w:rsid w:val="008466B4"/>
    <w:rsid w:val="00847389"/>
    <w:rsid w:val="00852C29"/>
    <w:rsid w:val="00855A06"/>
    <w:rsid w:val="00856321"/>
    <w:rsid w:val="00857E31"/>
    <w:rsid w:val="008604DA"/>
    <w:rsid w:val="00860725"/>
    <w:rsid w:val="008614B1"/>
    <w:rsid w:val="00861F2D"/>
    <w:rsid w:val="0086441C"/>
    <w:rsid w:val="008662E4"/>
    <w:rsid w:val="00875766"/>
    <w:rsid w:val="008757E2"/>
    <w:rsid w:val="0087653C"/>
    <w:rsid w:val="00876D74"/>
    <w:rsid w:val="00877021"/>
    <w:rsid w:val="00877798"/>
    <w:rsid w:val="0088071B"/>
    <w:rsid w:val="00881BF9"/>
    <w:rsid w:val="00882D8F"/>
    <w:rsid w:val="008837F2"/>
    <w:rsid w:val="0088547E"/>
    <w:rsid w:val="0088624E"/>
    <w:rsid w:val="00890F8A"/>
    <w:rsid w:val="008916E6"/>
    <w:rsid w:val="00892653"/>
    <w:rsid w:val="00892C5E"/>
    <w:rsid w:val="0089583D"/>
    <w:rsid w:val="008A077C"/>
    <w:rsid w:val="008A0D75"/>
    <w:rsid w:val="008A2F8A"/>
    <w:rsid w:val="008A5325"/>
    <w:rsid w:val="008A68FC"/>
    <w:rsid w:val="008A7C58"/>
    <w:rsid w:val="008B4189"/>
    <w:rsid w:val="008C131E"/>
    <w:rsid w:val="008C2165"/>
    <w:rsid w:val="008D3880"/>
    <w:rsid w:val="008E0106"/>
    <w:rsid w:val="008E33E8"/>
    <w:rsid w:val="008E71D9"/>
    <w:rsid w:val="008E7D22"/>
    <w:rsid w:val="008F6491"/>
    <w:rsid w:val="008F7410"/>
    <w:rsid w:val="00903A7D"/>
    <w:rsid w:val="009051E0"/>
    <w:rsid w:val="0090615F"/>
    <w:rsid w:val="00910375"/>
    <w:rsid w:val="00914173"/>
    <w:rsid w:val="00914DE0"/>
    <w:rsid w:val="00920B6A"/>
    <w:rsid w:val="0092100C"/>
    <w:rsid w:val="0092147D"/>
    <w:rsid w:val="009227BE"/>
    <w:rsid w:val="00922C8E"/>
    <w:rsid w:val="00932B94"/>
    <w:rsid w:val="00936C1C"/>
    <w:rsid w:val="009412C9"/>
    <w:rsid w:val="0094174E"/>
    <w:rsid w:val="00942378"/>
    <w:rsid w:val="009426B7"/>
    <w:rsid w:val="009442D4"/>
    <w:rsid w:val="009456B5"/>
    <w:rsid w:val="009457EF"/>
    <w:rsid w:val="00947E06"/>
    <w:rsid w:val="0095006D"/>
    <w:rsid w:val="00952DB2"/>
    <w:rsid w:val="00952E4E"/>
    <w:rsid w:val="00960A8B"/>
    <w:rsid w:val="00960DB0"/>
    <w:rsid w:val="009666A3"/>
    <w:rsid w:val="00970FC3"/>
    <w:rsid w:val="00974F97"/>
    <w:rsid w:val="009754B0"/>
    <w:rsid w:val="0097604B"/>
    <w:rsid w:val="009764EF"/>
    <w:rsid w:val="00980AEA"/>
    <w:rsid w:val="0098159F"/>
    <w:rsid w:val="00981F0A"/>
    <w:rsid w:val="00982976"/>
    <w:rsid w:val="00982B37"/>
    <w:rsid w:val="0098451A"/>
    <w:rsid w:val="009857C9"/>
    <w:rsid w:val="00990342"/>
    <w:rsid w:val="0099318C"/>
    <w:rsid w:val="00997E81"/>
    <w:rsid w:val="00997EC6"/>
    <w:rsid w:val="009A169E"/>
    <w:rsid w:val="009A3338"/>
    <w:rsid w:val="009A3716"/>
    <w:rsid w:val="009A45BA"/>
    <w:rsid w:val="009A6744"/>
    <w:rsid w:val="009B542F"/>
    <w:rsid w:val="009C0207"/>
    <w:rsid w:val="009C1EBB"/>
    <w:rsid w:val="009C5290"/>
    <w:rsid w:val="009D0DF7"/>
    <w:rsid w:val="009D65BF"/>
    <w:rsid w:val="009D7E51"/>
    <w:rsid w:val="009E084F"/>
    <w:rsid w:val="009E2A0C"/>
    <w:rsid w:val="009E5096"/>
    <w:rsid w:val="009F15DF"/>
    <w:rsid w:val="009F3384"/>
    <w:rsid w:val="009F3C65"/>
    <w:rsid w:val="009F6FAB"/>
    <w:rsid w:val="009F7A39"/>
    <w:rsid w:val="00A00EDD"/>
    <w:rsid w:val="00A01888"/>
    <w:rsid w:val="00A027E9"/>
    <w:rsid w:val="00A079F1"/>
    <w:rsid w:val="00A07AB5"/>
    <w:rsid w:val="00A11F2E"/>
    <w:rsid w:val="00A1220A"/>
    <w:rsid w:val="00A1288E"/>
    <w:rsid w:val="00A16D9B"/>
    <w:rsid w:val="00A2017F"/>
    <w:rsid w:val="00A2108D"/>
    <w:rsid w:val="00A2196C"/>
    <w:rsid w:val="00A2294B"/>
    <w:rsid w:val="00A237CB"/>
    <w:rsid w:val="00A27453"/>
    <w:rsid w:val="00A276DC"/>
    <w:rsid w:val="00A30556"/>
    <w:rsid w:val="00A33045"/>
    <w:rsid w:val="00A36E7B"/>
    <w:rsid w:val="00A429F3"/>
    <w:rsid w:val="00A4751F"/>
    <w:rsid w:val="00A47D70"/>
    <w:rsid w:val="00A5023D"/>
    <w:rsid w:val="00A51443"/>
    <w:rsid w:val="00A51748"/>
    <w:rsid w:val="00A52E8B"/>
    <w:rsid w:val="00A53C67"/>
    <w:rsid w:val="00A54294"/>
    <w:rsid w:val="00A54DEB"/>
    <w:rsid w:val="00A575D7"/>
    <w:rsid w:val="00A60C66"/>
    <w:rsid w:val="00A63917"/>
    <w:rsid w:val="00A6413A"/>
    <w:rsid w:val="00A64491"/>
    <w:rsid w:val="00A644A7"/>
    <w:rsid w:val="00A673C4"/>
    <w:rsid w:val="00A72F2B"/>
    <w:rsid w:val="00A732FD"/>
    <w:rsid w:val="00A73668"/>
    <w:rsid w:val="00A7455C"/>
    <w:rsid w:val="00A755AD"/>
    <w:rsid w:val="00A829E4"/>
    <w:rsid w:val="00A8663F"/>
    <w:rsid w:val="00A87647"/>
    <w:rsid w:val="00A87796"/>
    <w:rsid w:val="00A87E07"/>
    <w:rsid w:val="00A92A48"/>
    <w:rsid w:val="00A94E62"/>
    <w:rsid w:val="00AA7178"/>
    <w:rsid w:val="00AA7F6B"/>
    <w:rsid w:val="00AB1545"/>
    <w:rsid w:val="00AB1B83"/>
    <w:rsid w:val="00AB33B8"/>
    <w:rsid w:val="00AB671B"/>
    <w:rsid w:val="00AC071F"/>
    <w:rsid w:val="00AC2346"/>
    <w:rsid w:val="00AC2A93"/>
    <w:rsid w:val="00AC6976"/>
    <w:rsid w:val="00AC7D38"/>
    <w:rsid w:val="00AD09D0"/>
    <w:rsid w:val="00AD5689"/>
    <w:rsid w:val="00AD6603"/>
    <w:rsid w:val="00AD6F2E"/>
    <w:rsid w:val="00AD75D3"/>
    <w:rsid w:val="00AE0355"/>
    <w:rsid w:val="00AE151E"/>
    <w:rsid w:val="00AE3B4B"/>
    <w:rsid w:val="00AE4EA6"/>
    <w:rsid w:val="00AE561E"/>
    <w:rsid w:val="00AE7567"/>
    <w:rsid w:val="00AF31F8"/>
    <w:rsid w:val="00B01951"/>
    <w:rsid w:val="00B02804"/>
    <w:rsid w:val="00B02811"/>
    <w:rsid w:val="00B03865"/>
    <w:rsid w:val="00B04D63"/>
    <w:rsid w:val="00B0781E"/>
    <w:rsid w:val="00B07FF6"/>
    <w:rsid w:val="00B10A1C"/>
    <w:rsid w:val="00B136EE"/>
    <w:rsid w:val="00B16113"/>
    <w:rsid w:val="00B1643E"/>
    <w:rsid w:val="00B1762D"/>
    <w:rsid w:val="00B17BC7"/>
    <w:rsid w:val="00B17ED8"/>
    <w:rsid w:val="00B22FE3"/>
    <w:rsid w:val="00B261CE"/>
    <w:rsid w:val="00B26D89"/>
    <w:rsid w:val="00B32478"/>
    <w:rsid w:val="00B32769"/>
    <w:rsid w:val="00B33BE8"/>
    <w:rsid w:val="00B35497"/>
    <w:rsid w:val="00B35C14"/>
    <w:rsid w:val="00B41837"/>
    <w:rsid w:val="00B42B23"/>
    <w:rsid w:val="00B42DE0"/>
    <w:rsid w:val="00B50033"/>
    <w:rsid w:val="00B506C1"/>
    <w:rsid w:val="00B50E7A"/>
    <w:rsid w:val="00B53D06"/>
    <w:rsid w:val="00B54941"/>
    <w:rsid w:val="00B57561"/>
    <w:rsid w:val="00B57B51"/>
    <w:rsid w:val="00B60BF4"/>
    <w:rsid w:val="00B614CE"/>
    <w:rsid w:val="00B625B2"/>
    <w:rsid w:val="00B6380A"/>
    <w:rsid w:val="00B64309"/>
    <w:rsid w:val="00B64CD0"/>
    <w:rsid w:val="00B6747E"/>
    <w:rsid w:val="00B73A22"/>
    <w:rsid w:val="00B740E9"/>
    <w:rsid w:val="00B74C85"/>
    <w:rsid w:val="00B81430"/>
    <w:rsid w:val="00B82897"/>
    <w:rsid w:val="00B84211"/>
    <w:rsid w:val="00B9366C"/>
    <w:rsid w:val="00B96CF5"/>
    <w:rsid w:val="00B97A0A"/>
    <w:rsid w:val="00B97BE5"/>
    <w:rsid w:val="00BA1DC9"/>
    <w:rsid w:val="00BA3488"/>
    <w:rsid w:val="00BA58BD"/>
    <w:rsid w:val="00BA6DDD"/>
    <w:rsid w:val="00BB0977"/>
    <w:rsid w:val="00BB3358"/>
    <w:rsid w:val="00BB43C5"/>
    <w:rsid w:val="00BB6776"/>
    <w:rsid w:val="00BC023B"/>
    <w:rsid w:val="00BC3C1B"/>
    <w:rsid w:val="00BC6217"/>
    <w:rsid w:val="00BD049E"/>
    <w:rsid w:val="00BD1D62"/>
    <w:rsid w:val="00BD257F"/>
    <w:rsid w:val="00BD27A3"/>
    <w:rsid w:val="00BD2BDA"/>
    <w:rsid w:val="00BD5472"/>
    <w:rsid w:val="00BE48F2"/>
    <w:rsid w:val="00BE512A"/>
    <w:rsid w:val="00BE7EED"/>
    <w:rsid w:val="00BF3216"/>
    <w:rsid w:val="00BF4184"/>
    <w:rsid w:val="00BF4262"/>
    <w:rsid w:val="00BF6E05"/>
    <w:rsid w:val="00C01AF7"/>
    <w:rsid w:val="00C01B37"/>
    <w:rsid w:val="00C02832"/>
    <w:rsid w:val="00C048CF"/>
    <w:rsid w:val="00C053A9"/>
    <w:rsid w:val="00C0610B"/>
    <w:rsid w:val="00C06B86"/>
    <w:rsid w:val="00C131CC"/>
    <w:rsid w:val="00C142E3"/>
    <w:rsid w:val="00C14A31"/>
    <w:rsid w:val="00C14A78"/>
    <w:rsid w:val="00C15C17"/>
    <w:rsid w:val="00C17D50"/>
    <w:rsid w:val="00C17EF7"/>
    <w:rsid w:val="00C22D48"/>
    <w:rsid w:val="00C23A0C"/>
    <w:rsid w:val="00C24FD7"/>
    <w:rsid w:val="00C257D3"/>
    <w:rsid w:val="00C3520D"/>
    <w:rsid w:val="00C3727B"/>
    <w:rsid w:val="00C418B3"/>
    <w:rsid w:val="00C420D4"/>
    <w:rsid w:val="00C42A42"/>
    <w:rsid w:val="00C47C1F"/>
    <w:rsid w:val="00C5201B"/>
    <w:rsid w:val="00C537DB"/>
    <w:rsid w:val="00C53831"/>
    <w:rsid w:val="00C53D16"/>
    <w:rsid w:val="00C57063"/>
    <w:rsid w:val="00C61064"/>
    <w:rsid w:val="00C623C5"/>
    <w:rsid w:val="00C644F0"/>
    <w:rsid w:val="00C655D1"/>
    <w:rsid w:val="00C658D3"/>
    <w:rsid w:val="00C7189D"/>
    <w:rsid w:val="00C72B31"/>
    <w:rsid w:val="00C731CC"/>
    <w:rsid w:val="00C760BE"/>
    <w:rsid w:val="00C80C26"/>
    <w:rsid w:val="00C8460D"/>
    <w:rsid w:val="00C875AD"/>
    <w:rsid w:val="00C93377"/>
    <w:rsid w:val="00C93BEA"/>
    <w:rsid w:val="00C94214"/>
    <w:rsid w:val="00C957EF"/>
    <w:rsid w:val="00C97EAC"/>
    <w:rsid w:val="00CA16C1"/>
    <w:rsid w:val="00CA1AA4"/>
    <w:rsid w:val="00CA1CB3"/>
    <w:rsid w:val="00CA40FC"/>
    <w:rsid w:val="00CA4605"/>
    <w:rsid w:val="00CA6C0E"/>
    <w:rsid w:val="00CA7F35"/>
    <w:rsid w:val="00CB047B"/>
    <w:rsid w:val="00CB0A04"/>
    <w:rsid w:val="00CB165E"/>
    <w:rsid w:val="00CC1EB2"/>
    <w:rsid w:val="00CC2C21"/>
    <w:rsid w:val="00CD0972"/>
    <w:rsid w:val="00CD0997"/>
    <w:rsid w:val="00CD0D8A"/>
    <w:rsid w:val="00CD3914"/>
    <w:rsid w:val="00CD4AFF"/>
    <w:rsid w:val="00CD5592"/>
    <w:rsid w:val="00CD5B16"/>
    <w:rsid w:val="00CD60C5"/>
    <w:rsid w:val="00CE002E"/>
    <w:rsid w:val="00CE38DD"/>
    <w:rsid w:val="00CE4803"/>
    <w:rsid w:val="00CE5B60"/>
    <w:rsid w:val="00CF135B"/>
    <w:rsid w:val="00CF7742"/>
    <w:rsid w:val="00CF7AA5"/>
    <w:rsid w:val="00D0133D"/>
    <w:rsid w:val="00D01E97"/>
    <w:rsid w:val="00D03EFF"/>
    <w:rsid w:val="00D053D2"/>
    <w:rsid w:val="00D070DD"/>
    <w:rsid w:val="00D07C15"/>
    <w:rsid w:val="00D10D87"/>
    <w:rsid w:val="00D11E13"/>
    <w:rsid w:val="00D1300D"/>
    <w:rsid w:val="00D13AFF"/>
    <w:rsid w:val="00D155F4"/>
    <w:rsid w:val="00D15A5D"/>
    <w:rsid w:val="00D21F3D"/>
    <w:rsid w:val="00D27E69"/>
    <w:rsid w:val="00D31AA3"/>
    <w:rsid w:val="00D33658"/>
    <w:rsid w:val="00D33B2F"/>
    <w:rsid w:val="00D33C4B"/>
    <w:rsid w:val="00D33D54"/>
    <w:rsid w:val="00D33FFA"/>
    <w:rsid w:val="00D35DB0"/>
    <w:rsid w:val="00D36BCC"/>
    <w:rsid w:val="00D40CF3"/>
    <w:rsid w:val="00D412F2"/>
    <w:rsid w:val="00D41543"/>
    <w:rsid w:val="00D46C15"/>
    <w:rsid w:val="00D47A5B"/>
    <w:rsid w:val="00D50B50"/>
    <w:rsid w:val="00D61780"/>
    <w:rsid w:val="00D70ECD"/>
    <w:rsid w:val="00D70FA9"/>
    <w:rsid w:val="00D71351"/>
    <w:rsid w:val="00D719C4"/>
    <w:rsid w:val="00D7532D"/>
    <w:rsid w:val="00D763C3"/>
    <w:rsid w:val="00D770AF"/>
    <w:rsid w:val="00D77C09"/>
    <w:rsid w:val="00D80F66"/>
    <w:rsid w:val="00D81A1C"/>
    <w:rsid w:val="00D8228B"/>
    <w:rsid w:val="00D83287"/>
    <w:rsid w:val="00D84370"/>
    <w:rsid w:val="00D8449B"/>
    <w:rsid w:val="00D844F2"/>
    <w:rsid w:val="00DA11A3"/>
    <w:rsid w:val="00DA34DE"/>
    <w:rsid w:val="00DA3999"/>
    <w:rsid w:val="00DA6AEF"/>
    <w:rsid w:val="00DB0034"/>
    <w:rsid w:val="00DB0679"/>
    <w:rsid w:val="00DB47AF"/>
    <w:rsid w:val="00DB5F3C"/>
    <w:rsid w:val="00DB6D96"/>
    <w:rsid w:val="00DC02EB"/>
    <w:rsid w:val="00DC044D"/>
    <w:rsid w:val="00DC495C"/>
    <w:rsid w:val="00DC5D3D"/>
    <w:rsid w:val="00DC7865"/>
    <w:rsid w:val="00DD1ADA"/>
    <w:rsid w:val="00DE26D4"/>
    <w:rsid w:val="00DE4289"/>
    <w:rsid w:val="00DE5D86"/>
    <w:rsid w:val="00DE6423"/>
    <w:rsid w:val="00DF2932"/>
    <w:rsid w:val="00DF328B"/>
    <w:rsid w:val="00DF3A1B"/>
    <w:rsid w:val="00DF662B"/>
    <w:rsid w:val="00E0142A"/>
    <w:rsid w:val="00E02439"/>
    <w:rsid w:val="00E1060E"/>
    <w:rsid w:val="00E10C5E"/>
    <w:rsid w:val="00E14634"/>
    <w:rsid w:val="00E14E88"/>
    <w:rsid w:val="00E15755"/>
    <w:rsid w:val="00E1678C"/>
    <w:rsid w:val="00E16A7A"/>
    <w:rsid w:val="00E30785"/>
    <w:rsid w:val="00E30828"/>
    <w:rsid w:val="00E33ECA"/>
    <w:rsid w:val="00E3437A"/>
    <w:rsid w:val="00E34623"/>
    <w:rsid w:val="00E40120"/>
    <w:rsid w:val="00E40DEC"/>
    <w:rsid w:val="00E421FE"/>
    <w:rsid w:val="00E43464"/>
    <w:rsid w:val="00E4508F"/>
    <w:rsid w:val="00E47C91"/>
    <w:rsid w:val="00E509BB"/>
    <w:rsid w:val="00E50AA9"/>
    <w:rsid w:val="00E50AAA"/>
    <w:rsid w:val="00E53FD0"/>
    <w:rsid w:val="00E55395"/>
    <w:rsid w:val="00E60333"/>
    <w:rsid w:val="00E625F0"/>
    <w:rsid w:val="00E647D0"/>
    <w:rsid w:val="00E648DE"/>
    <w:rsid w:val="00E70D2F"/>
    <w:rsid w:val="00E72C45"/>
    <w:rsid w:val="00E73E32"/>
    <w:rsid w:val="00E77144"/>
    <w:rsid w:val="00E772A7"/>
    <w:rsid w:val="00E82D00"/>
    <w:rsid w:val="00E84793"/>
    <w:rsid w:val="00E84C60"/>
    <w:rsid w:val="00E91BEA"/>
    <w:rsid w:val="00E9734D"/>
    <w:rsid w:val="00EA34A2"/>
    <w:rsid w:val="00EA4FAB"/>
    <w:rsid w:val="00EA5FBC"/>
    <w:rsid w:val="00EC04BE"/>
    <w:rsid w:val="00EC0F57"/>
    <w:rsid w:val="00EC25B6"/>
    <w:rsid w:val="00EC50B9"/>
    <w:rsid w:val="00ED032B"/>
    <w:rsid w:val="00ED3901"/>
    <w:rsid w:val="00ED3967"/>
    <w:rsid w:val="00ED54A8"/>
    <w:rsid w:val="00EE0A70"/>
    <w:rsid w:val="00EE26BB"/>
    <w:rsid w:val="00EF206D"/>
    <w:rsid w:val="00EF644B"/>
    <w:rsid w:val="00F00F46"/>
    <w:rsid w:val="00F01205"/>
    <w:rsid w:val="00F01678"/>
    <w:rsid w:val="00F0374D"/>
    <w:rsid w:val="00F044C7"/>
    <w:rsid w:val="00F05931"/>
    <w:rsid w:val="00F077C1"/>
    <w:rsid w:val="00F07A08"/>
    <w:rsid w:val="00F11517"/>
    <w:rsid w:val="00F13BF3"/>
    <w:rsid w:val="00F13E07"/>
    <w:rsid w:val="00F21ECB"/>
    <w:rsid w:val="00F26A38"/>
    <w:rsid w:val="00F26C85"/>
    <w:rsid w:val="00F342B4"/>
    <w:rsid w:val="00F37A3A"/>
    <w:rsid w:val="00F40055"/>
    <w:rsid w:val="00F43CDD"/>
    <w:rsid w:val="00F46B33"/>
    <w:rsid w:val="00F5135A"/>
    <w:rsid w:val="00F515BD"/>
    <w:rsid w:val="00F52760"/>
    <w:rsid w:val="00F54417"/>
    <w:rsid w:val="00F54695"/>
    <w:rsid w:val="00F54E6A"/>
    <w:rsid w:val="00F5534F"/>
    <w:rsid w:val="00F554C2"/>
    <w:rsid w:val="00F5591A"/>
    <w:rsid w:val="00F618CA"/>
    <w:rsid w:val="00F63C83"/>
    <w:rsid w:val="00F63DF0"/>
    <w:rsid w:val="00F70E25"/>
    <w:rsid w:val="00F71C27"/>
    <w:rsid w:val="00F73BE7"/>
    <w:rsid w:val="00F77D92"/>
    <w:rsid w:val="00F80E0D"/>
    <w:rsid w:val="00F811D3"/>
    <w:rsid w:val="00F8186C"/>
    <w:rsid w:val="00F827BD"/>
    <w:rsid w:val="00F83FF2"/>
    <w:rsid w:val="00F873FC"/>
    <w:rsid w:val="00F910DE"/>
    <w:rsid w:val="00F9181B"/>
    <w:rsid w:val="00F93F71"/>
    <w:rsid w:val="00F94CBE"/>
    <w:rsid w:val="00F951DD"/>
    <w:rsid w:val="00FA0D7D"/>
    <w:rsid w:val="00FA2ABC"/>
    <w:rsid w:val="00FA3B01"/>
    <w:rsid w:val="00FA45E8"/>
    <w:rsid w:val="00FB1051"/>
    <w:rsid w:val="00FB243A"/>
    <w:rsid w:val="00FB2CAA"/>
    <w:rsid w:val="00FB503B"/>
    <w:rsid w:val="00FB5476"/>
    <w:rsid w:val="00FC18A4"/>
    <w:rsid w:val="00FC6305"/>
    <w:rsid w:val="00FD10BF"/>
    <w:rsid w:val="00FD23E7"/>
    <w:rsid w:val="00FD36F2"/>
    <w:rsid w:val="00FD46F4"/>
    <w:rsid w:val="00FD7814"/>
    <w:rsid w:val="00FE5B23"/>
    <w:rsid w:val="00FE6E86"/>
    <w:rsid w:val="00FF31C3"/>
    <w:rsid w:val="00FF339D"/>
    <w:rsid w:val="00FF7B6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CF9E7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E8"/>
    <w:pPr>
      <w:widowControl w:val="0"/>
      <w:suppressAutoHyphens/>
    </w:pPr>
    <w:rPr>
      <w:kern w:val="1"/>
      <w:sz w:val="24"/>
      <w:szCs w:val="24"/>
      <w:lang w:val="bg-BG"/>
    </w:rPr>
  </w:style>
  <w:style w:type="paragraph" w:styleId="Heading1">
    <w:name w:val="heading 1"/>
    <w:basedOn w:val="Normal"/>
    <w:next w:val="Normal"/>
    <w:link w:val="Heading1Char"/>
    <w:uiPriority w:val="9"/>
    <w:qFormat/>
    <w:rsid w:val="005976A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6A30C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014851"/>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2E793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6A30C0"/>
    <w:rPr>
      <w:rFonts w:ascii="Cambria" w:hAnsi="Cambria" w:cs="Times New Roman"/>
      <w:b/>
      <w:i/>
      <w:kern w:val="1"/>
      <w:sz w:val="28"/>
      <w:lang w:val="bg-BG"/>
    </w:rPr>
  </w:style>
  <w:style w:type="character" w:customStyle="1" w:styleId="Heading3Char">
    <w:name w:val="Heading 3 Char"/>
    <w:basedOn w:val="DefaultParagraphFont"/>
    <w:link w:val="Heading3"/>
    <w:uiPriority w:val="9"/>
    <w:semiHidden/>
    <w:locked/>
    <w:rsid w:val="00014851"/>
    <w:rPr>
      <w:rFonts w:ascii="Cambria" w:hAnsi="Cambria" w:cs="Times New Roman"/>
      <w:b/>
      <w:kern w:val="1"/>
      <w:sz w:val="26"/>
      <w:lang w:val="bg-BG"/>
    </w:rPr>
  </w:style>
  <w:style w:type="character" w:customStyle="1" w:styleId="WW8Num3z0">
    <w:name w:val="WW8Num3z0"/>
    <w:rPr>
      <w:rFonts w:ascii="Symbol" w:hAnsi="Symbol"/>
    </w:rPr>
  </w:style>
  <w:style w:type="character" w:customStyle="1" w:styleId="Heading1Char">
    <w:name w:val="Heading 1 Char"/>
    <w:basedOn w:val="DefaultParagraphFont"/>
    <w:link w:val="Heading1"/>
    <w:uiPriority w:val="9"/>
    <w:locked/>
    <w:rsid w:val="005976A8"/>
    <w:rPr>
      <w:rFonts w:ascii="Cambria" w:hAnsi="Cambria" w:cs="Times New Roman"/>
      <w:b/>
      <w:kern w:val="32"/>
      <w:sz w:val="32"/>
      <w:lang w:val="bg-BG"/>
    </w:rPr>
  </w:style>
  <w:style w:type="character" w:customStyle="1" w:styleId="WW8Num3z1">
    <w:name w:val="WW8Num3z1"/>
    <w:rPr>
      <w:rFonts w:ascii="OpenSymbol" w:eastAsia="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uiPriority w:val="99"/>
    <w:pPr>
      <w:spacing w:after="120"/>
    </w:pPr>
  </w:style>
  <w:style w:type="paragraph" w:styleId="Caption">
    <w:name w:val="caption"/>
    <w:basedOn w:val="Normal"/>
    <w:uiPriority w:val="35"/>
    <w:pPr>
      <w:suppressLineNumbers/>
      <w:spacing w:before="120" w:after="120"/>
    </w:pPr>
    <w:rPr>
      <w:rFonts w:cs="Tahoma"/>
      <w:i/>
      <w:iCs/>
    </w:rPr>
  </w:style>
  <w:style w:type="character" w:customStyle="1" w:styleId="BodyTextChar">
    <w:name w:val="Body Text Char"/>
    <w:basedOn w:val="DefaultParagraphFont"/>
    <w:link w:val="BodyText"/>
    <w:uiPriority w:val="99"/>
    <w:locked/>
    <w:rPr>
      <w:rFonts w:cs="Times New Roman"/>
      <w:kern w:val="1"/>
      <w:sz w:val="24"/>
      <w:lang w:val="x-none"/>
    </w:rPr>
  </w:style>
  <w:style w:type="paragraph" w:styleId="List">
    <w:name w:val="List"/>
    <w:basedOn w:val="BodyText"/>
    <w:uiPriority w:val="99"/>
    <w:rPr>
      <w:rFonts w:cs="Tahoma"/>
    </w:rPr>
  </w:style>
  <w:style w:type="paragraph" w:customStyle="1" w:styleId="Index">
    <w:name w:val="Index"/>
    <w:basedOn w:val="Normal"/>
    <w:pPr>
      <w:suppressLineNumbers/>
    </w:pPr>
    <w:rPr>
      <w:rFonts w:cs="Tahoma"/>
    </w:rPr>
  </w:style>
  <w:style w:type="paragraph" w:styleId="FootnoteText">
    <w:name w:val="footnote text"/>
    <w:basedOn w:val="Normal"/>
    <w:link w:val="FootnoteTextChar"/>
    <w:uiPriority w:val="99"/>
    <w:unhideWhenUsed/>
    <w:rsid w:val="00672CE3"/>
    <w:rPr>
      <w:sz w:val="20"/>
      <w:szCs w:val="20"/>
    </w:rPr>
  </w:style>
  <w:style w:type="paragraph" w:styleId="Header">
    <w:name w:val="header"/>
    <w:basedOn w:val="Normal"/>
    <w:link w:val="HeaderChar"/>
    <w:uiPriority w:val="99"/>
    <w:rsid w:val="00F618CA"/>
    <w:pPr>
      <w:tabs>
        <w:tab w:val="center" w:pos="4680"/>
        <w:tab w:val="right" w:pos="9360"/>
      </w:tabs>
    </w:pPr>
  </w:style>
  <w:style w:type="character" w:customStyle="1" w:styleId="FootnoteTextChar">
    <w:name w:val="Footnote Text Char"/>
    <w:basedOn w:val="DefaultParagraphFont"/>
    <w:link w:val="FootnoteText"/>
    <w:uiPriority w:val="99"/>
    <w:locked/>
    <w:rsid w:val="00672CE3"/>
    <w:rPr>
      <w:rFonts w:eastAsia="Times New Roman" w:cs="Times New Roman"/>
      <w:kern w:val="1"/>
      <w:lang w:val="bg-BG"/>
    </w:rPr>
  </w:style>
  <w:style w:type="character" w:styleId="FootnoteReference">
    <w:name w:val="footnote reference"/>
    <w:basedOn w:val="DefaultParagraphFont"/>
    <w:uiPriority w:val="99"/>
    <w:unhideWhenUsed/>
    <w:rsid w:val="00672CE3"/>
    <w:rPr>
      <w:rFonts w:cs="Times New Roman"/>
      <w:vertAlign w:val="superscript"/>
    </w:rPr>
  </w:style>
  <w:style w:type="character" w:customStyle="1" w:styleId="HeaderChar">
    <w:name w:val="Header Char"/>
    <w:basedOn w:val="DefaultParagraphFont"/>
    <w:link w:val="Header"/>
    <w:uiPriority w:val="99"/>
    <w:locked/>
    <w:rsid w:val="00F618CA"/>
    <w:rPr>
      <w:rFonts w:cs="Times New Roman"/>
      <w:kern w:val="1"/>
      <w:sz w:val="24"/>
      <w:lang w:val="bg-BG"/>
    </w:rPr>
  </w:style>
  <w:style w:type="paragraph" w:styleId="Footer">
    <w:name w:val="footer"/>
    <w:basedOn w:val="Normal"/>
    <w:link w:val="FooterChar"/>
    <w:uiPriority w:val="99"/>
    <w:rsid w:val="00F618CA"/>
    <w:pPr>
      <w:tabs>
        <w:tab w:val="center" w:pos="4680"/>
        <w:tab w:val="right" w:pos="9360"/>
      </w:tabs>
    </w:pPr>
  </w:style>
  <w:style w:type="character" w:styleId="Hyperlink">
    <w:name w:val="Hyperlink"/>
    <w:basedOn w:val="DefaultParagraphFont"/>
    <w:uiPriority w:val="99"/>
    <w:rsid w:val="00FB2CAA"/>
    <w:rPr>
      <w:rFonts w:cs="Times New Roman"/>
      <w:color w:val="0000FF"/>
      <w:u w:val="single"/>
    </w:rPr>
  </w:style>
  <w:style w:type="character" w:customStyle="1" w:styleId="FooterChar">
    <w:name w:val="Footer Char"/>
    <w:basedOn w:val="DefaultParagraphFont"/>
    <w:link w:val="Footer"/>
    <w:uiPriority w:val="99"/>
    <w:locked/>
    <w:rsid w:val="00F618CA"/>
    <w:rPr>
      <w:rFonts w:cs="Times New Roman"/>
      <w:kern w:val="1"/>
      <w:sz w:val="24"/>
      <w:lang w:val="bg-BG"/>
    </w:rPr>
  </w:style>
  <w:style w:type="character" w:styleId="UnresolvedMention">
    <w:name w:val="Unresolved Mention"/>
    <w:basedOn w:val="DefaultParagraphFont"/>
    <w:uiPriority w:val="99"/>
    <w:unhideWhenUsed/>
    <w:rsid w:val="00FB2CAA"/>
    <w:rPr>
      <w:color w:val="605E5C"/>
      <w:shd w:val="clear" w:color="auto" w:fill="E1DFDD"/>
    </w:rPr>
  </w:style>
  <w:style w:type="paragraph" w:styleId="NormalWeb">
    <w:name w:val="Normal (Web)"/>
    <w:basedOn w:val="Normal"/>
    <w:uiPriority w:val="99"/>
    <w:rsid w:val="00F077C1"/>
  </w:style>
  <w:style w:type="table" w:styleId="TableGrid">
    <w:name w:val="Table Grid"/>
    <w:basedOn w:val="TableNormal"/>
    <w:uiPriority w:val="59"/>
    <w:rsid w:val="00405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007E4B"/>
    <w:rPr>
      <w:rFonts w:ascii="Courier New" w:hAnsi="Courier New" w:cs="Courier New"/>
      <w:sz w:val="20"/>
      <w:szCs w:val="20"/>
    </w:rPr>
  </w:style>
  <w:style w:type="paragraph" w:styleId="ListParagraph">
    <w:name w:val="List Paragraph"/>
    <w:basedOn w:val="Normal"/>
    <w:uiPriority w:val="34"/>
    <w:qFormat/>
    <w:rsid w:val="00B50033"/>
    <w:pPr>
      <w:widowControl/>
      <w:autoSpaceDN w:val="0"/>
      <w:spacing w:after="200" w:line="276" w:lineRule="auto"/>
      <w:ind w:left="720"/>
      <w:textAlignment w:val="baseline"/>
    </w:pPr>
    <w:rPr>
      <w:rFonts w:ascii="Calibri" w:hAnsi="Calibri"/>
      <w:kern w:val="0"/>
      <w:sz w:val="22"/>
      <w:szCs w:val="22"/>
      <w:lang w:val="en-US"/>
    </w:rPr>
  </w:style>
  <w:style w:type="character" w:customStyle="1" w:styleId="HTMLPreformattedChar">
    <w:name w:val="HTML Preformatted Char"/>
    <w:basedOn w:val="DefaultParagraphFont"/>
    <w:link w:val="HTMLPreformatted"/>
    <w:uiPriority w:val="99"/>
    <w:locked/>
    <w:rsid w:val="00007E4B"/>
    <w:rPr>
      <w:rFonts w:ascii="Courier New" w:hAnsi="Courier New" w:cs="Times New Roman"/>
      <w:kern w:val="1"/>
      <w:lang w:val="bg-BG"/>
    </w:rPr>
  </w:style>
  <w:style w:type="paragraph" w:styleId="NoSpacing">
    <w:name w:val="No Spacing"/>
    <w:uiPriority w:val="1"/>
    <w:rsid w:val="00B50033"/>
    <w:pPr>
      <w:suppressAutoHyphens/>
      <w:autoSpaceDN w:val="0"/>
      <w:textAlignment w:val="baseline"/>
    </w:pPr>
    <w:rPr>
      <w:rFonts w:ascii="Calibri" w:hAnsi="Calibri"/>
      <w:sz w:val="22"/>
      <w:szCs w:val="22"/>
    </w:rPr>
  </w:style>
  <w:style w:type="character" w:styleId="CommentReference">
    <w:name w:val="annotation reference"/>
    <w:basedOn w:val="DefaultParagraphFont"/>
    <w:uiPriority w:val="99"/>
    <w:rsid w:val="00E509BB"/>
    <w:rPr>
      <w:sz w:val="16"/>
      <w:szCs w:val="16"/>
    </w:rPr>
  </w:style>
  <w:style w:type="paragraph" w:styleId="CommentText">
    <w:name w:val="annotation text"/>
    <w:basedOn w:val="Normal"/>
    <w:link w:val="CommentTextChar"/>
    <w:uiPriority w:val="99"/>
    <w:rsid w:val="00E509BB"/>
    <w:rPr>
      <w:sz w:val="20"/>
      <w:szCs w:val="20"/>
    </w:rPr>
  </w:style>
  <w:style w:type="character" w:customStyle="1" w:styleId="CommentTextChar">
    <w:name w:val="Comment Text Char"/>
    <w:basedOn w:val="DefaultParagraphFont"/>
    <w:link w:val="CommentText"/>
    <w:uiPriority w:val="99"/>
    <w:rsid w:val="00E509BB"/>
    <w:rPr>
      <w:kern w:val="1"/>
      <w:lang w:val="bg-BG"/>
    </w:rPr>
  </w:style>
  <w:style w:type="paragraph" w:styleId="CommentSubject">
    <w:name w:val="annotation subject"/>
    <w:basedOn w:val="CommentText"/>
    <w:next w:val="CommentText"/>
    <w:link w:val="CommentSubjectChar"/>
    <w:uiPriority w:val="99"/>
    <w:rsid w:val="00E509BB"/>
    <w:rPr>
      <w:b/>
      <w:bCs/>
    </w:rPr>
  </w:style>
  <w:style w:type="character" w:customStyle="1" w:styleId="CommentSubjectChar">
    <w:name w:val="Comment Subject Char"/>
    <w:basedOn w:val="CommentTextChar"/>
    <w:link w:val="CommentSubject"/>
    <w:uiPriority w:val="99"/>
    <w:rsid w:val="00E509BB"/>
    <w:rPr>
      <w:b/>
      <w:bCs/>
      <w:kern w:val="1"/>
      <w:lang w:val="bg-BG"/>
    </w:rPr>
  </w:style>
  <w:style w:type="paragraph" w:styleId="BalloonText">
    <w:name w:val="Balloon Text"/>
    <w:basedOn w:val="Normal"/>
    <w:link w:val="BalloonTextChar"/>
    <w:uiPriority w:val="99"/>
    <w:semiHidden/>
    <w:unhideWhenUsed/>
    <w:rsid w:val="00E509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9BB"/>
    <w:rPr>
      <w:rFonts w:ascii="Segoe UI" w:hAnsi="Segoe UI" w:cs="Segoe UI"/>
      <w:kern w:val="1"/>
      <w:sz w:val="18"/>
      <w:szCs w:val="18"/>
      <w:lang w:val="bg-BG"/>
    </w:rPr>
  </w:style>
  <w:style w:type="paragraph" w:styleId="BodyTextFirstIndent">
    <w:name w:val="Body Text First Indent"/>
    <w:basedOn w:val="BodyText"/>
    <w:link w:val="BodyTextFirstIndentChar"/>
    <w:uiPriority w:val="99"/>
    <w:rsid w:val="00191D26"/>
    <w:pPr>
      <w:spacing w:after="0"/>
      <w:ind w:firstLine="360"/>
    </w:pPr>
  </w:style>
  <w:style w:type="character" w:customStyle="1" w:styleId="BodyTextFirstIndentChar">
    <w:name w:val="Body Text First Indent Char"/>
    <w:basedOn w:val="BodyTextChar"/>
    <w:link w:val="BodyTextFirstIndent"/>
    <w:uiPriority w:val="99"/>
    <w:rsid w:val="00191D26"/>
    <w:rPr>
      <w:rFonts w:cs="Times New Roman"/>
      <w:kern w:val="1"/>
      <w:sz w:val="24"/>
      <w:szCs w:val="24"/>
      <w:lang w:val="bg-BG"/>
    </w:rPr>
  </w:style>
  <w:style w:type="paragraph" w:styleId="BodyTextIndent">
    <w:name w:val="Body Text Indent"/>
    <w:basedOn w:val="Normal"/>
    <w:link w:val="BodyTextIndentChar"/>
    <w:uiPriority w:val="99"/>
    <w:rsid w:val="00191D26"/>
    <w:pPr>
      <w:spacing w:after="120"/>
      <w:ind w:left="360"/>
    </w:pPr>
  </w:style>
  <w:style w:type="character" w:customStyle="1" w:styleId="BodyTextIndentChar">
    <w:name w:val="Body Text Indent Char"/>
    <w:basedOn w:val="DefaultParagraphFont"/>
    <w:link w:val="BodyTextIndent"/>
    <w:uiPriority w:val="99"/>
    <w:rsid w:val="00191D26"/>
    <w:rPr>
      <w:kern w:val="1"/>
      <w:sz w:val="24"/>
      <w:szCs w:val="24"/>
      <w:lang w:val="bg-BG"/>
    </w:rPr>
  </w:style>
  <w:style w:type="paragraph" w:styleId="BodyTextFirstIndent2">
    <w:name w:val="Body Text First Indent 2"/>
    <w:basedOn w:val="BodyTextIndent"/>
    <w:link w:val="BodyTextFirstIndent2Char"/>
    <w:uiPriority w:val="99"/>
    <w:rsid w:val="00191D26"/>
    <w:pPr>
      <w:spacing w:after="0"/>
      <w:ind w:firstLine="360"/>
    </w:pPr>
  </w:style>
  <w:style w:type="character" w:customStyle="1" w:styleId="BodyTextFirstIndent2Char">
    <w:name w:val="Body Text First Indent 2 Char"/>
    <w:basedOn w:val="BodyTextIndentChar"/>
    <w:link w:val="BodyTextFirstIndent2"/>
    <w:uiPriority w:val="99"/>
    <w:rsid w:val="00191D26"/>
    <w:rPr>
      <w:kern w:val="1"/>
      <w:sz w:val="24"/>
      <w:szCs w:val="24"/>
      <w:lang w:val="bg-BG"/>
    </w:rPr>
  </w:style>
  <w:style w:type="character" w:customStyle="1" w:styleId="Heading4Char">
    <w:name w:val="Heading 4 Char"/>
    <w:basedOn w:val="DefaultParagraphFont"/>
    <w:link w:val="Heading4"/>
    <w:uiPriority w:val="9"/>
    <w:semiHidden/>
    <w:rsid w:val="002E7931"/>
    <w:rPr>
      <w:rFonts w:asciiTheme="majorHAnsi" w:eastAsiaTheme="majorEastAsia" w:hAnsiTheme="majorHAnsi" w:cstheme="majorBidi"/>
      <w:i/>
      <w:iCs/>
      <w:color w:val="365F91" w:themeColor="accent1" w:themeShade="BF"/>
      <w:kern w:val="1"/>
      <w:sz w:val="24"/>
      <w:szCs w:val="24"/>
      <w:lang w:val="bg-BG"/>
    </w:rPr>
  </w:style>
  <w:style w:type="table" w:styleId="TableGridLight">
    <w:name w:val="Grid Table Light"/>
    <w:basedOn w:val="TableNormal"/>
    <w:uiPriority w:val="40"/>
    <w:rsid w:val="00EE0A7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2E11C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638">
      <w:bodyDiv w:val="1"/>
      <w:marLeft w:val="0"/>
      <w:marRight w:val="0"/>
      <w:marTop w:val="0"/>
      <w:marBottom w:val="0"/>
      <w:divBdr>
        <w:top w:val="none" w:sz="0" w:space="0" w:color="auto"/>
        <w:left w:val="none" w:sz="0" w:space="0" w:color="auto"/>
        <w:bottom w:val="none" w:sz="0" w:space="0" w:color="auto"/>
        <w:right w:val="none" w:sz="0" w:space="0" w:color="auto"/>
      </w:divBdr>
    </w:div>
    <w:div w:id="4289769">
      <w:bodyDiv w:val="1"/>
      <w:marLeft w:val="0"/>
      <w:marRight w:val="0"/>
      <w:marTop w:val="0"/>
      <w:marBottom w:val="0"/>
      <w:divBdr>
        <w:top w:val="none" w:sz="0" w:space="0" w:color="auto"/>
        <w:left w:val="none" w:sz="0" w:space="0" w:color="auto"/>
        <w:bottom w:val="none" w:sz="0" w:space="0" w:color="auto"/>
        <w:right w:val="none" w:sz="0" w:space="0" w:color="auto"/>
      </w:divBdr>
    </w:div>
    <w:div w:id="30110155">
      <w:bodyDiv w:val="1"/>
      <w:marLeft w:val="0"/>
      <w:marRight w:val="0"/>
      <w:marTop w:val="0"/>
      <w:marBottom w:val="0"/>
      <w:divBdr>
        <w:top w:val="none" w:sz="0" w:space="0" w:color="auto"/>
        <w:left w:val="none" w:sz="0" w:space="0" w:color="auto"/>
        <w:bottom w:val="none" w:sz="0" w:space="0" w:color="auto"/>
        <w:right w:val="none" w:sz="0" w:space="0" w:color="auto"/>
      </w:divBdr>
    </w:div>
    <w:div w:id="32316322">
      <w:bodyDiv w:val="1"/>
      <w:marLeft w:val="0"/>
      <w:marRight w:val="0"/>
      <w:marTop w:val="0"/>
      <w:marBottom w:val="0"/>
      <w:divBdr>
        <w:top w:val="none" w:sz="0" w:space="0" w:color="auto"/>
        <w:left w:val="none" w:sz="0" w:space="0" w:color="auto"/>
        <w:bottom w:val="none" w:sz="0" w:space="0" w:color="auto"/>
        <w:right w:val="none" w:sz="0" w:space="0" w:color="auto"/>
      </w:divBdr>
    </w:div>
    <w:div w:id="55012319">
      <w:bodyDiv w:val="1"/>
      <w:marLeft w:val="0"/>
      <w:marRight w:val="0"/>
      <w:marTop w:val="0"/>
      <w:marBottom w:val="0"/>
      <w:divBdr>
        <w:top w:val="none" w:sz="0" w:space="0" w:color="auto"/>
        <w:left w:val="none" w:sz="0" w:space="0" w:color="auto"/>
        <w:bottom w:val="none" w:sz="0" w:space="0" w:color="auto"/>
        <w:right w:val="none" w:sz="0" w:space="0" w:color="auto"/>
      </w:divBdr>
      <w:divsChild>
        <w:div w:id="242230258">
          <w:marLeft w:val="-720"/>
          <w:marRight w:val="0"/>
          <w:marTop w:val="0"/>
          <w:marBottom w:val="0"/>
          <w:divBdr>
            <w:top w:val="none" w:sz="0" w:space="0" w:color="auto"/>
            <w:left w:val="none" w:sz="0" w:space="0" w:color="auto"/>
            <w:bottom w:val="none" w:sz="0" w:space="0" w:color="auto"/>
            <w:right w:val="none" w:sz="0" w:space="0" w:color="auto"/>
          </w:divBdr>
        </w:div>
      </w:divsChild>
    </w:div>
    <w:div w:id="55512365">
      <w:bodyDiv w:val="1"/>
      <w:marLeft w:val="0"/>
      <w:marRight w:val="0"/>
      <w:marTop w:val="0"/>
      <w:marBottom w:val="0"/>
      <w:divBdr>
        <w:top w:val="none" w:sz="0" w:space="0" w:color="auto"/>
        <w:left w:val="none" w:sz="0" w:space="0" w:color="auto"/>
        <w:bottom w:val="none" w:sz="0" w:space="0" w:color="auto"/>
        <w:right w:val="none" w:sz="0" w:space="0" w:color="auto"/>
      </w:divBdr>
    </w:div>
    <w:div w:id="112330017">
      <w:bodyDiv w:val="1"/>
      <w:marLeft w:val="0"/>
      <w:marRight w:val="0"/>
      <w:marTop w:val="0"/>
      <w:marBottom w:val="0"/>
      <w:divBdr>
        <w:top w:val="none" w:sz="0" w:space="0" w:color="auto"/>
        <w:left w:val="none" w:sz="0" w:space="0" w:color="auto"/>
        <w:bottom w:val="none" w:sz="0" w:space="0" w:color="auto"/>
        <w:right w:val="none" w:sz="0" w:space="0" w:color="auto"/>
      </w:divBdr>
      <w:divsChild>
        <w:div w:id="888110863">
          <w:marLeft w:val="0"/>
          <w:marRight w:val="0"/>
          <w:marTop w:val="0"/>
          <w:marBottom w:val="0"/>
          <w:divBdr>
            <w:top w:val="none" w:sz="0" w:space="0" w:color="auto"/>
            <w:left w:val="none" w:sz="0" w:space="0" w:color="auto"/>
            <w:bottom w:val="none" w:sz="0" w:space="0" w:color="auto"/>
            <w:right w:val="none" w:sz="0" w:space="0" w:color="auto"/>
          </w:divBdr>
          <w:divsChild>
            <w:div w:id="1030764175">
              <w:marLeft w:val="0"/>
              <w:marRight w:val="0"/>
              <w:marTop w:val="0"/>
              <w:marBottom w:val="0"/>
              <w:divBdr>
                <w:top w:val="none" w:sz="0" w:space="0" w:color="auto"/>
                <w:left w:val="none" w:sz="0" w:space="0" w:color="auto"/>
                <w:bottom w:val="none" w:sz="0" w:space="0" w:color="auto"/>
                <w:right w:val="none" w:sz="0" w:space="0" w:color="auto"/>
              </w:divBdr>
              <w:divsChild>
                <w:div w:id="105317561">
                  <w:marLeft w:val="0"/>
                  <w:marRight w:val="0"/>
                  <w:marTop w:val="0"/>
                  <w:marBottom w:val="0"/>
                  <w:divBdr>
                    <w:top w:val="none" w:sz="0" w:space="0" w:color="auto"/>
                    <w:left w:val="none" w:sz="0" w:space="0" w:color="auto"/>
                    <w:bottom w:val="none" w:sz="0" w:space="0" w:color="auto"/>
                    <w:right w:val="none" w:sz="0" w:space="0" w:color="auto"/>
                  </w:divBdr>
                  <w:divsChild>
                    <w:div w:id="989677596">
                      <w:marLeft w:val="0"/>
                      <w:marRight w:val="0"/>
                      <w:marTop w:val="0"/>
                      <w:marBottom w:val="0"/>
                      <w:divBdr>
                        <w:top w:val="none" w:sz="0" w:space="0" w:color="auto"/>
                        <w:left w:val="none" w:sz="0" w:space="0" w:color="auto"/>
                        <w:bottom w:val="none" w:sz="0" w:space="0" w:color="auto"/>
                        <w:right w:val="none" w:sz="0" w:space="0" w:color="auto"/>
                      </w:divBdr>
                      <w:divsChild>
                        <w:div w:id="988901375">
                          <w:marLeft w:val="0"/>
                          <w:marRight w:val="0"/>
                          <w:marTop w:val="0"/>
                          <w:marBottom w:val="0"/>
                          <w:divBdr>
                            <w:top w:val="none" w:sz="0" w:space="0" w:color="auto"/>
                            <w:left w:val="none" w:sz="0" w:space="0" w:color="auto"/>
                            <w:bottom w:val="none" w:sz="0" w:space="0" w:color="auto"/>
                            <w:right w:val="none" w:sz="0" w:space="0" w:color="auto"/>
                          </w:divBdr>
                          <w:divsChild>
                            <w:div w:id="206144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5183">
      <w:bodyDiv w:val="1"/>
      <w:marLeft w:val="0"/>
      <w:marRight w:val="0"/>
      <w:marTop w:val="0"/>
      <w:marBottom w:val="0"/>
      <w:divBdr>
        <w:top w:val="none" w:sz="0" w:space="0" w:color="auto"/>
        <w:left w:val="none" w:sz="0" w:space="0" w:color="auto"/>
        <w:bottom w:val="none" w:sz="0" w:space="0" w:color="auto"/>
        <w:right w:val="none" w:sz="0" w:space="0" w:color="auto"/>
      </w:divBdr>
    </w:div>
    <w:div w:id="127866433">
      <w:bodyDiv w:val="1"/>
      <w:marLeft w:val="0"/>
      <w:marRight w:val="0"/>
      <w:marTop w:val="0"/>
      <w:marBottom w:val="0"/>
      <w:divBdr>
        <w:top w:val="none" w:sz="0" w:space="0" w:color="auto"/>
        <w:left w:val="none" w:sz="0" w:space="0" w:color="auto"/>
        <w:bottom w:val="none" w:sz="0" w:space="0" w:color="auto"/>
        <w:right w:val="none" w:sz="0" w:space="0" w:color="auto"/>
      </w:divBdr>
    </w:div>
    <w:div w:id="168952561">
      <w:bodyDiv w:val="1"/>
      <w:marLeft w:val="0"/>
      <w:marRight w:val="0"/>
      <w:marTop w:val="0"/>
      <w:marBottom w:val="0"/>
      <w:divBdr>
        <w:top w:val="none" w:sz="0" w:space="0" w:color="auto"/>
        <w:left w:val="none" w:sz="0" w:space="0" w:color="auto"/>
        <w:bottom w:val="none" w:sz="0" w:space="0" w:color="auto"/>
        <w:right w:val="none" w:sz="0" w:space="0" w:color="auto"/>
      </w:divBdr>
    </w:div>
    <w:div w:id="177543840">
      <w:bodyDiv w:val="1"/>
      <w:marLeft w:val="0"/>
      <w:marRight w:val="0"/>
      <w:marTop w:val="0"/>
      <w:marBottom w:val="0"/>
      <w:divBdr>
        <w:top w:val="none" w:sz="0" w:space="0" w:color="auto"/>
        <w:left w:val="none" w:sz="0" w:space="0" w:color="auto"/>
        <w:bottom w:val="none" w:sz="0" w:space="0" w:color="auto"/>
        <w:right w:val="none" w:sz="0" w:space="0" w:color="auto"/>
      </w:divBdr>
    </w:div>
    <w:div w:id="206263299">
      <w:bodyDiv w:val="1"/>
      <w:marLeft w:val="0"/>
      <w:marRight w:val="0"/>
      <w:marTop w:val="0"/>
      <w:marBottom w:val="0"/>
      <w:divBdr>
        <w:top w:val="none" w:sz="0" w:space="0" w:color="auto"/>
        <w:left w:val="none" w:sz="0" w:space="0" w:color="auto"/>
        <w:bottom w:val="none" w:sz="0" w:space="0" w:color="auto"/>
        <w:right w:val="none" w:sz="0" w:space="0" w:color="auto"/>
      </w:divBdr>
    </w:div>
    <w:div w:id="213547057">
      <w:bodyDiv w:val="1"/>
      <w:marLeft w:val="0"/>
      <w:marRight w:val="0"/>
      <w:marTop w:val="0"/>
      <w:marBottom w:val="0"/>
      <w:divBdr>
        <w:top w:val="none" w:sz="0" w:space="0" w:color="auto"/>
        <w:left w:val="none" w:sz="0" w:space="0" w:color="auto"/>
        <w:bottom w:val="none" w:sz="0" w:space="0" w:color="auto"/>
        <w:right w:val="none" w:sz="0" w:space="0" w:color="auto"/>
      </w:divBdr>
    </w:div>
    <w:div w:id="218127713">
      <w:bodyDiv w:val="1"/>
      <w:marLeft w:val="0"/>
      <w:marRight w:val="0"/>
      <w:marTop w:val="0"/>
      <w:marBottom w:val="0"/>
      <w:divBdr>
        <w:top w:val="none" w:sz="0" w:space="0" w:color="auto"/>
        <w:left w:val="none" w:sz="0" w:space="0" w:color="auto"/>
        <w:bottom w:val="none" w:sz="0" w:space="0" w:color="auto"/>
        <w:right w:val="none" w:sz="0" w:space="0" w:color="auto"/>
      </w:divBdr>
    </w:div>
    <w:div w:id="293677792">
      <w:bodyDiv w:val="1"/>
      <w:marLeft w:val="0"/>
      <w:marRight w:val="0"/>
      <w:marTop w:val="0"/>
      <w:marBottom w:val="0"/>
      <w:divBdr>
        <w:top w:val="none" w:sz="0" w:space="0" w:color="auto"/>
        <w:left w:val="none" w:sz="0" w:space="0" w:color="auto"/>
        <w:bottom w:val="none" w:sz="0" w:space="0" w:color="auto"/>
        <w:right w:val="none" w:sz="0" w:space="0" w:color="auto"/>
      </w:divBdr>
    </w:div>
    <w:div w:id="307638307">
      <w:bodyDiv w:val="1"/>
      <w:marLeft w:val="0"/>
      <w:marRight w:val="0"/>
      <w:marTop w:val="0"/>
      <w:marBottom w:val="0"/>
      <w:divBdr>
        <w:top w:val="none" w:sz="0" w:space="0" w:color="auto"/>
        <w:left w:val="none" w:sz="0" w:space="0" w:color="auto"/>
        <w:bottom w:val="none" w:sz="0" w:space="0" w:color="auto"/>
        <w:right w:val="none" w:sz="0" w:space="0" w:color="auto"/>
      </w:divBdr>
    </w:div>
    <w:div w:id="315308710">
      <w:bodyDiv w:val="1"/>
      <w:marLeft w:val="0"/>
      <w:marRight w:val="0"/>
      <w:marTop w:val="0"/>
      <w:marBottom w:val="0"/>
      <w:divBdr>
        <w:top w:val="none" w:sz="0" w:space="0" w:color="auto"/>
        <w:left w:val="none" w:sz="0" w:space="0" w:color="auto"/>
        <w:bottom w:val="none" w:sz="0" w:space="0" w:color="auto"/>
        <w:right w:val="none" w:sz="0" w:space="0" w:color="auto"/>
      </w:divBdr>
    </w:div>
    <w:div w:id="321665909">
      <w:bodyDiv w:val="1"/>
      <w:marLeft w:val="0"/>
      <w:marRight w:val="0"/>
      <w:marTop w:val="0"/>
      <w:marBottom w:val="0"/>
      <w:divBdr>
        <w:top w:val="none" w:sz="0" w:space="0" w:color="auto"/>
        <w:left w:val="none" w:sz="0" w:space="0" w:color="auto"/>
        <w:bottom w:val="none" w:sz="0" w:space="0" w:color="auto"/>
        <w:right w:val="none" w:sz="0" w:space="0" w:color="auto"/>
      </w:divBdr>
    </w:div>
    <w:div w:id="322439672">
      <w:bodyDiv w:val="1"/>
      <w:marLeft w:val="0"/>
      <w:marRight w:val="0"/>
      <w:marTop w:val="0"/>
      <w:marBottom w:val="0"/>
      <w:divBdr>
        <w:top w:val="none" w:sz="0" w:space="0" w:color="auto"/>
        <w:left w:val="none" w:sz="0" w:space="0" w:color="auto"/>
        <w:bottom w:val="none" w:sz="0" w:space="0" w:color="auto"/>
        <w:right w:val="none" w:sz="0" w:space="0" w:color="auto"/>
      </w:divBdr>
    </w:div>
    <w:div w:id="323240757">
      <w:bodyDiv w:val="1"/>
      <w:marLeft w:val="0"/>
      <w:marRight w:val="0"/>
      <w:marTop w:val="0"/>
      <w:marBottom w:val="0"/>
      <w:divBdr>
        <w:top w:val="none" w:sz="0" w:space="0" w:color="auto"/>
        <w:left w:val="none" w:sz="0" w:space="0" w:color="auto"/>
        <w:bottom w:val="none" w:sz="0" w:space="0" w:color="auto"/>
        <w:right w:val="none" w:sz="0" w:space="0" w:color="auto"/>
      </w:divBdr>
    </w:div>
    <w:div w:id="380902681">
      <w:bodyDiv w:val="1"/>
      <w:marLeft w:val="0"/>
      <w:marRight w:val="0"/>
      <w:marTop w:val="0"/>
      <w:marBottom w:val="0"/>
      <w:divBdr>
        <w:top w:val="none" w:sz="0" w:space="0" w:color="auto"/>
        <w:left w:val="none" w:sz="0" w:space="0" w:color="auto"/>
        <w:bottom w:val="none" w:sz="0" w:space="0" w:color="auto"/>
        <w:right w:val="none" w:sz="0" w:space="0" w:color="auto"/>
      </w:divBdr>
    </w:div>
    <w:div w:id="383876505">
      <w:bodyDiv w:val="1"/>
      <w:marLeft w:val="0"/>
      <w:marRight w:val="0"/>
      <w:marTop w:val="0"/>
      <w:marBottom w:val="0"/>
      <w:divBdr>
        <w:top w:val="none" w:sz="0" w:space="0" w:color="auto"/>
        <w:left w:val="none" w:sz="0" w:space="0" w:color="auto"/>
        <w:bottom w:val="none" w:sz="0" w:space="0" w:color="auto"/>
        <w:right w:val="none" w:sz="0" w:space="0" w:color="auto"/>
      </w:divBdr>
    </w:div>
    <w:div w:id="512955749">
      <w:bodyDiv w:val="1"/>
      <w:marLeft w:val="0"/>
      <w:marRight w:val="0"/>
      <w:marTop w:val="0"/>
      <w:marBottom w:val="0"/>
      <w:divBdr>
        <w:top w:val="none" w:sz="0" w:space="0" w:color="auto"/>
        <w:left w:val="none" w:sz="0" w:space="0" w:color="auto"/>
        <w:bottom w:val="none" w:sz="0" w:space="0" w:color="auto"/>
        <w:right w:val="none" w:sz="0" w:space="0" w:color="auto"/>
      </w:divBdr>
      <w:divsChild>
        <w:div w:id="763189236">
          <w:marLeft w:val="0"/>
          <w:marRight w:val="0"/>
          <w:marTop w:val="0"/>
          <w:marBottom w:val="0"/>
          <w:divBdr>
            <w:top w:val="none" w:sz="0" w:space="0" w:color="auto"/>
            <w:left w:val="none" w:sz="0" w:space="0" w:color="auto"/>
            <w:bottom w:val="none" w:sz="0" w:space="0" w:color="auto"/>
            <w:right w:val="none" w:sz="0" w:space="0" w:color="auto"/>
          </w:divBdr>
        </w:div>
        <w:div w:id="1603682763">
          <w:marLeft w:val="0"/>
          <w:marRight w:val="0"/>
          <w:marTop w:val="0"/>
          <w:marBottom w:val="0"/>
          <w:divBdr>
            <w:top w:val="none" w:sz="0" w:space="0" w:color="auto"/>
            <w:left w:val="none" w:sz="0" w:space="0" w:color="auto"/>
            <w:bottom w:val="none" w:sz="0" w:space="0" w:color="auto"/>
            <w:right w:val="none" w:sz="0" w:space="0" w:color="auto"/>
          </w:divBdr>
        </w:div>
      </w:divsChild>
    </w:div>
    <w:div w:id="514153302">
      <w:bodyDiv w:val="1"/>
      <w:marLeft w:val="0"/>
      <w:marRight w:val="0"/>
      <w:marTop w:val="0"/>
      <w:marBottom w:val="0"/>
      <w:divBdr>
        <w:top w:val="none" w:sz="0" w:space="0" w:color="auto"/>
        <w:left w:val="none" w:sz="0" w:space="0" w:color="auto"/>
        <w:bottom w:val="none" w:sz="0" w:space="0" w:color="auto"/>
        <w:right w:val="none" w:sz="0" w:space="0" w:color="auto"/>
      </w:divBdr>
      <w:divsChild>
        <w:div w:id="948584346">
          <w:marLeft w:val="-720"/>
          <w:marRight w:val="0"/>
          <w:marTop w:val="0"/>
          <w:marBottom w:val="0"/>
          <w:divBdr>
            <w:top w:val="none" w:sz="0" w:space="0" w:color="auto"/>
            <w:left w:val="none" w:sz="0" w:space="0" w:color="auto"/>
            <w:bottom w:val="none" w:sz="0" w:space="0" w:color="auto"/>
            <w:right w:val="none" w:sz="0" w:space="0" w:color="auto"/>
          </w:divBdr>
        </w:div>
      </w:divsChild>
    </w:div>
    <w:div w:id="519971963">
      <w:bodyDiv w:val="1"/>
      <w:marLeft w:val="0"/>
      <w:marRight w:val="0"/>
      <w:marTop w:val="0"/>
      <w:marBottom w:val="0"/>
      <w:divBdr>
        <w:top w:val="none" w:sz="0" w:space="0" w:color="auto"/>
        <w:left w:val="none" w:sz="0" w:space="0" w:color="auto"/>
        <w:bottom w:val="none" w:sz="0" w:space="0" w:color="auto"/>
        <w:right w:val="none" w:sz="0" w:space="0" w:color="auto"/>
      </w:divBdr>
    </w:div>
    <w:div w:id="530218690">
      <w:bodyDiv w:val="1"/>
      <w:marLeft w:val="0"/>
      <w:marRight w:val="0"/>
      <w:marTop w:val="0"/>
      <w:marBottom w:val="0"/>
      <w:divBdr>
        <w:top w:val="none" w:sz="0" w:space="0" w:color="auto"/>
        <w:left w:val="none" w:sz="0" w:space="0" w:color="auto"/>
        <w:bottom w:val="none" w:sz="0" w:space="0" w:color="auto"/>
        <w:right w:val="none" w:sz="0" w:space="0" w:color="auto"/>
      </w:divBdr>
    </w:div>
    <w:div w:id="566762339">
      <w:bodyDiv w:val="1"/>
      <w:marLeft w:val="0"/>
      <w:marRight w:val="0"/>
      <w:marTop w:val="0"/>
      <w:marBottom w:val="0"/>
      <w:divBdr>
        <w:top w:val="none" w:sz="0" w:space="0" w:color="auto"/>
        <w:left w:val="none" w:sz="0" w:space="0" w:color="auto"/>
        <w:bottom w:val="none" w:sz="0" w:space="0" w:color="auto"/>
        <w:right w:val="none" w:sz="0" w:space="0" w:color="auto"/>
      </w:divBdr>
    </w:div>
    <w:div w:id="574632008">
      <w:bodyDiv w:val="1"/>
      <w:marLeft w:val="0"/>
      <w:marRight w:val="0"/>
      <w:marTop w:val="0"/>
      <w:marBottom w:val="0"/>
      <w:divBdr>
        <w:top w:val="none" w:sz="0" w:space="0" w:color="auto"/>
        <w:left w:val="none" w:sz="0" w:space="0" w:color="auto"/>
        <w:bottom w:val="none" w:sz="0" w:space="0" w:color="auto"/>
        <w:right w:val="none" w:sz="0" w:space="0" w:color="auto"/>
      </w:divBdr>
    </w:div>
    <w:div w:id="607395028">
      <w:bodyDiv w:val="1"/>
      <w:marLeft w:val="0"/>
      <w:marRight w:val="0"/>
      <w:marTop w:val="0"/>
      <w:marBottom w:val="0"/>
      <w:divBdr>
        <w:top w:val="none" w:sz="0" w:space="0" w:color="auto"/>
        <w:left w:val="none" w:sz="0" w:space="0" w:color="auto"/>
        <w:bottom w:val="none" w:sz="0" w:space="0" w:color="auto"/>
        <w:right w:val="none" w:sz="0" w:space="0" w:color="auto"/>
      </w:divBdr>
    </w:div>
    <w:div w:id="611941411">
      <w:bodyDiv w:val="1"/>
      <w:marLeft w:val="0"/>
      <w:marRight w:val="0"/>
      <w:marTop w:val="0"/>
      <w:marBottom w:val="0"/>
      <w:divBdr>
        <w:top w:val="none" w:sz="0" w:space="0" w:color="auto"/>
        <w:left w:val="none" w:sz="0" w:space="0" w:color="auto"/>
        <w:bottom w:val="none" w:sz="0" w:space="0" w:color="auto"/>
        <w:right w:val="none" w:sz="0" w:space="0" w:color="auto"/>
      </w:divBdr>
    </w:div>
    <w:div w:id="626352102">
      <w:bodyDiv w:val="1"/>
      <w:marLeft w:val="0"/>
      <w:marRight w:val="0"/>
      <w:marTop w:val="0"/>
      <w:marBottom w:val="0"/>
      <w:divBdr>
        <w:top w:val="none" w:sz="0" w:space="0" w:color="auto"/>
        <w:left w:val="none" w:sz="0" w:space="0" w:color="auto"/>
        <w:bottom w:val="none" w:sz="0" w:space="0" w:color="auto"/>
        <w:right w:val="none" w:sz="0" w:space="0" w:color="auto"/>
      </w:divBdr>
    </w:div>
    <w:div w:id="635716613">
      <w:bodyDiv w:val="1"/>
      <w:marLeft w:val="0"/>
      <w:marRight w:val="0"/>
      <w:marTop w:val="0"/>
      <w:marBottom w:val="0"/>
      <w:divBdr>
        <w:top w:val="none" w:sz="0" w:space="0" w:color="auto"/>
        <w:left w:val="none" w:sz="0" w:space="0" w:color="auto"/>
        <w:bottom w:val="none" w:sz="0" w:space="0" w:color="auto"/>
        <w:right w:val="none" w:sz="0" w:space="0" w:color="auto"/>
      </w:divBdr>
      <w:divsChild>
        <w:div w:id="225189247">
          <w:marLeft w:val="-720"/>
          <w:marRight w:val="0"/>
          <w:marTop w:val="0"/>
          <w:marBottom w:val="0"/>
          <w:divBdr>
            <w:top w:val="none" w:sz="0" w:space="0" w:color="auto"/>
            <w:left w:val="none" w:sz="0" w:space="0" w:color="auto"/>
            <w:bottom w:val="none" w:sz="0" w:space="0" w:color="auto"/>
            <w:right w:val="none" w:sz="0" w:space="0" w:color="auto"/>
          </w:divBdr>
        </w:div>
      </w:divsChild>
    </w:div>
    <w:div w:id="638655245">
      <w:bodyDiv w:val="1"/>
      <w:marLeft w:val="0"/>
      <w:marRight w:val="0"/>
      <w:marTop w:val="0"/>
      <w:marBottom w:val="0"/>
      <w:divBdr>
        <w:top w:val="none" w:sz="0" w:space="0" w:color="auto"/>
        <w:left w:val="none" w:sz="0" w:space="0" w:color="auto"/>
        <w:bottom w:val="none" w:sz="0" w:space="0" w:color="auto"/>
        <w:right w:val="none" w:sz="0" w:space="0" w:color="auto"/>
      </w:divBdr>
      <w:divsChild>
        <w:div w:id="1568539854">
          <w:marLeft w:val="0"/>
          <w:marRight w:val="75"/>
          <w:marTop w:val="0"/>
          <w:marBottom w:val="0"/>
          <w:divBdr>
            <w:top w:val="none" w:sz="0" w:space="0" w:color="auto"/>
            <w:left w:val="none" w:sz="0" w:space="0" w:color="auto"/>
            <w:bottom w:val="none" w:sz="0" w:space="0" w:color="auto"/>
            <w:right w:val="none" w:sz="0" w:space="0" w:color="auto"/>
          </w:divBdr>
        </w:div>
        <w:div w:id="1494491700">
          <w:marLeft w:val="0"/>
          <w:marRight w:val="75"/>
          <w:marTop w:val="0"/>
          <w:marBottom w:val="0"/>
          <w:divBdr>
            <w:top w:val="none" w:sz="0" w:space="0" w:color="auto"/>
            <w:left w:val="none" w:sz="0" w:space="0" w:color="auto"/>
            <w:bottom w:val="none" w:sz="0" w:space="0" w:color="auto"/>
            <w:right w:val="none" w:sz="0" w:space="0" w:color="auto"/>
          </w:divBdr>
        </w:div>
      </w:divsChild>
    </w:div>
    <w:div w:id="666128467">
      <w:bodyDiv w:val="1"/>
      <w:marLeft w:val="0"/>
      <w:marRight w:val="0"/>
      <w:marTop w:val="0"/>
      <w:marBottom w:val="0"/>
      <w:divBdr>
        <w:top w:val="none" w:sz="0" w:space="0" w:color="auto"/>
        <w:left w:val="none" w:sz="0" w:space="0" w:color="auto"/>
        <w:bottom w:val="none" w:sz="0" w:space="0" w:color="auto"/>
        <w:right w:val="none" w:sz="0" w:space="0" w:color="auto"/>
      </w:divBdr>
    </w:div>
    <w:div w:id="723256295">
      <w:bodyDiv w:val="1"/>
      <w:marLeft w:val="0"/>
      <w:marRight w:val="0"/>
      <w:marTop w:val="0"/>
      <w:marBottom w:val="0"/>
      <w:divBdr>
        <w:top w:val="none" w:sz="0" w:space="0" w:color="auto"/>
        <w:left w:val="none" w:sz="0" w:space="0" w:color="auto"/>
        <w:bottom w:val="none" w:sz="0" w:space="0" w:color="auto"/>
        <w:right w:val="none" w:sz="0" w:space="0" w:color="auto"/>
      </w:divBdr>
    </w:div>
    <w:div w:id="726612511">
      <w:bodyDiv w:val="1"/>
      <w:marLeft w:val="0"/>
      <w:marRight w:val="0"/>
      <w:marTop w:val="0"/>
      <w:marBottom w:val="0"/>
      <w:divBdr>
        <w:top w:val="none" w:sz="0" w:space="0" w:color="auto"/>
        <w:left w:val="none" w:sz="0" w:space="0" w:color="auto"/>
        <w:bottom w:val="none" w:sz="0" w:space="0" w:color="auto"/>
        <w:right w:val="none" w:sz="0" w:space="0" w:color="auto"/>
      </w:divBdr>
    </w:div>
    <w:div w:id="754086551">
      <w:bodyDiv w:val="1"/>
      <w:marLeft w:val="0"/>
      <w:marRight w:val="0"/>
      <w:marTop w:val="0"/>
      <w:marBottom w:val="0"/>
      <w:divBdr>
        <w:top w:val="none" w:sz="0" w:space="0" w:color="auto"/>
        <w:left w:val="none" w:sz="0" w:space="0" w:color="auto"/>
        <w:bottom w:val="none" w:sz="0" w:space="0" w:color="auto"/>
        <w:right w:val="none" w:sz="0" w:space="0" w:color="auto"/>
      </w:divBdr>
    </w:div>
    <w:div w:id="762996847">
      <w:bodyDiv w:val="1"/>
      <w:marLeft w:val="0"/>
      <w:marRight w:val="0"/>
      <w:marTop w:val="0"/>
      <w:marBottom w:val="0"/>
      <w:divBdr>
        <w:top w:val="none" w:sz="0" w:space="0" w:color="auto"/>
        <w:left w:val="none" w:sz="0" w:space="0" w:color="auto"/>
        <w:bottom w:val="none" w:sz="0" w:space="0" w:color="auto"/>
        <w:right w:val="none" w:sz="0" w:space="0" w:color="auto"/>
      </w:divBdr>
    </w:div>
    <w:div w:id="770902884">
      <w:bodyDiv w:val="1"/>
      <w:marLeft w:val="0"/>
      <w:marRight w:val="0"/>
      <w:marTop w:val="0"/>
      <w:marBottom w:val="0"/>
      <w:divBdr>
        <w:top w:val="none" w:sz="0" w:space="0" w:color="auto"/>
        <w:left w:val="none" w:sz="0" w:space="0" w:color="auto"/>
        <w:bottom w:val="none" w:sz="0" w:space="0" w:color="auto"/>
        <w:right w:val="none" w:sz="0" w:space="0" w:color="auto"/>
      </w:divBdr>
    </w:div>
    <w:div w:id="794179243">
      <w:bodyDiv w:val="1"/>
      <w:marLeft w:val="0"/>
      <w:marRight w:val="0"/>
      <w:marTop w:val="0"/>
      <w:marBottom w:val="0"/>
      <w:divBdr>
        <w:top w:val="none" w:sz="0" w:space="0" w:color="auto"/>
        <w:left w:val="none" w:sz="0" w:space="0" w:color="auto"/>
        <w:bottom w:val="none" w:sz="0" w:space="0" w:color="auto"/>
        <w:right w:val="none" w:sz="0" w:space="0" w:color="auto"/>
      </w:divBdr>
    </w:div>
    <w:div w:id="798840009">
      <w:bodyDiv w:val="1"/>
      <w:marLeft w:val="0"/>
      <w:marRight w:val="0"/>
      <w:marTop w:val="0"/>
      <w:marBottom w:val="0"/>
      <w:divBdr>
        <w:top w:val="none" w:sz="0" w:space="0" w:color="auto"/>
        <w:left w:val="none" w:sz="0" w:space="0" w:color="auto"/>
        <w:bottom w:val="none" w:sz="0" w:space="0" w:color="auto"/>
        <w:right w:val="none" w:sz="0" w:space="0" w:color="auto"/>
      </w:divBdr>
    </w:div>
    <w:div w:id="805203405">
      <w:bodyDiv w:val="1"/>
      <w:marLeft w:val="0"/>
      <w:marRight w:val="0"/>
      <w:marTop w:val="0"/>
      <w:marBottom w:val="0"/>
      <w:divBdr>
        <w:top w:val="none" w:sz="0" w:space="0" w:color="auto"/>
        <w:left w:val="none" w:sz="0" w:space="0" w:color="auto"/>
        <w:bottom w:val="none" w:sz="0" w:space="0" w:color="auto"/>
        <w:right w:val="none" w:sz="0" w:space="0" w:color="auto"/>
      </w:divBdr>
      <w:divsChild>
        <w:div w:id="1023214513">
          <w:marLeft w:val="-720"/>
          <w:marRight w:val="0"/>
          <w:marTop w:val="0"/>
          <w:marBottom w:val="0"/>
          <w:divBdr>
            <w:top w:val="none" w:sz="0" w:space="0" w:color="auto"/>
            <w:left w:val="none" w:sz="0" w:space="0" w:color="auto"/>
            <w:bottom w:val="none" w:sz="0" w:space="0" w:color="auto"/>
            <w:right w:val="none" w:sz="0" w:space="0" w:color="auto"/>
          </w:divBdr>
        </w:div>
      </w:divsChild>
    </w:div>
    <w:div w:id="814681165">
      <w:bodyDiv w:val="1"/>
      <w:marLeft w:val="0"/>
      <w:marRight w:val="0"/>
      <w:marTop w:val="0"/>
      <w:marBottom w:val="0"/>
      <w:divBdr>
        <w:top w:val="none" w:sz="0" w:space="0" w:color="auto"/>
        <w:left w:val="none" w:sz="0" w:space="0" w:color="auto"/>
        <w:bottom w:val="none" w:sz="0" w:space="0" w:color="auto"/>
        <w:right w:val="none" w:sz="0" w:space="0" w:color="auto"/>
      </w:divBdr>
    </w:div>
    <w:div w:id="822696688">
      <w:bodyDiv w:val="1"/>
      <w:marLeft w:val="0"/>
      <w:marRight w:val="0"/>
      <w:marTop w:val="0"/>
      <w:marBottom w:val="0"/>
      <w:divBdr>
        <w:top w:val="none" w:sz="0" w:space="0" w:color="auto"/>
        <w:left w:val="none" w:sz="0" w:space="0" w:color="auto"/>
        <w:bottom w:val="none" w:sz="0" w:space="0" w:color="auto"/>
        <w:right w:val="none" w:sz="0" w:space="0" w:color="auto"/>
      </w:divBdr>
    </w:div>
    <w:div w:id="826748576">
      <w:bodyDiv w:val="1"/>
      <w:marLeft w:val="0"/>
      <w:marRight w:val="0"/>
      <w:marTop w:val="0"/>
      <w:marBottom w:val="0"/>
      <w:divBdr>
        <w:top w:val="none" w:sz="0" w:space="0" w:color="auto"/>
        <w:left w:val="none" w:sz="0" w:space="0" w:color="auto"/>
        <w:bottom w:val="none" w:sz="0" w:space="0" w:color="auto"/>
        <w:right w:val="none" w:sz="0" w:space="0" w:color="auto"/>
      </w:divBdr>
    </w:div>
    <w:div w:id="835147833">
      <w:bodyDiv w:val="1"/>
      <w:marLeft w:val="0"/>
      <w:marRight w:val="0"/>
      <w:marTop w:val="0"/>
      <w:marBottom w:val="0"/>
      <w:divBdr>
        <w:top w:val="none" w:sz="0" w:space="0" w:color="auto"/>
        <w:left w:val="none" w:sz="0" w:space="0" w:color="auto"/>
        <w:bottom w:val="none" w:sz="0" w:space="0" w:color="auto"/>
        <w:right w:val="none" w:sz="0" w:space="0" w:color="auto"/>
      </w:divBdr>
    </w:div>
    <w:div w:id="843665170">
      <w:bodyDiv w:val="1"/>
      <w:marLeft w:val="0"/>
      <w:marRight w:val="0"/>
      <w:marTop w:val="0"/>
      <w:marBottom w:val="0"/>
      <w:divBdr>
        <w:top w:val="none" w:sz="0" w:space="0" w:color="auto"/>
        <w:left w:val="none" w:sz="0" w:space="0" w:color="auto"/>
        <w:bottom w:val="none" w:sz="0" w:space="0" w:color="auto"/>
        <w:right w:val="none" w:sz="0" w:space="0" w:color="auto"/>
      </w:divBdr>
    </w:div>
    <w:div w:id="859899445">
      <w:bodyDiv w:val="1"/>
      <w:marLeft w:val="0"/>
      <w:marRight w:val="0"/>
      <w:marTop w:val="0"/>
      <w:marBottom w:val="0"/>
      <w:divBdr>
        <w:top w:val="none" w:sz="0" w:space="0" w:color="auto"/>
        <w:left w:val="none" w:sz="0" w:space="0" w:color="auto"/>
        <w:bottom w:val="none" w:sz="0" w:space="0" w:color="auto"/>
        <w:right w:val="none" w:sz="0" w:space="0" w:color="auto"/>
      </w:divBdr>
    </w:div>
    <w:div w:id="873234173">
      <w:bodyDiv w:val="1"/>
      <w:marLeft w:val="0"/>
      <w:marRight w:val="0"/>
      <w:marTop w:val="0"/>
      <w:marBottom w:val="0"/>
      <w:divBdr>
        <w:top w:val="none" w:sz="0" w:space="0" w:color="auto"/>
        <w:left w:val="none" w:sz="0" w:space="0" w:color="auto"/>
        <w:bottom w:val="none" w:sz="0" w:space="0" w:color="auto"/>
        <w:right w:val="none" w:sz="0" w:space="0" w:color="auto"/>
      </w:divBdr>
    </w:div>
    <w:div w:id="881943563">
      <w:bodyDiv w:val="1"/>
      <w:marLeft w:val="0"/>
      <w:marRight w:val="0"/>
      <w:marTop w:val="0"/>
      <w:marBottom w:val="0"/>
      <w:divBdr>
        <w:top w:val="none" w:sz="0" w:space="0" w:color="auto"/>
        <w:left w:val="none" w:sz="0" w:space="0" w:color="auto"/>
        <w:bottom w:val="none" w:sz="0" w:space="0" w:color="auto"/>
        <w:right w:val="none" w:sz="0" w:space="0" w:color="auto"/>
      </w:divBdr>
    </w:div>
    <w:div w:id="884099595">
      <w:bodyDiv w:val="1"/>
      <w:marLeft w:val="0"/>
      <w:marRight w:val="0"/>
      <w:marTop w:val="0"/>
      <w:marBottom w:val="0"/>
      <w:divBdr>
        <w:top w:val="none" w:sz="0" w:space="0" w:color="auto"/>
        <w:left w:val="none" w:sz="0" w:space="0" w:color="auto"/>
        <w:bottom w:val="none" w:sz="0" w:space="0" w:color="auto"/>
        <w:right w:val="none" w:sz="0" w:space="0" w:color="auto"/>
      </w:divBdr>
    </w:div>
    <w:div w:id="899947145">
      <w:bodyDiv w:val="1"/>
      <w:marLeft w:val="0"/>
      <w:marRight w:val="0"/>
      <w:marTop w:val="0"/>
      <w:marBottom w:val="0"/>
      <w:divBdr>
        <w:top w:val="none" w:sz="0" w:space="0" w:color="auto"/>
        <w:left w:val="none" w:sz="0" w:space="0" w:color="auto"/>
        <w:bottom w:val="none" w:sz="0" w:space="0" w:color="auto"/>
        <w:right w:val="none" w:sz="0" w:space="0" w:color="auto"/>
      </w:divBdr>
      <w:divsChild>
        <w:div w:id="1459370323">
          <w:marLeft w:val="-720"/>
          <w:marRight w:val="0"/>
          <w:marTop w:val="0"/>
          <w:marBottom w:val="0"/>
          <w:divBdr>
            <w:top w:val="none" w:sz="0" w:space="0" w:color="auto"/>
            <w:left w:val="none" w:sz="0" w:space="0" w:color="auto"/>
            <w:bottom w:val="none" w:sz="0" w:space="0" w:color="auto"/>
            <w:right w:val="none" w:sz="0" w:space="0" w:color="auto"/>
          </w:divBdr>
        </w:div>
      </w:divsChild>
    </w:div>
    <w:div w:id="917322024">
      <w:bodyDiv w:val="1"/>
      <w:marLeft w:val="0"/>
      <w:marRight w:val="0"/>
      <w:marTop w:val="0"/>
      <w:marBottom w:val="0"/>
      <w:divBdr>
        <w:top w:val="none" w:sz="0" w:space="0" w:color="auto"/>
        <w:left w:val="none" w:sz="0" w:space="0" w:color="auto"/>
        <w:bottom w:val="none" w:sz="0" w:space="0" w:color="auto"/>
        <w:right w:val="none" w:sz="0" w:space="0" w:color="auto"/>
      </w:divBdr>
    </w:div>
    <w:div w:id="932543991">
      <w:bodyDiv w:val="1"/>
      <w:marLeft w:val="0"/>
      <w:marRight w:val="0"/>
      <w:marTop w:val="0"/>
      <w:marBottom w:val="0"/>
      <w:divBdr>
        <w:top w:val="none" w:sz="0" w:space="0" w:color="auto"/>
        <w:left w:val="none" w:sz="0" w:space="0" w:color="auto"/>
        <w:bottom w:val="none" w:sz="0" w:space="0" w:color="auto"/>
        <w:right w:val="none" w:sz="0" w:space="0" w:color="auto"/>
      </w:divBdr>
    </w:div>
    <w:div w:id="941305201">
      <w:bodyDiv w:val="1"/>
      <w:marLeft w:val="0"/>
      <w:marRight w:val="0"/>
      <w:marTop w:val="0"/>
      <w:marBottom w:val="0"/>
      <w:divBdr>
        <w:top w:val="none" w:sz="0" w:space="0" w:color="auto"/>
        <w:left w:val="none" w:sz="0" w:space="0" w:color="auto"/>
        <w:bottom w:val="none" w:sz="0" w:space="0" w:color="auto"/>
        <w:right w:val="none" w:sz="0" w:space="0" w:color="auto"/>
      </w:divBdr>
    </w:div>
    <w:div w:id="950622293">
      <w:bodyDiv w:val="1"/>
      <w:marLeft w:val="0"/>
      <w:marRight w:val="0"/>
      <w:marTop w:val="0"/>
      <w:marBottom w:val="0"/>
      <w:divBdr>
        <w:top w:val="none" w:sz="0" w:space="0" w:color="auto"/>
        <w:left w:val="none" w:sz="0" w:space="0" w:color="auto"/>
        <w:bottom w:val="none" w:sz="0" w:space="0" w:color="auto"/>
        <w:right w:val="none" w:sz="0" w:space="0" w:color="auto"/>
      </w:divBdr>
    </w:div>
    <w:div w:id="952441869">
      <w:bodyDiv w:val="1"/>
      <w:marLeft w:val="0"/>
      <w:marRight w:val="0"/>
      <w:marTop w:val="0"/>
      <w:marBottom w:val="0"/>
      <w:divBdr>
        <w:top w:val="none" w:sz="0" w:space="0" w:color="auto"/>
        <w:left w:val="none" w:sz="0" w:space="0" w:color="auto"/>
        <w:bottom w:val="none" w:sz="0" w:space="0" w:color="auto"/>
        <w:right w:val="none" w:sz="0" w:space="0" w:color="auto"/>
      </w:divBdr>
    </w:div>
    <w:div w:id="956831973">
      <w:bodyDiv w:val="1"/>
      <w:marLeft w:val="0"/>
      <w:marRight w:val="0"/>
      <w:marTop w:val="0"/>
      <w:marBottom w:val="0"/>
      <w:divBdr>
        <w:top w:val="none" w:sz="0" w:space="0" w:color="auto"/>
        <w:left w:val="none" w:sz="0" w:space="0" w:color="auto"/>
        <w:bottom w:val="none" w:sz="0" w:space="0" w:color="auto"/>
        <w:right w:val="none" w:sz="0" w:space="0" w:color="auto"/>
      </w:divBdr>
    </w:div>
    <w:div w:id="973755834">
      <w:bodyDiv w:val="1"/>
      <w:marLeft w:val="0"/>
      <w:marRight w:val="0"/>
      <w:marTop w:val="0"/>
      <w:marBottom w:val="0"/>
      <w:divBdr>
        <w:top w:val="none" w:sz="0" w:space="0" w:color="auto"/>
        <w:left w:val="none" w:sz="0" w:space="0" w:color="auto"/>
        <w:bottom w:val="none" w:sz="0" w:space="0" w:color="auto"/>
        <w:right w:val="none" w:sz="0" w:space="0" w:color="auto"/>
      </w:divBdr>
    </w:div>
    <w:div w:id="1108231842">
      <w:bodyDiv w:val="1"/>
      <w:marLeft w:val="0"/>
      <w:marRight w:val="0"/>
      <w:marTop w:val="0"/>
      <w:marBottom w:val="0"/>
      <w:divBdr>
        <w:top w:val="none" w:sz="0" w:space="0" w:color="auto"/>
        <w:left w:val="none" w:sz="0" w:space="0" w:color="auto"/>
        <w:bottom w:val="none" w:sz="0" w:space="0" w:color="auto"/>
        <w:right w:val="none" w:sz="0" w:space="0" w:color="auto"/>
      </w:divBdr>
    </w:div>
    <w:div w:id="1160464608">
      <w:bodyDiv w:val="1"/>
      <w:marLeft w:val="0"/>
      <w:marRight w:val="0"/>
      <w:marTop w:val="0"/>
      <w:marBottom w:val="0"/>
      <w:divBdr>
        <w:top w:val="none" w:sz="0" w:space="0" w:color="auto"/>
        <w:left w:val="none" w:sz="0" w:space="0" w:color="auto"/>
        <w:bottom w:val="none" w:sz="0" w:space="0" w:color="auto"/>
        <w:right w:val="none" w:sz="0" w:space="0" w:color="auto"/>
      </w:divBdr>
    </w:div>
    <w:div w:id="1166171216">
      <w:bodyDiv w:val="1"/>
      <w:marLeft w:val="0"/>
      <w:marRight w:val="0"/>
      <w:marTop w:val="0"/>
      <w:marBottom w:val="0"/>
      <w:divBdr>
        <w:top w:val="none" w:sz="0" w:space="0" w:color="auto"/>
        <w:left w:val="none" w:sz="0" w:space="0" w:color="auto"/>
        <w:bottom w:val="none" w:sz="0" w:space="0" w:color="auto"/>
        <w:right w:val="none" w:sz="0" w:space="0" w:color="auto"/>
      </w:divBdr>
    </w:div>
    <w:div w:id="1226988756">
      <w:bodyDiv w:val="1"/>
      <w:marLeft w:val="0"/>
      <w:marRight w:val="0"/>
      <w:marTop w:val="0"/>
      <w:marBottom w:val="0"/>
      <w:divBdr>
        <w:top w:val="none" w:sz="0" w:space="0" w:color="auto"/>
        <w:left w:val="none" w:sz="0" w:space="0" w:color="auto"/>
        <w:bottom w:val="none" w:sz="0" w:space="0" w:color="auto"/>
        <w:right w:val="none" w:sz="0" w:space="0" w:color="auto"/>
      </w:divBdr>
      <w:divsChild>
        <w:div w:id="169761702">
          <w:marLeft w:val="0"/>
          <w:marRight w:val="0"/>
          <w:marTop w:val="0"/>
          <w:marBottom w:val="0"/>
          <w:divBdr>
            <w:top w:val="none" w:sz="0" w:space="0" w:color="auto"/>
            <w:left w:val="none" w:sz="0" w:space="0" w:color="auto"/>
            <w:bottom w:val="none" w:sz="0" w:space="0" w:color="auto"/>
            <w:right w:val="none" w:sz="0" w:space="0" w:color="auto"/>
          </w:divBdr>
        </w:div>
        <w:div w:id="507869760">
          <w:marLeft w:val="0"/>
          <w:marRight w:val="0"/>
          <w:marTop w:val="0"/>
          <w:marBottom w:val="0"/>
          <w:divBdr>
            <w:top w:val="none" w:sz="0" w:space="0" w:color="auto"/>
            <w:left w:val="none" w:sz="0" w:space="0" w:color="auto"/>
            <w:bottom w:val="none" w:sz="0" w:space="0" w:color="auto"/>
            <w:right w:val="none" w:sz="0" w:space="0" w:color="auto"/>
          </w:divBdr>
        </w:div>
        <w:div w:id="524564012">
          <w:marLeft w:val="0"/>
          <w:marRight w:val="0"/>
          <w:marTop w:val="0"/>
          <w:marBottom w:val="0"/>
          <w:divBdr>
            <w:top w:val="none" w:sz="0" w:space="0" w:color="auto"/>
            <w:left w:val="none" w:sz="0" w:space="0" w:color="auto"/>
            <w:bottom w:val="none" w:sz="0" w:space="0" w:color="auto"/>
            <w:right w:val="none" w:sz="0" w:space="0" w:color="auto"/>
          </w:divBdr>
        </w:div>
      </w:divsChild>
    </w:div>
    <w:div w:id="1232934251">
      <w:bodyDiv w:val="1"/>
      <w:marLeft w:val="0"/>
      <w:marRight w:val="0"/>
      <w:marTop w:val="0"/>
      <w:marBottom w:val="0"/>
      <w:divBdr>
        <w:top w:val="none" w:sz="0" w:space="0" w:color="auto"/>
        <w:left w:val="none" w:sz="0" w:space="0" w:color="auto"/>
        <w:bottom w:val="none" w:sz="0" w:space="0" w:color="auto"/>
        <w:right w:val="none" w:sz="0" w:space="0" w:color="auto"/>
      </w:divBdr>
    </w:div>
    <w:div w:id="1236282007">
      <w:bodyDiv w:val="1"/>
      <w:marLeft w:val="0"/>
      <w:marRight w:val="0"/>
      <w:marTop w:val="0"/>
      <w:marBottom w:val="0"/>
      <w:divBdr>
        <w:top w:val="none" w:sz="0" w:space="0" w:color="auto"/>
        <w:left w:val="none" w:sz="0" w:space="0" w:color="auto"/>
        <w:bottom w:val="none" w:sz="0" w:space="0" w:color="auto"/>
        <w:right w:val="none" w:sz="0" w:space="0" w:color="auto"/>
      </w:divBdr>
    </w:div>
    <w:div w:id="1255241215">
      <w:bodyDiv w:val="1"/>
      <w:marLeft w:val="0"/>
      <w:marRight w:val="0"/>
      <w:marTop w:val="0"/>
      <w:marBottom w:val="0"/>
      <w:divBdr>
        <w:top w:val="none" w:sz="0" w:space="0" w:color="auto"/>
        <w:left w:val="none" w:sz="0" w:space="0" w:color="auto"/>
        <w:bottom w:val="none" w:sz="0" w:space="0" w:color="auto"/>
        <w:right w:val="none" w:sz="0" w:space="0" w:color="auto"/>
      </w:divBdr>
    </w:div>
    <w:div w:id="1270309154">
      <w:bodyDiv w:val="1"/>
      <w:marLeft w:val="0"/>
      <w:marRight w:val="0"/>
      <w:marTop w:val="0"/>
      <w:marBottom w:val="0"/>
      <w:divBdr>
        <w:top w:val="none" w:sz="0" w:space="0" w:color="auto"/>
        <w:left w:val="none" w:sz="0" w:space="0" w:color="auto"/>
        <w:bottom w:val="none" w:sz="0" w:space="0" w:color="auto"/>
        <w:right w:val="none" w:sz="0" w:space="0" w:color="auto"/>
      </w:divBdr>
    </w:div>
    <w:div w:id="1306815701">
      <w:bodyDiv w:val="1"/>
      <w:marLeft w:val="0"/>
      <w:marRight w:val="0"/>
      <w:marTop w:val="0"/>
      <w:marBottom w:val="0"/>
      <w:divBdr>
        <w:top w:val="none" w:sz="0" w:space="0" w:color="auto"/>
        <w:left w:val="none" w:sz="0" w:space="0" w:color="auto"/>
        <w:bottom w:val="none" w:sz="0" w:space="0" w:color="auto"/>
        <w:right w:val="none" w:sz="0" w:space="0" w:color="auto"/>
      </w:divBdr>
    </w:div>
    <w:div w:id="1320883550">
      <w:bodyDiv w:val="1"/>
      <w:marLeft w:val="0"/>
      <w:marRight w:val="0"/>
      <w:marTop w:val="0"/>
      <w:marBottom w:val="0"/>
      <w:divBdr>
        <w:top w:val="none" w:sz="0" w:space="0" w:color="auto"/>
        <w:left w:val="none" w:sz="0" w:space="0" w:color="auto"/>
        <w:bottom w:val="none" w:sz="0" w:space="0" w:color="auto"/>
        <w:right w:val="none" w:sz="0" w:space="0" w:color="auto"/>
      </w:divBdr>
    </w:div>
    <w:div w:id="1344548879">
      <w:bodyDiv w:val="1"/>
      <w:marLeft w:val="0"/>
      <w:marRight w:val="0"/>
      <w:marTop w:val="0"/>
      <w:marBottom w:val="0"/>
      <w:divBdr>
        <w:top w:val="none" w:sz="0" w:space="0" w:color="auto"/>
        <w:left w:val="none" w:sz="0" w:space="0" w:color="auto"/>
        <w:bottom w:val="none" w:sz="0" w:space="0" w:color="auto"/>
        <w:right w:val="none" w:sz="0" w:space="0" w:color="auto"/>
      </w:divBdr>
      <w:divsChild>
        <w:div w:id="27680743">
          <w:marLeft w:val="-720"/>
          <w:marRight w:val="0"/>
          <w:marTop w:val="0"/>
          <w:marBottom w:val="0"/>
          <w:divBdr>
            <w:top w:val="none" w:sz="0" w:space="0" w:color="auto"/>
            <w:left w:val="none" w:sz="0" w:space="0" w:color="auto"/>
            <w:bottom w:val="none" w:sz="0" w:space="0" w:color="auto"/>
            <w:right w:val="none" w:sz="0" w:space="0" w:color="auto"/>
          </w:divBdr>
        </w:div>
      </w:divsChild>
    </w:div>
    <w:div w:id="1390305644">
      <w:bodyDiv w:val="1"/>
      <w:marLeft w:val="0"/>
      <w:marRight w:val="0"/>
      <w:marTop w:val="0"/>
      <w:marBottom w:val="0"/>
      <w:divBdr>
        <w:top w:val="none" w:sz="0" w:space="0" w:color="auto"/>
        <w:left w:val="none" w:sz="0" w:space="0" w:color="auto"/>
        <w:bottom w:val="none" w:sz="0" w:space="0" w:color="auto"/>
        <w:right w:val="none" w:sz="0" w:space="0" w:color="auto"/>
      </w:divBdr>
      <w:divsChild>
        <w:div w:id="223031054">
          <w:marLeft w:val="-720"/>
          <w:marRight w:val="0"/>
          <w:marTop w:val="0"/>
          <w:marBottom w:val="0"/>
          <w:divBdr>
            <w:top w:val="none" w:sz="0" w:space="0" w:color="auto"/>
            <w:left w:val="none" w:sz="0" w:space="0" w:color="auto"/>
            <w:bottom w:val="none" w:sz="0" w:space="0" w:color="auto"/>
            <w:right w:val="none" w:sz="0" w:space="0" w:color="auto"/>
          </w:divBdr>
        </w:div>
      </w:divsChild>
    </w:div>
    <w:div w:id="1396203091">
      <w:bodyDiv w:val="1"/>
      <w:marLeft w:val="0"/>
      <w:marRight w:val="0"/>
      <w:marTop w:val="0"/>
      <w:marBottom w:val="0"/>
      <w:divBdr>
        <w:top w:val="none" w:sz="0" w:space="0" w:color="auto"/>
        <w:left w:val="none" w:sz="0" w:space="0" w:color="auto"/>
        <w:bottom w:val="none" w:sz="0" w:space="0" w:color="auto"/>
        <w:right w:val="none" w:sz="0" w:space="0" w:color="auto"/>
      </w:divBdr>
      <w:divsChild>
        <w:div w:id="429206540">
          <w:marLeft w:val="-720"/>
          <w:marRight w:val="0"/>
          <w:marTop w:val="0"/>
          <w:marBottom w:val="0"/>
          <w:divBdr>
            <w:top w:val="none" w:sz="0" w:space="0" w:color="auto"/>
            <w:left w:val="none" w:sz="0" w:space="0" w:color="auto"/>
            <w:bottom w:val="none" w:sz="0" w:space="0" w:color="auto"/>
            <w:right w:val="none" w:sz="0" w:space="0" w:color="auto"/>
          </w:divBdr>
        </w:div>
      </w:divsChild>
    </w:div>
    <w:div w:id="1403479469">
      <w:bodyDiv w:val="1"/>
      <w:marLeft w:val="0"/>
      <w:marRight w:val="0"/>
      <w:marTop w:val="0"/>
      <w:marBottom w:val="0"/>
      <w:divBdr>
        <w:top w:val="none" w:sz="0" w:space="0" w:color="auto"/>
        <w:left w:val="none" w:sz="0" w:space="0" w:color="auto"/>
        <w:bottom w:val="none" w:sz="0" w:space="0" w:color="auto"/>
        <w:right w:val="none" w:sz="0" w:space="0" w:color="auto"/>
      </w:divBdr>
    </w:div>
    <w:div w:id="1422683995">
      <w:bodyDiv w:val="1"/>
      <w:marLeft w:val="0"/>
      <w:marRight w:val="0"/>
      <w:marTop w:val="0"/>
      <w:marBottom w:val="0"/>
      <w:divBdr>
        <w:top w:val="none" w:sz="0" w:space="0" w:color="auto"/>
        <w:left w:val="none" w:sz="0" w:space="0" w:color="auto"/>
        <w:bottom w:val="none" w:sz="0" w:space="0" w:color="auto"/>
        <w:right w:val="none" w:sz="0" w:space="0" w:color="auto"/>
      </w:divBdr>
    </w:div>
    <w:div w:id="1443375071">
      <w:bodyDiv w:val="1"/>
      <w:marLeft w:val="0"/>
      <w:marRight w:val="0"/>
      <w:marTop w:val="0"/>
      <w:marBottom w:val="0"/>
      <w:divBdr>
        <w:top w:val="none" w:sz="0" w:space="0" w:color="auto"/>
        <w:left w:val="none" w:sz="0" w:space="0" w:color="auto"/>
        <w:bottom w:val="none" w:sz="0" w:space="0" w:color="auto"/>
        <w:right w:val="none" w:sz="0" w:space="0" w:color="auto"/>
      </w:divBdr>
    </w:div>
    <w:div w:id="1447428203">
      <w:bodyDiv w:val="1"/>
      <w:marLeft w:val="0"/>
      <w:marRight w:val="0"/>
      <w:marTop w:val="0"/>
      <w:marBottom w:val="0"/>
      <w:divBdr>
        <w:top w:val="none" w:sz="0" w:space="0" w:color="auto"/>
        <w:left w:val="none" w:sz="0" w:space="0" w:color="auto"/>
        <w:bottom w:val="none" w:sz="0" w:space="0" w:color="auto"/>
        <w:right w:val="none" w:sz="0" w:space="0" w:color="auto"/>
      </w:divBdr>
    </w:div>
    <w:div w:id="1448232504">
      <w:bodyDiv w:val="1"/>
      <w:marLeft w:val="0"/>
      <w:marRight w:val="0"/>
      <w:marTop w:val="0"/>
      <w:marBottom w:val="0"/>
      <w:divBdr>
        <w:top w:val="none" w:sz="0" w:space="0" w:color="auto"/>
        <w:left w:val="none" w:sz="0" w:space="0" w:color="auto"/>
        <w:bottom w:val="none" w:sz="0" w:space="0" w:color="auto"/>
        <w:right w:val="none" w:sz="0" w:space="0" w:color="auto"/>
      </w:divBdr>
    </w:div>
    <w:div w:id="1457799037">
      <w:bodyDiv w:val="1"/>
      <w:marLeft w:val="0"/>
      <w:marRight w:val="0"/>
      <w:marTop w:val="0"/>
      <w:marBottom w:val="0"/>
      <w:divBdr>
        <w:top w:val="none" w:sz="0" w:space="0" w:color="auto"/>
        <w:left w:val="none" w:sz="0" w:space="0" w:color="auto"/>
        <w:bottom w:val="none" w:sz="0" w:space="0" w:color="auto"/>
        <w:right w:val="none" w:sz="0" w:space="0" w:color="auto"/>
      </w:divBdr>
    </w:div>
    <w:div w:id="1475487673">
      <w:bodyDiv w:val="1"/>
      <w:marLeft w:val="0"/>
      <w:marRight w:val="0"/>
      <w:marTop w:val="0"/>
      <w:marBottom w:val="0"/>
      <w:divBdr>
        <w:top w:val="none" w:sz="0" w:space="0" w:color="auto"/>
        <w:left w:val="none" w:sz="0" w:space="0" w:color="auto"/>
        <w:bottom w:val="none" w:sz="0" w:space="0" w:color="auto"/>
        <w:right w:val="none" w:sz="0" w:space="0" w:color="auto"/>
      </w:divBdr>
    </w:div>
    <w:div w:id="1501773619">
      <w:bodyDiv w:val="1"/>
      <w:marLeft w:val="0"/>
      <w:marRight w:val="0"/>
      <w:marTop w:val="0"/>
      <w:marBottom w:val="0"/>
      <w:divBdr>
        <w:top w:val="none" w:sz="0" w:space="0" w:color="auto"/>
        <w:left w:val="none" w:sz="0" w:space="0" w:color="auto"/>
        <w:bottom w:val="none" w:sz="0" w:space="0" w:color="auto"/>
        <w:right w:val="none" w:sz="0" w:space="0" w:color="auto"/>
      </w:divBdr>
    </w:div>
    <w:div w:id="1567959022">
      <w:bodyDiv w:val="1"/>
      <w:marLeft w:val="0"/>
      <w:marRight w:val="0"/>
      <w:marTop w:val="0"/>
      <w:marBottom w:val="0"/>
      <w:divBdr>
        <w:top w:val="none" w:sz="0" w:space="0" w:color="auto"/>
        <w:left w:val="none" w:sz="0" w:space="0" w:color="auto"/>
        <w:bottom w:val="none" w:sz="0" w:space="0" w:color="auto"/>
        <w:right w:val="none" w:sz="0" w:space="0" w:color="auto"/>
      </w:divBdr>
    </w:div>
    <w:div w:id="1570068523">
      <w:bodyDiv w:val="1"/>
      <w:marLeft w:val="0"/>
      <w:marRight w:val="0"/>
      <w:marTop w:val="0"/>
      <w:marBottom w:val="0"/>
      <w:divBdr>
        <w:top w:val="none" w:sz="0" w:space="0" w:color="auto"/>
        <w:left w:val="none" w:sz="0" w:space="0" w:color="auto"/>
        <w:bottom w:val="none" w:sz="0" w:space="0" w:color="auto"/>
        <w:right w:val="none" w:sz="0" w:space="0" w:color="auto"/>
      </w:divBdr>
    </w:div>
    <w:div w:id="1578248566">
      <w:bodyDiv w:val="1"/>
      <w:marLeft w:val="0"/>
      <w:marRight w:val="0"/>
      <w:marTop w:val="0"/>
      <w:marBottom w:val="0"/>
      <w:divBdr>
        <w:top w:val="none" w:sz="0" w:space="0" w:color="auto"/>
        <w:left w:val="none" w:sz="0" w:space="0" w:color="auto"/>
        <w:bottom w:val="none" w:sz="0" w:space="0" w:color="auto"/>
        <w:right w:val="none" w:sz="0" w:space="0" w:color="auto"/>
      </w:divBdr>
    </w:div>
    <w:div w:id="1613174154">
      <w:bodyDiv w:val="1"/>
      <w:marLeft w:val="0"/>
      <w:marRight w:val="0"/>
      <w:marTop w:val="0"/>
      <w:marBottom w:val="0"/>
      <w:divBdr>
        <w:top w:val="none" w:sz="0" w:space="0" w:color="auto"/>
        <w:left w:val="none" w:sz="0" w:space="0" w:color="auto"/>
        <w:bottom w:val="none" w:sz="0" w:space="0" w:color="auto"/>
        <w:right w:val="none" w:sz="0" w:space="0" w:color="auto"/>
      </w:divBdr>
      <w:divsChild>
        <w:div w:id="2030909468">
          <w:marLeft w:val="0"/>
          <w:marRight w:val="0"/>
          <w:marTop w:val="0"/>
          <w:marBottom w:val="0"/>
          <w:divBdr>
            <w:top w:val="none" w:sz="0" w:space="0" w:color="auto"/>
            <w:left w:val="none" w:sz="0" w:space="0" w:color="auto"/>
            <w:bottom w:val="none" w:sz="0" w:space="0" w:color="auto"/>
            <w:right w:val="none" w:sz="0" w:space="0" w:color="auto"/>
          </w:divBdr>
        </w:div>
        <w:div w:id="700859806">
          <w:marLeft w:val="0"/>
          <w:marRight w:val="0"/>
          <w:marTop w:val="0"/>
          <w:marBottom w:val="0"/>
          <w:divBdr>
            <w:top w:val="none" w:sz="0" w:space="0" w:color="auto"/>
            <w:left w:val="none" w:sz="0" w:space="0" w:color="auto"/>
            <w:bottom w:val="none" w:sz="0" w:space="0" w:color="auto"/>
            <w:right w:val="none" w:sz="0" w:space="0" w:color="auto"/>
          </w:divBdr>
        </w:div>
      </w:divsChild>
    </w:div>
    <w:div w:id="1618944599">
      <w:bodyDiv w:val="1"/>
      <w:marLeft w:val="0"/>
      <w:marRight w:val="0"/>
      <w:marTop w:val="0"/>
      <w:marBottom w:val="0"/>
      <w:divBdr>
        <w:top w:val="none" w:sz="0" w:space="0" w:color="auto"/>
        <w:left w:val="none" w:sz="0" w:space="0" w:color="auto"/>
        <w:bottom w:val="none" w:sz="0" w:space="0" w:color="auto"/>
        <w:right w:val="none" w:sz="0" w:space="0" w:color="auto"/>
      </w:divBdr>
    </w:div>
    <w:div w:id="1621911290">
      <w:bodyDiv w:val="1"/>
      <w:marLeft w:val="0"/>
      <w:marRight w:val="0"/>
      <w:marTop w:val="0"/>
      <w:marBottom w:val="0"/>
      <w:divBdr>
        <w:top w:val="none" w:sz="0" w:space="0" w:color="auto"/>
        <w:left w:val="none" w:sz="0" w:space="0" w:color="auto"/>
        <w:bottom w:val="none" w:sz="0" w:space="0" w:color="auto"/>
        <w:right w:val="none" w:sz="0" w:space="0" w:color="auto"/>
      </w:divBdr>
    </w:div>
    <w:div w:id="1628970666">
      <w:bodyDiv w:val="1"/>
      <w:marLeft w:val="0"/>
      <w:marRight w:val="0"/>
      <w:marTop w:val="0"/>
      <w:marBottom w:val="0"/>
      <w:divBdr>
        <w:top w:val="none" w:sz="0" w:space="0" w:color="auto"/>
        <w:left w:val="none" w:sz="0" w:space="0" w:color="auto"/>
        <w:bottom w:val="none" w:sz="0" w:space="0" w:color="auto"/>
        <w:right w:val="none" w:sz="0" w:space="0" w:color="auto"/>
      </w:divBdr>
    </w:div>
    <w:div w:id="1634749090">
      <w:bodyDiv w:val="1"/>
      <w:marLeft w:val="0"/>
      <w:marRight w:val="0"/>
      <w:marTop w:val="0"/>
      <w:marBottom w:val="0"/>
      <w:divBdr>
        <w:top w:val="none" w:sz="0" w:space="0" w:color="auto"/>
        <w:left w:val="none" w:sz="0" w:space="0" w:color="auto"/>
        <w:bottom w:val="none" w:sz="0" w:space="0" w:color="auto"/>
        <w:right w:val="none" w:sz="0" w:space="0" w:color="auto"/>
      </w:divBdr>
    </w:div>
    <w:div w:id="1636791590">
      <w:bodyDiv w:val="1"/>
      <w:marLeft w:val="0"/>
      <w:marRight w:val="0"/>
      <w:marTop w:val="0"/>
      <w:marBottom w:val="0"/>
      <w:divBdr>
        <w:top w:val="none" w:sz="0" w:space="0" w:color="auto"/>
        <w:left w:val="none" w:sz="0" w:space="0" w:color="auto"/>
        <w:bottom w:val="none" w:sz="0" w:space="0" w:color="auto"/>
        <w:right w:val="none" w:sz="0" w:space="0" w:color="auto"/>
      </w:divBdr>
    </w:div>
    <w:div w:id="1644309741">
      <w:bodyDiv w:val="1"/>
      <w:marLeft w:val="0"/>
      <w:marRight w:val="0"/>
      <w:marTop w:val="0"/>
      <w:marBottom w:val="0"/>
      <w:divBdr>
        <w:top w:val="none" w:sz="0" w:space="0" w:color="auto"/>
        <w:left w:val="none" w:sz="0" w:space="0" w:color="auto"/>
        <w:bottom w:val="none" w:sz="0" w:space="0" w:color="auto"/>
        <w:right w:val="none" w:sz="0" w:space="0" w:color="auto"/>
      </w:divBdr>
      <w:divsChild>
        <w:div w:id="2015374061">
          <w:marLeft w:val="0"/>
          <w:marRight w:val="0"/>
          <w:marTop w:val="0"/>
          <w:marBottom w:val="450"/>
          <w:divBdr>
            <w:top w:val="none" w:sz="0" w:space="0" w:color="auto"/>
            <w:left w:val="none" w:sz="0" w:space="0" w:color="auto"/>
            <w:bottom w:val="none" w:sz="0" w:space="0" w:color="auto"/>
            <w:right w:val="none" w:sz="0" w:space="0" w:color="auto"/>
          </w:divBdr>
        </w:div>
      </w:divsChild>
    </w:div>
    <w:div w:id="1704861782">
      <w:bodyDiv w:val="1"/>
      <w:marLeft w:val="0"/>
      <w:marRight w:val="0"/>
      <w:marTop w:val="0"/>
      <w:marBottom w:val="0"/>
      <w:divBdr>
        <w:top w:val="none" w:sz="0" w:space="0" w:color="auto"/>
        <w:left w:val="none" w:sz="0" w:space="0" w:color="auto"/>
        <w:bottom w:val="none" w:sz="0" w:space="0" w:color="auto"/>
        <w:right w:val="none" w:sz="0" w:space="0" w:color="auto"/>
      </w:divBdr>
    </w:div>
    <w:div w:id="1711611901">
      <w:bodyDiv w:val="1"/>
      <w:marLeft w:val="0"/>
      <w:marRight w:val="0"/>
      <w:marTop w:val="0"/>
      <w:marBottom w:val="0"/>
      <w:divBdr>
        <w:top w:val="none" w:sz="0" w:space="0" w:color="auto"/>
        <w:left w:val="none" w:sz="0" w:space="0" w:color="auto"/>
        <w:bottom w:val="none" w:sz="0" w:space="0" w:color="auto"/>
        <w:right w:val="none" w:sz="0" w:space="0" w:color="auto"/>
      </w:divBdr>
    </w:div>
    <w:div w:id="1719629182">
      <w:bodyDiv w:val="1"/>
      <w:marLeft w:val="0"/>
      <w:marRight w:val="0"/>
      <w:marTop w:val="0"/>
      <w:marBottom w:val="0"/>
      <w:divBdr>
        <w:top w:val="none" w:sz="0" w:space="0" w:color="auto"/>
        <w:left w:val="none" w:sz="0" w:space="0" w:color="auto"/>
        <w:bottom w:val="none" w:sz="0" w:space="0" w:color="auto"/>
        <w:right w:val="none" w:sz="0" w:space="0" w:color="auto"/>
      </w:divBdr>
    </w:div>
    <w:div w:id="1723401831">
      <w:bodyDiv w:val="1"/>
      <w:marLeft w:val="0"/>
      <w:marRight w:val="0"/>
      <w:marTop w:val="0"/>
      <w:marBottom w:val="0"/>
      <w:divBdr>
        <w:top w:val="none" w:sz="0" w:space="0" w:color="auto"/>
        <w:left w:val="none" w:sz="0" w:space="0" w:color="auto"/>
        <w:bottom w:val="none" w:sz="0" w:space="0" w:color="auto"/>
        <w:right w:val="none" w:sz="0" w:space="0" w:color="auto"/>
      </w:divBdr>
    </w:div>
    <w:div w:id="1731421848">
      <w:bodyDiv w:val="1"/>
      <w:marLeft w:val="0"/>
      <w:marRight w:val="0"/>
      <w:marTop w:val="0"/>
      <w:marBottom w:val="0"/>
      <w:divBdr>
        <w:top w:val="none" w:sz="0" w:space="0" w:color="auto"/>
        <w:left w:val="none" w:sz="0" w:space="0" w:color="auto"/>
        <w:bottom w:val="none" w:sz="0" w:space="0" w:color="auto"/>
        <w:right w:val="none" w:sz="0" w:space="0" w:color="auto"/>
      </w:divBdr>
      <w:divsChild>
        <w:div w:id="869027434">
          <w:marLeft w:val="-720"/>
          <w:marRight w:val="0"/>
          <w:marTop w:val="0"/>
          <w:marBottom w:val="0"/>
          <w:divBdr>
            <w:top w:val="none" w:sz="0" w:space="0" w:color="auto"/>
            <w:left w:val="none" w:sz="0" w:space="0" w:color="auto"/>
            <w:bottom w:val="none" w:sz="0" w:space="0" w:color="auto"/>
            <w:right w:val="none" w:sz="0" w:space="0" w:color="auto"/>
          </w:divBdr>
        </w:div>
      </w:divsChild>
    </w:div>
    <w:div w:id="1767922193">
      <w:bodyDiv w:val="1"/>
      <w:marLeft w:val="0"/>
      <w:marRight w:val="0"/>
      <w:marTop w:val="0"/>
      <w:marBottom w:val="0"/>
      <w:divBdr>
        <w:top w:val="none" w:sz="0" w:space="0" w:color="auto"/>
        <w:left w:val="none" w:sz="0" w:space="0" w:color="auto"/>
        <w:bottom w:val="none" w:sz="0" w:space="0" w:color="auto"/>
        <w:right w:val="none" w:sz="0" w:space="0" w:color="auto"/>
      </w:divBdr>
      <w:divsChild>
        <w:div w:id="1110272215">
          <w:marLeft w:val="0"/>
          <w:marRight w:val="0"/>
          <w:marTop w:val="0"/>
          <w:marBottom w:val="0"/>
          <w:divBdr>
            <w:top w:val="none" w:sz="0" w:space="0" w:color="auto"/>
            <w:left w:val="none" w:sz="0" w:space="0" w:color="auto"/>
            <w:bottom w:val="none" w:sz="0" w:space="0" w:color="auto"/>
            <w:right w:val="none" w:sz="0" w:space="0" w:color="auto"/>
          </w:divBdr>
          <w:divsChild>
            <w:div w:id="440606537">
              <w:marLeft w:val="0"/>
              <w:marRight w:val="0"/>
              <w:marTop w:val="0"/>
              <w:marBottom w:val="0"/>
              <w:divBdr>
                <w:top w:val="none" w:sz="0" w:space="0" w:color="auto"/>
                <w:left w:val="none" w:sz="0" w:space="0" w:color="auto"/>
                <w:bottom w:val="none" w:sz="0" w:space="0" w:color="auto"/>
                <w:right w:val="none" w:sz="0" w:space="0" w:color="auto"/>
              </w:divBdr>
              <w:divsChild>
                <w:div w:id="1521625885">
                  <w:marLeft w:val="0"/>
                  <w:marRight w:val="0"/>
                  <w:marTop w:val="0"/>
                  <w:marBottom w:val="0"/>
                  <w:divBdr>
                    <w:top w:val="none" w:sz="0" w:space="0" w:color="auto"/>
                    <w:left w:val="none" w:sz="0" w:space="0" w:color="auto"/>
                    <w:bottom w:val="none" w:sz="0" w:space="0" w:color="auto"/>
                    <w:right w:val="none" w:sz="0" w:space="0" w:color="auto"/>
                  </w:divBdr>
                  <w:divsChild>
                    <w:div w:id="1473911949">
                      <w:marLeft w:val="0"/>
                      <w:marRight w:val="0"/>
                      <w:marTop w:val="0"/>
                      <w:marBottom w:val="0"/>
                      <w:divBdr>
                        <w:top w:val="none" w:sz="0" w:space="0" w:color="auto"/>
                        <w:left w:val="none" w:sz="0" w:space="0" w:color="auto"/>
                        <w:bottom w:val="none" w:sz="0" w:space="0" w:color="auto"/>
                        <w:right w:val="none" w:sz="0" w:space="0" w:color="auto"/>
                      </w:divBdr>
                      <w:divsChild>
                        <w:div w:id="578447136">
                          <w:marLeft w:val="0"/>
                          <w:marRight w:val="0"/>
                          <w:marTop w:val="0"/>
                          <w:marBottom w:val="0"/>
                          <w:divBdr>
                            <w:top w:val="none" w:sz="0" w:space="0" w:color="auto"/>
                            <w:left w:val="none" w:sz="0" w:space="0" w:color="auto"/>
                            <w:bottom w:val="none" w:sz="0" w:space="0" w:color="auto"/>
                            <w:right w:val="none" w:sz="0" w:space="0" w:color="auto"/>
                          </w:divBdr>
                          <w:divsChild>
                            <w:div w:id="1082482011">
                              <w:marLeft w:val="0"/>
                              <w:marRight w:val="0"/>
                              <w:marTop w:val="0"/>
                              <w:marBottom w:val="0"/>
                              <w:divBdr>
                                <w:top w:val="none" w:sz="0" w:space="0" w:color="auto"/>
                                <w:left w:val="none" w:sz="0" w:space="0" w:color="auto"/>
                                <w:bottom w:val="none" w:sz="0" w:space="0" w:color="auto"/>
                                <w:right w:val="none" w:sz="0" w:space="0" w:color="auto"/>
                              </w:divBdr>
                              <w:divsChild>
                                <w:div w:id="555747867">
                                  <w:marLeft w:val="0"/>
                                  <w:marRight w:val="0"/>
                                  <w:marTop w:val="0"/>
                                  <w:marBottom w:val="0"/>
                                  <w:divBdr>
                                    <w:top w:val="none" w:sz="0" w:space="0" w:color="auto"/>
                                    <w:left w:val="none" w:sz="0" w:space="0" w:color="auto"/>
                                    <w:bottom w:val="none" w:sz="0" w:space="0" w:color="auto"/>
                                    <w:right w:val="none" w:sz="0" w:space="0" w:color="auto"/>
                                  </w:divBdr>
                                  <w:divsChild>
                                    <w:div w:id="2076775596">
                                      <w:marLeft w:val="0"/>
                                      <w:marRight w:val="0"/>
                                      <w:marTop w:val="0"/>
                                      <w:marBottom w:val="0"/>
                                      <w:divBdr>
                                        <w:top w:val="none" w:sz="0" w:space="0" w:color="auto"/>
                                        <w:left w:val="none" w:sz="0" w:space="0" w:color="auto"/>
                                        <w:bottom w:val="none" w:sz="0" w:space="0" w:color="auto"/>
                                        <w:right w:val="none" w:sz="0" w:space="0" w:color="auto"/>
                                      </w:divBdr>
                                      <w:divsChild>
                                        <w:div w:id="83993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734551">
          <w:marLeft w:val="0"/>
          <w:marRight w:val="0"/>
          <w:marTop w:val="0"/>
          <w:marBottom w:val="0"/>
          <w:divBdr>
            <w:top w:val="none" w:sz="0" w:space="0" w:color="auto"/>
            <w:left w:val="none" w:sz="0" w:space="0" w:color="auto"/>
            <w:bottom w:val="none" w:sz="0" w:space="0" w:color="auto"/>
            <w:right w:val="none" w:sz="0" w:space="0" w:color="auto"/>
          </w:divBdr>
          <w:divsChild>
            <w:div w:id="2143495923">
              <w:marLeft w:val="0"/>
              <w:marRight w:val="0"/>
              <w:marTop w:val="0"/>
              <w:marBottom w:val="0"/>
              <w:divBdr>
                <w:top w:val="none" w:sz="0" w:space="0" w:color="auto"/>
                <w:left w:val="none" w:sz="0" w:space="0" w:color="auto"/>
                <w:bottom w:val="none" w:sz="0" w:space="0" w:color="auto"/>
                <w:right w:val="none" w:sz="0" w:space="0" w:color="auto"/>
              </w:divBdr>
              <w:divsChild>
                <w:div w:id="1380478043">
                  <w:marLeft w:val="0"/>
                  <w:marRight w:val="0"/>
                  <w:marTop w:val="0"/>
                  <w:marBottom w:val="0"/>
                  <w:divBdr>
                    <w:top w:val="none" w:sz="0" w:space="0" w:color="auto"/>
                    <w:left w:val="none" w:sz="0" w:space="0" w:color="auto"/>
                    <w:bottom w:val="none" w:sz="0" w:space="0" w:color="auto"/>
                    <w:right w:val="none" w:sz="0" w:space="0" w:color="auto"/>
                  </w:divBdr>
                  <w:divsChild>
                    <w:div w:id="671877570">
                      <w:marLeft w:val="0"/>
                      <w:marRight w:val="0"/>
                      <w:marTop w:val="0"/>
                      <w:marBottom w:val="0"/>
                      <w:divBdr>
                        <w:top w:val="none" w:sz="0" w:space="0" w:color="auto"/>
                        <w:left w:val="none" w:sz="0" w:space="0" w:color="auto"/>
                        <w:bottom w:val="none" w:sz="0" w:space="0" w:color="auto"/>
                        <w:right w:val="none" w:sz="0" w:space="0" w:color="auto"/>
                      </w:divBdr>
                      <w:divsChild>
                        <w:div w:id="232470172">
                          <w:marLeft w:val="0"/>
                          <w:marRight w:val="0"/>
                          <w:marTop w:val="0"/>
                          <w:marBottom w:val="0"/>
                          <w:divBdr>
                            <w:top w:val="none" w:sz="0" w:space="0" w:color="auto"/>
                            <w:left w:val="none" w:sz="0" w:space="0" w:color="auto"/>
                            <w:bottom w:val="none" w:sz="0" w:space="0" w:color="auto"/>
                            <w:right w:val="none" w:sz="0" w:space="0" w:color="auto"/>
                          </w:divBdr>
                          <w:divsChild>
                            <w:div w:id="582571244">
                              <w:marLeft w:val="0"/>
                              <w:marRight w:val="0"/>
                              <w:marTop w:val="0"/>
                              <w:marBottom w:val="0"/>
                              <w:divBdr>
                                <w:top w:val="none" w:sz="0" w:space="0" w:color="auto"/>
                                <w:left w:val="none" w:sz="0" w:space="0" w:color="auto"/>
                                <w:bottom w:val="none" w:sz="0" w:space="0" w:color="auto"/>
                                <w:right w:val="none" w:sz="0" w:space="0" w:color="auto"/>
                              </w:divBdr>
                              <w:divsChild>
                                <w:div w:id="1251280353">
                                  <w:marLeft w:val="0"/>
                                  <w:marRight w:val="0"/>
                                  <w:marTop w:val="0"/>
                                  <w:marBottom w:val="0"/>
                                  <w:divBdr>
                                    <w:top w:val="none" w:sz="0" w:space="0" w:color="auto"/>
                                    <w:left w:val="none" w:sz="0" w:space="0" w:color="auto"/>
                                    <w:bottom w:val="none" w:sz="0" w:space="0" w:color="auto"/>
                                    <w:right w:val="none" w:sz="0" w:space="0" w:color="auto"/>
                                  </w:divBdr>
                                  <w:divsChild>
                                    <w:div w:id="4435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806652">
                      <w:marLeft w:val="0"/>
                      <w:marRight w:val="0"/>
                      <w:marTop w:val="0"/>
                      <w:marBottom w:val="0"/>
                      <w:divBdr>
                        <w:top w:val="none" w:sz="0" w:space="0" w:color="auto"/>
                        <w:left w:val="none" w:sz="0" w:space="0" w:color="auto"/>
                        <w:bottom w:val="none" w:sz="0" w:space="0" w:color="auto"/>
                        <w:right w:val="none" w:sz="0" w:space="0" w:color="auto"/>
                      </w:divBdr>
                      <w:divsChild>
                        <w:div w:id="225725604">
                          <w:marLeft w:val="0"/>
                          <w:marRight w:val="0"/>
                          <w:marTop w:val="0"/>
                          <w:marBottom w:val="0"/>
                          <w:divBdr>
                            <w:top w:val="none" w:sz="0" w:space="0" w:color="auto"/>
                            <w:left w:val="none" w:sz="0" w:space="0" w:color="auto"/>
                            <w:bottom w:val="none" w:sz="0" w:space="0" w:color="auto"/>
                            <w:right w:val="none" w:sz="0" w:space="0" w:color="auto"/>
                          </w:divBdr>
                          <w:divsChild>
                            <w:div w:id="559751147">
                              <w:marLeft w:val="0"/>
                              <w:marRight w:val="0"/>
                              <w:marTop w:val="0"/>
                              <w:marBottom w:val="0"/>
                              <w:divBdr>
                                <w:top w:val="none" w:sz="0" w:space="0" w:color="auto"/>
                                <w:left w:val="none" w:sz="0" w:space="0" w:color="auto"/>
                                <w:bottom w:val="none" w:sz="0" w:space="0" w:color="auto"/>
                                <w:right w:val="none" w:sz="0" w:space="0" w:color="auto"/>
                              </w:divBdr>
                              <w:divsChild>
                                <w:div w:id="1279600070">
                                  <w:marLeft w:val="0"/>
                                  <w:marRight w:val="0"/>
                                  <w:marTop w:val="0"/>
                                  <w:marBottom w:val="0"/>
                                  <w:divBdr>
                                    <w:top w:val="none" w:sz="0" w:space="0" w:color="auto"/>
                                    <w:left w:val="none" w:sz="0" w:space="0" w:color="auto"/>
                                    <w:bottom w:val="none" w:sz="0" w:space="0" w:color="auto"/>
                                    <w:right w:val="none" w:sz="0" w:space="0" w:color="auto"/>
                                  </w:divBdr>
                                  <w:divsChild>
                                    <w:div w:id="1876892996">
                                      <w:marLeft w:val="0"/>
                                      <w:marRight w:val="0"/>
                                      <w:marTop w:val="0"/>
                                      <w:marBottom w:val="0"/>
                                      <w:divBdr>
                                        <w:top w:val="none" w:sz="0" w:space="0" w:color="auto"/>
                                        <w:left w:val="none" w:sz="0" w:space="0" w:color="auto"/>
                                        <w:bottom w:val="none" w:sz="0" w:space="0" w:color="auto"/>
                                        <w:right w:val="none" w:sz="0" w:space="0" w:color="auto"/>
                                      </w:divBdr>
                                      <w:divsChild>
                                        <w:div w:id="132782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6194572">
      <w:bodyDiv w:val="1"/>
      <w:marLeft w:val="0"/>
      <w:marRight w:val="0"/>
      <w:marTop w:val="0"/>
      <w:marBottom w:val="0"/>
      <w:divBdr>
        <w:top w:val="none" w:sz="0" w:space="0" w:color="auto"/>
        <w:left w:val="none" w:sz="0" w:space="0" w:color="auto"/>
        <w:bottom w:val="none" w:sz="0" w:space="0" w:color="auto"/>
        <w:right w:val="none" w:sz="0" w:space="0" w:color="auto"/>
      </w:divBdr>
    </w:div>
    <w:div w:id="1823424030">
      <w:bodyDiv w:val="1"/>
      <w:marLeft w:val="0"/>
      <w:marRight w:val="0"/>
      <w:marTop w:val="0"/>
      <w:marBottom w:val="0"/>
      <w:divBdr>
        <w:top w:val="none" w:sz="0" w:space="0" w:color="auto"/>
        <w:left w:val="none" w:sz="0" w:space="0" w:color="auto"/>
        <w:bottom w:val="none" w:sz="0" w:space="0" w:color="auto"/>
        <w:right w:val="none" w:sz="0" w:space="0" w:color="auto"/>
      </w:divBdr>
    </w:div>
    <w:div w:id="1823548299">
      <w:bodyDiv w:val="1"/>
      <w:marLeft w:val="0"/>
      <w:marRight w:val="0"/>
      <w:marTop w:val="0"/>
      <w:marBottom w:val="0"/>
      <w:divBdr>
        <w:top w:val="none" w:sz="0" w:space="0" w:color="auto"/>
        <w:left w:val="none" w:sz="0" w:space="0" w:color="auto"/>
        <w:bottom w:val="none" w:sz="0" w:space="0" w:color="auto"/>
        <w:right w:val="none" w:sz="0" w:space="0" w:color="auto"/>
      </w:divBdr>
    </w:div>
    <w:div w:id="1824616529">
      <w:bodyDiv w:val="1"/>
      <w:marLeft w:val="0"/>
      <w:marRight w:val="0"/>
      <w:marTop w:val="0"/>
      <w:marBottom w:val="0"/>
      <w:divBdr>
        <w:top w:val="none" w:sz="0" w:space="0" w:color="auto"/>
        <w:left w:val="none" w:sz="0" w:space="0" w:color="auto"/>
        <w:bottom w:val="none" w:sz="0" w:space="0" w:color="auto"/>
        <w:right w:val="none" w:sz="0" w:space="0" w:color="auto"/>
      </w:divBdr>
    </w:div>
    <w:div w:id="1835221548">
      <w:bodyDiv w:val="1"/>
      <w:marLeft w:val="0"/>
      <w:marRight w:val="0"/>
      <w:marTop w:val="0"/>
      <w:marBottom w:val="0"/>
      <w:divBdr>
        <w:top w:val="none" w:sz="0" w:space="0" w:color="auto"/>
        <w:left w:val="none" w:sz="0" w:space="0" w:color="auto"/>
        <w:bottom w:val="none" w:sz="0" w:space="0" w:color="auto"/>
        <w:right w:val="none" w:sz="0" w:space="0" w:color="auto"/>
      </w:divBdr>
    </w:div>
    <w:div w:id="1837644125">
      <w:bodyDiv w:val="1"/>
      <w:marLeft w:val="0"/>
      <w:marRight w:val="0"/>
      <w:marTop w:val="0"/>
      <w:marBottom w:val="0"/>
      <w:divBdr>
        <w:top w:val="none" w:sz="0" w:space="0" w:color="auto"/>
        <w:left w:val="none" w:sz="0" w:space="0" w:color="auto"/>
        <w:bottom w:val="none" w:sz="0" w:space="0" w:color="auto"/>
        <w:right w:val="none" w:sz="0" w:space="0" w:color="auto"/>
      </w:divBdr>
    </w:div>
    <w:div w:id="1841459459">
      <w:bodyDiv w:val="1"/>
      <w:marLeft w:val="0"/>
      <w:marRight w:val="0"/>
      <w:marTop w:val="0"/>
      <w:marBottom w:val="0"/>
      <w:divBdr>
        <w:top w:val="none" w:sz="0" w:space="0" w:color="auto"/>
        <w:left w:val="none" w:sz="0" w:space="0" w:color="auto"/>
        <w:bottom w:val="none" w:sz="0" w:space="0" w:color="auto"/>
        <w:right w:val="none" w:sz="0" w:space="0" w:color="auto"/>
      </w:divBdr>
    </w:div>
    <w:div w:id="1855337660">
      <w:bodyDiv w:val="1"/>
      <w:marLeft w:val="0"/>
      <w:marRight w:val="0"/>
      <w:marTop w:val="0"/>
      <w:marBottom w:val="0"/>
      <w:divBdr>
        <w:top w:val="none" w:sz="0" w:space="0" w:color="auto"/>
        <w:left w:val="none" w:sz="0" w:space="0" w:color="auto"/>
        <w:bottom w:val="none" w:sz="0" w:space="0" w:color="auto"/>
        <w:right w:val="none" w:sz="0" w:space="0" w:color="auto"/>
      </w:divBdr>
    </w:div>
    <w:div w:id="1904636397">
      <w:bodyDiv w:val="1"/>
      <w:marLeft w:val="0"/>
      <w:marRight w:val="0"/>
      <w:marTop w:val="0"/>
      <w:marBottom w:val="0"/>
      <w:divBdr>
        <w:top w:val="none" w:sz="0" w:space="0" w:color="auto"/>
        <w:left w:val="none" w:sz="0" w:space="0" w:color="auto"/>
        <w:bottom w:val="none" w:sz="0" w:space="0" w:color="auto"/>
        <w:right w:val="none" w:sz="0" w:space="0" w:color="auto"/>
      </w:divBdr>
    </w:div>
    <w:div w:id="1937513273">
      <w:bodyDiv w:val="1"/>
      <w:marLeft w:val="0"/>
      <w:marRight w:val="0"/>
      <w:marTop w:val="0"/>
      <w:marBottom w:val="0"/>
      <w:divBdr>
        <w:top w:val="none" w:sz="0" w:space="0" w:color="auto"/>
        <w:left w:val="none" w:sz="0" w:space="0" w:color="auto"/>
        <w:bottom w:val="none" w:sz="0" w:space="0" w:color="auto"/>
        <w:right w:val="none" w:sz="0" w:space="0" w:color="auto"/>
      </w:divBdr>
    </w:div>
    <w:div w:id="1938319224">
      <w:bodyDiv w:val="1"/>
      <w:marLeft w:val="0"/>
      <w:marRight w:val="0"/>
      <w:marTop w:val="0"/>
      <w:marBottom w:val="0"/>
      <w:divBdr>
        <w:top w:val="none" w:sz="0" w:space="0" w:color="auto"/>
        <w:left w:val="none" w:sz="0" w:space="0" w:color="auto"/>
        <w:bottom w:val="none" w:sz="0" w:space="0" w:color="auto"/>
        <w:right w:val="none" w:sz="0" w:space="0" w:color="auto"/>
      </w:divBdr>
    </w:div>
    <w:div w:id="1964313200">
      <w:bodyDiv w:val="1"/>
      <w:marLeft w:val="0"/>
      <w:marRight w:val="0"/>
      <w:marTop w:val="0"/>
      <w:marBottom w:val="0"/>
      <w:divBdr>
        <w:top w:val="none" w:sz="0" w:space="0" w:color="auto"/>
        <w:left w:val="none" w:sz="0" w:space="0" w:color="auto"/>
        <w:bottom w:val="none" w:sz="0" w:space="0" w:color="auto"/>
        <w:right w:val="none" w:sz="0" w:space="0" w:color="auto"/>
      </w:divBdr>
    </w:div>
    <w:div w:id="1977371878">
      <w:bodyDiv w:val="1"/>
      <w:marLeft w:val="0"/>
      <w:marRight w:val="0"/>
      <w:marTop w:val="0"/>
      <w:marBottom w:val="0"/>
      <w:divBdr>
        <w:top w:val="none" w:sz="0" w:space="0" w:color="auto"/>
        <w:left w:val="none" w:sz="0" w:space="0" w:color="auto"/>
        <w:bottom w:val="none" w:sz="0" w:space="0" w:color="auto"/>
        <w:right w:val="none" w:sz="0" w:space="0" w:color="auto"/>
      </w:divBdr>
    </w:div>
    <w:div w:id="1977905636">
      <w:bodyDiv w:val="1"/>
      <w:marLeft w:val="0"/>
      <w:marRight w:val="0"/>
      <w:marTop w:val="0"/>
      <w:marBottom w:val="0"/>
      <w:divBdr>
        <w:top w:val="none" w:sz="0" w:space="0" w:color="auto"/>
        <w:left w:val="none" w:sz="0" w:space="0" w:color="auto"/>
        <w:bottom w:val="none" w:sz="0" w:space="0" w:color="auto"/>
        <w:right w:val="none" w:sz="0" w:space="0" w:color="auto"/>
      </w:divBdr>
    </w:div>
    <w:div w:id="1988898444">
      <w:bodyDiv w:val="1"/>
      <w:marLeft w:val="0"/>
      <w:marRight w:val="0"/>
      <w:marTop w:val="0"/>
      <w:marBottom w:val="0"/>
      <w:divBdr>
        <w:top w:val="none" w:sz="0" w:space="0" w:color="auto"/>
        <w:left w:val="none" w:sz="0" w:space="0" w:color="auto"/>
        <w:bottom w:val="none" w:sz="0" w:space="0" w:color="auto"/>
        <w:right w:val="none" w:sz="0" w:space="0" w:color="auto"/>
      </w:divBdr>
    </w:div>
    <w:div w:id="2020279167">
      <w:bodyDiv w:val="1"/>
      <w:marLeft w:val="0"/>
      <w:marRight w:val="0"/>
      <w:marTop w:val="0"/>
      <w:marBottom w:val="0"/>
      <w:divBdr>
        <w:top w:val="none" w:sz="0" w:space="0" w:color="auto"/>
        <w:left w:val="none" w:sz="0" w:space="0" w:color="auto"/>
        <w:bottom w:val="none" w:sz="0" w:space="0" w:color="auto"/>
        <w:right w:val="none" w:sz="0" w:space="0" w:color="auto"/>
      </w:divBdr>
    </w:div>
    <w:div w:id="2076851366">
      <w:bodyDiv w:val="1"/>
      <w:marLeft w:val="0"/>
      <w:marRight w:val="0"/>
      <w:marTop w:val="0"/>
      <w:marBottom w:val="0"/>
      <w:divBdr>
        <w:top w:val="none" w:sz="0" w:space="0" w:color="auto"/>
        <w:left w:val="none" w:sz="0" w:space="0" w:color="auto"/>
        <w:bottom w:val="none" w:sz="0" w:space="0" w:color="auto"/>
        <w:right w:val="none" w:sz="0" w:space="0" w:color="auto"/>
      </w:divBdr>
    </w:div>
    <w:div w:id="2098863237">
      <w:bodyDiv w:val="1"/>
      <w:marLeft w:val="0"/>
      <w:marRight w:val="0"/>
      <w:marTop w:val="0"/>
      <w:marBottom w:val="0"/>
      <w:divBdr>
        <w:top w:val="none" w:sz="0" w:space="0" w:color="auto"/>
        <w:left w:val="none" w:sz="0" w:space="0" w:color="auto"/>
        <w:bottom w:val="none" w:sz="0" w:space="0" w:color="auto"/>
        <w:right w:val="none" w:sz="0" w:space="0" w:color="auto"/>
      </w:divBdr>
      <w:divsChild>
        <w:div w:id="1129396455">
          <w:marLeft w:val="-720"/>
          <w:marRight w:val="0"/>
          <w:marTop w:val="0"/>
          <w:marBottom w:val="0"/>
          <w:divBdr>
            <w:top w:val="none" w:sz="0" w:space="0" w:color="auto"/>
            <w:left w:val="none" w:sz="0" w:space="0" w:color="auto"/>
            <w:bottom w:val="none" w:sz="0" w:space="0" w:color="auto"/>
            <w:right w:val="none" w:sz="0" w:space="0" w:color="auto"/>
          </w:divBdr>
        </w:div>
      </w:divsChild>
    </w:div>
    <w:div w:id="2113818517">
      <w:bodyDiv w:val="1"/>
      <w:marLeft w:val="0"/>
      <w:marRight w:val="0"/>
      <w:marTop w:val="0"/>
      <w:marBottom w:val="0"/>
      <w:divBdr>
        <w:top w:val="none" w:sz="0" w:space="0" w:color="auto"/>
        <w:left w:val="none" w:sz="0" w:space="0" w:color="auto"/>
        <w:bottom w:val="none" w:sz="0" w:space="0" w:color="auto"/>
        <w:right w:val="none" w:sz="0" w:space="0" w:color="auto"/>
      </w:divBdr>
    </w:div>
    <w:div w:id="2119331332">
      <w:marLeft w:val="0"/>
      <w:marRight w:val="0"/>
      <w:marTop w:val="0"/>
      <w:marBottom w:val="0"/>
      <w:divBdr>
        <w:top w:val="none" w:sz="0" w:space="0" w:color="auto"/>
        <w:left w:val="none" w:sz="0" w:space="0" w:color="auto"/>
        <w:bottom w:val="none" w:sz="0" w:space="0" w:color="auto"/>
        <w:right w:val="none" w:sz="0" w:space="0" w:color="auto"/>
      </w:divBdr>
    </w:div>
    <w:div w:id="2119331333">
      <w:marLeft w:val="0"/>
      <w:marRight w:val="0"/>
      <w:marTop w:val="0"/>
      <w:marBottom w:val="0"/>
      <w:divBdr>
        <w:top w:val="none" w:sz="0" w:space="0" w:color="auto"/>
        <w:left w:val="none" w:sz="0" w:space="0" w:color="auto"/>
        <w:bottom w:val="none" w:sz="0" w:space="0" w:color="auto"/>
        <w:right w:val="none" w:sz="0" w:space="0" w:color="auto"/>
      </w:divBdr>
    </w:div>
    <w:div w:id="2119331334">
      <w:marLeft w:val="0"/>
      <w:marRight w:val="0"/>
      <w:marTop w:val="0"/>
      <w:marBottom w:val="0"/>
      <w:divBdr>
        <w:top w:val="none" w:sz="0" w:space="0" w:color="auto"/>
        <w:left w:val="none" w:sz="0" w:space="0" w:color="auto"/>
        <w:bottom w:val="none" w:sz="0" w:space="0" w:color="auto"/>
        <w:right w:val="none" w:sz="0" w:space="0" w:color="auto"/>
      </w:divBdr>
    </w:div>
    <w:div w:id="2119331335">
      <w:marLeft w:val="0"/>
      <w:marRight w:val="0"/>
      <w:marTop w:val="0"/>
      <w:marBottom w:val="0"/>
      <w:divBdr>
        <w:top w:val="none" w:sz="0" w:space="0" w:color="auto"/>
        <w:left w:val="none" w:sz="0" w:space="0" w:color="auto"/>
        <w:bottom w:val="none" w:sz="0" w:space="0" w:color="auto"/>
        <w:right w:val="none" w:sz="0" w:space="0" w:color="auto"/>
      </w:divBdr>
    </w:div>
    <w:div w:id="2119331336">
      <w:marLeft w:val="0"/>
      <w:marRight w:val="0"/>
      <w:marTop w:val="0"/>
      <w:marBottom w:val="0"/>
      <w:divBdr>
        <w:top w:val="none" w:sz="0" w:space="0" w:color="auto"/>
        <w:left w:val="none" w:sz="0" w:space="0" w:color="auto"/>
        <w:bottom w:val="none" w:sz="0" w:space="0" w:color="auto"/>
        <w:right w:val="none" w:sz="0" w:space="0" w:color="auto"/>
      </w:divBdr>
    </w:div>
    <w:div w:id="2119331337">
      <w:marLeft w:val="0"/>
      <w:marRight w:val="0"/>
      <w:marTop w:val="0"/>
      <w:marBottom w:val="0"/>
      <w:divBdr>
        <w:top w:val="none" w:sz="0" w:space="0" w:color="auto"/>
        <w:left w:val="none" w:sz="0" w:space="0" w:color="auto"/>
        <w:bottom w:val="none" w:sz="0" w:space="0" w:color="auto"/>
        <w:right w:val="none" w:sz="0" w:space="0" w:color="auto"/>
      </w:divBdr>
    </w:div>
    <w:div w:id="2119331338">
      <w:marLeft w:val="0"/>
      <w:marRight w:val="0"/>
      <w:marTop w:val="0"/>
      <w:marBottom w:val="0"/>
      <w:divBdr>
        <w:top w:val="none" w:sz="0" w:space="0" w:color="auto"/>
        <w:left w:val="none" w:sz="0" w:space="0" w:color="auto"/>
        <w:bottom w:val="none" w:sz="0" w:space="0" w:color="auto"/>
        <w:right w:val="none" w:sz="0" w:space="0" w:color="auto"/>
      </w:divBdr>
    </w:div>
    <w:div w:id="2119331344">
      <w:marLeft w:val="0"/>
      <w:marRight w:val="0"/>
      <w:marTop w:val="0"/>
      <w:marBottom w:val="0"/>
      <w:divBdr>
        <w:top w:val="none" w:sz="0" w:space="0" w:color="auto"/>
        <w:left w:val="none" w:sz="0" w:space="0" w:color="auto"/>
        <w:bottom w:val="none" w:sz="0" w:space="0" w:color="auto"/>
        <w:right w:val="none" w:sz="0" w:space="0" w:color="auto"/>
      </w:divBdr>
    </w:div>
    <w:div w:id="2119331345">
      <w:marLeft w:val="0"/>
      <w:marRight w:val="0"/>
      <w:marTop w:val="0"/>
      <w:marBottom w:val="0"/>
      <w:divBdr>
        <w:top w:val="none" w:sz="0" w:space="0" w:color="auto"/>
        <w:left w:val="none" w:sz="0" w:space="0" w:color="auto"/>
        <w:bottom w:val="none" w:sz="0" w:space="0" w:color="auto"/>
        <w:right w:val="none" w:sz="0" w:space="0" w:color="auto"/>
      </w:divBdr>
    </w:div>
    <w:div w:id="2119331346">
      <w:marLeft w:val="0"/>
      <w:marRight w:val="0"/>
      <w:marTop w:val="0"/>
      <w:marBottom w:val="0"/>
      <w:divBdr>
        <w:top w:val="none" w:sz="0" w:space="0" w:color="auto"/>
        <w:left w:val="none" w:sz="0" w:space="0" w:color="auto"/>
        <w:bottom w:val="none" w:sz="0" w:space="0" w:color="auto"/>
        <w:right w:val="none" w:sz="0" w:space="0" w:color="auto"/>
      </w:divBdr>
    </w:div>
    <w:div w:id="2119331347">
      <w:marLeft w:val="0"/>
      <w:marRight w:val="0"/>
      <w:marTop w:val="0"/>
      <w:marBottom w:val="0"/>
      <w:divBdr>
        <w:top w:val="none" w:sz="0" w:space="0" w:color="auto"/>
        <w:left w:val="none" w:sz="0" w:space="0" w:color="auto"/>
        <w:bottom w:val="none" w:sz="0" w:space="0" w:color="auto"/>
        <w:right w:val="none" w:sz="0" w:space="0" w:color="auto"/>
      </w:divBdr>
    </w:div>
    <w:div w:id="2119331348">
      <w:marLeft w:val="0"/>
      <w:marRight w:val="0"/>
      <w:marTop w:val="0"/>
      <w:marBottom w:val="0"/>
      <w:divBdr>
        <w:top w:val="none" w:sz="0" w:space="0" w:color="auto"/>
        <w:left w:val="none" w:sz="0" w:space="0" w:color="auto"/>
        <w:bottom w:val="none" w:sz="0" w:space="0" w:color="auto"/>
        <w:right w:val="none" w:sz="0" w:space="0" w:color="auto"/>
      </w:divBdr>
    </w:div>
    <w:div w:id="2119331351">
      <w:marLeft w:val="0"/>
      <w:marRight w:val="0"/>
      <w:marTop w:val="0"/>
      <w:marBottom w:val="0"/>
      <w:divBdr>
        <w:top w:val="none" w:sz="0" w:space="0" w:color="auto"/>
        <w:left w:val="none" w:sz="0" w:space="0" w:color="auto"/>
        <w:bottom w:val="none" w:sz="0" w:space="0" w:color="auto"/>
        <w:right w:val="none" w:sz="0" w:space="0" w:color="auto"/>
      </w:divBdr>
    </w:div>
    <w:div w:id="2119331354">
      <w:marLeft w:val="0"/>
      <w:marRight w:val="0"/>
      <w:marTop w:val="0"/>
      <w:marBottom w:val="0"/>
      <w:divBdr>
        <w:top w:val="none" w:sz="0" w:space="0" w:color="auto"/>
        <w:left w:val="none" w:sz="0" w:space="0" w:color="auto"/>
        <w:bottom w:val="none" w:sz="0" w:space="0" w:color="auto"/>
        <w:right w:val="none" w:sz="0" w:space="0" w:color="auto"/>
      </w:divBdr>
    </w:div>
    <w:div w:id="2119331355">
      <w:marLeft w:val="0"/>
      <w:marRight w:val="0"/>
      <w:marTop w:val="0"/>
      <w:marBottom w:val="0"/>
      <w:divBdr>
        <w:top w:val="none" w:sz="0" w:space="0" w:color="auto"/>
        <w:left w:val="none" w:sz="0" w:space="0" w:color="auto"/>
        <w:bottom w:val="none" w:sz="0" w:space="0" w:color="auto"/>
        <w:right w:val="none" w:sz="0" w:space="0" w:color="auto"/>
      </w:divBdr>
    </w:div>
    <w:div w:id="2119331357">
      <w:marLeft w:val="0"/>
      <w:marRight w:val="0"/>
      <w:marTop w:val="0"/>
      <w:marBottom w:val="0"/>
      <w:divBdr>
        <w:top w:val="none" w:sz="0" w:space="0" w:color="auto"/>
        <w:left w:val="none" w:sz="0" w:space="0" w:color="auto"/>
        <w:bottom w:val="none" w:sz="0" w:space="0" w:color="auto"/>
        <w:right w:val="none" w:sz="0" w:space="0" w:color="auto"/>
      </w:divBdr>
    </w:div>
    <w:div w:id="2119331360">
      <w:marLeft w:val="0"/>
      <w:marRight w:val="0"/>
      <w:marTop w:val="0"/>
      <w:marBottom w:val="0"/>
      <w:divBdr>
        <w:top w:val="none" w:sz="0" w:space="0" w:color="auto"/>
        <w:left w:val="none" w:sz="0" w:space="0" w:color="auto"/>
        <w:bottom w:val="none" w:sz="0" w:space="0" w:color="auto"/>
        <w:right w:val="none" w:sz="0" w:space="0" w:color="auto"/>
      </w:divBdr>
      <w:divsChild>
        <w:div w:id="2119331339">
          <w:marLeft w:val="0"/>
          <w:marRight w:val="0"/>
          <w:marTop w:val="0"/>
          <w:marBottom w:val="0"/>
          <w:divBdr>
            <w:top w:val="none" w:sz="0" w:space="0" w:color="auto"/>
            <w:left w:val="none" w:sz="0" w:space="0" w:color="auto"/>
            <w:bottom w:val="none" w:sz="0" w:space="0" w:color="auto"/>
            <w:right w:val="none" w:sz="0" w:space="0" w:color="auto"/>
          </w:divBdr>
        </w:div>
        <w:div w:id="2119331340">
          <w:marLeft w:val="0"/>
          <w:marRight w:val="0"/>
          <w:marTop w:val="0"/>
          <w:marBottom w:val="0"/>
          <w:divBdr>
            <w:top w:val="none" w:sz="0" w:space="0" w:color="auto"/>
            <w:left w:val="none" w:sz="0" w:space="0" w:color="auto"/>
            <w:bottom w:val="none" w:sz="0" w:space="0" w:color="auto"/>
            <w:right w:val="none" w:sz="0" w:space="0" w:color="auto"/>
          </w:divBdr>
        </w:div>
        <w:div w:id="2119331341">
          <w:marLeft w:val="0"/>
          <w:marRight w:val="0"/>
          <w:marTop w:val="0"/>
          <w:marBottom w:val="0"/>
          <w:divBdr>
            <w:top w:val="none" w:sz="0" w:space="0" w:color="auto"/>
            <w:left w:val="none" w:sz="0" w:space="0" w:color="auto"/>
            <w:bottom w:val="none" w:sz="0" w:space="0" w:color="auto"/>
            <w:right w:val="none" w:sz="0" w:space="0" w:color="auto"/>
          </w:divBdr>
        </w:div>
        <w:div w:id="2119331342">
          <w:marLeft w:val="0"/>
          <w:marRight w:val="0"/>
          <w:marTop w:val="0"/>
          <w:marBottom w:val="0"/>
          <w:divBdr>
            <w:top w:val="none" w:sz="0" w:space="0" w:color="auto"/>
            <w:left w:val="none" w:sz="0" w:space="0" w:color="auto"/>
            <w:bottom w:val="none" w:sz="0" w:space="0" w:color="auto"/>
            <w:right w:val="none" w:sz="0" w:space="0" w:color="auto"/>
          </w:divBdr>
        </w:div>
        <w:div w:id="2119331343">
          <w:marLeft w:val="0"/>
          <w:marRight w:val="0"/>
          <w:marTop w:val="0"/>
          <w:marBottom w:val="0"/>
          <w:divBdr>
            <w:top w:val="none" w:sz="0" w:space="0" w:color="auto"/>
            <w:left w:val="none" w:sz="0" w:space="0" w:color="auto"/>
            <w:bottom w:val="none" w:sz="0" w:space="0" w:color="auto"/>
            <w:right w:val="none" w:sz="0" w:space="0" w:color="auto"/>
          </w:divBdr>
        </w:div>
        <w:div w:id="2119331349">
          <w:marLeft w:val="0"/>
          <w:marRight w:val="0"/>
          <w:marTop w:val="0"/>
          <w:marBottom w:val="0"/>
          <w:divBdr>
            <w:top w:val="none" w:sz="0" w:space="0" w:color="auto"/>
            <w:left w:val="none" w:sz="0" w:space="0" w:color="auto"/>
            <w:bottom w:val="none" w:sz="0" w:space="0" w:color="auto"/>
            <w:right w:val="none" w:sz="0" w:space="0" w:color="auto"/>
          </w:divBdr>
        </w:div>
        <w:div w:id="2119331350">
          <w:marLeft w:val="0"/>
          <w:marRight w:val="0"/>
          <w:marTop w:val="0"/>
          <w:marBottom w:val="0"/>
          <w:divBdr>
            <w:top w:val="none" w:sz="0" w:space="0" w:color="auto"/>
            <w:left w:val="none" w:sz="0" w:space="0" w:color="auto"/>
            <w:bottom w:val="none" w:sz="0" w:space="0" w:color="auto"/>
            <w:right w:val="none" w:sz="0" w:space="0" w:color="auto"/>
          </w:divBdr>
        </w:div>
        <w:div w:id="2119331352">
          <w:marLeft w:val="0"/>
          <w:marRight w:val="0"/>
          <w:marTop w:val="0"/>
          <w:marBottom w:val="0"/>
          <w:divBdr>
            <w:top w:val="none" w:sz="0" w:space="0" w:color="auto"/>
            <w:left w:val="none" w:sz="0" w:space="0" w:color="auto"/>
            <w:bottom w:val="none" w:sz="0" w:space="0" w:color="auto"/>
            <w:right w:val="none" w:sz="0" w:space="0" w:color="auto"/>
          </w:divBdr>
        </w:div>
        <w:div w:id="2119331353">
          <w:marLeft w:val="0"/>
          <w:marRight w:val="0"/>
          <w:marTop w:val="0"/>
          <w:marBottom w:val="0"/>
          <w:divBdr>
            <w:top w:val="none" w:sz="0" w:space="0" w:color="auto"/>
            <w:left w:val="none" w:sz="0" w:space="0" w:color="auto"/>
            <w:bottom w:val="none" w:sz="0" w:space="0" w:color="auto"/>
            <w:right w:val="none" w:sz="0" w:space="0" w:color="auto"/>
          </w:divBdr>
        </w:div>
        <w:div w:id="2119331356">
          <w:marLeft w:val="0"/>
          <w:marRight w:val="0"/>
          <w:marTop w:val="0"/>
          <w:marBottom w:val="0"/>
          <w:divBdr>
            <w:top w:val="none" w:sz="0" w:space="0" w:color="auto"/>
            <w:left w:val="none" w:sz="0" w:space="0" w:color="auto"/>
            <w:bottom w:val="none" w:sz="0" w:space="0" w:color="auto"/>
            <w:right w:val="none" w:sz="0" w:space="0" w:color="auto"/>
          </w:divBdr>
        </w:div>
        <w:div w:id="2119331358">
          <w:marLeft w:val="0"/>
          <w:marRight w:val="0"/>
          <w:marTop w:val="0"/>
          <w:marBottom w:val="0"/>
          <w:divBdr>
            <w:top w:val="none" w:sz="0" w:space="0" w:color="auto"/>
            <w:left w:val="none" w:sz="0" w:space="0" w:color="auto"/>
            <w:bottom w:val="none" w:sz="0" w:space="0" w:color="auto"/>
            <w:right w:val="none" w:sz="0" w:space="0" w:color="auto"/>
          </w:divBdr>
        </w:div>
        <w:div w:id="2119331359">
          <w:marLeft w:val="0"/>
          <w:marRight w:val="0"/>
          <w:marTop w:val="0"/>
          <w:marBottom w:val="0"/>
          <w:divBdr>
            <w:top w:val="none" w:sz="0" w:space="0" w:color="auto"/>
            <w:left w:val="none" w:sz="0" w:space="0" w:color="auto"/>
            <w:bottom w:val="none" w:sz="0" w:space="0" w:color="auto"/>
            <w:right w:val="none" w:sz="0" w:space="0" w:color="auto"/>
          </w:divBdr>
        </w:div>
      </w:divsChild>
    </w:div>
    <w:div w:id="2130586567">
      <w:bodyDiv w:val="1"/>
      <w:marLeft w:val="0"/>
      <w:marRight w:val="0"/>
      <w:marTop w:val="0"/>
      <w:marBottom w:val="0"/>
      <w:divBdr>
        <w:top w:val="none" w:sz="0" w:space="0" w:color="auto"/>
        <w:left w:val="none" w:sz="0" w:space="0" w:color="auto"/>
        <w:bottom w:val="none" w:sz="0" w:space="0" w:color="auto"/>
        <w:right w:val="none" w:sz="0" w:space="0" w:color="auto"/>
      </w:divBdr>
      <w:divsChild>
        <w:div w:id="1339652481">
          <w:marLeft w:val="-720"/>
          <w:marRight w:val="0"/>
          <w:marTop w:val="0"/>
          <w:marBottom w:val="0"/>
          <w:divBdr>
            <w:top w:val="none" w:sz="0" w:space="0" w:color="auto"/>
            <w:left w:val="none" w:sz="0" w:space="0" w:color="auto"/>
            <w:bottom w:val="none" w:sz="0" w:space="0" w:color="auto"/>
            <w:right w:val="none" w:sz="0" w:space="0" w:color="auto"/>
          </w:divBdr>
        </w:div>
      </w:divsChild>
    </w:div>
    <w:div w:id="2136096340">
      <w:bodyDiv w:val="1"/>
      <w:marLeft w:val="0"/>
      <w:marRight w:val="0"/>
      <w:marTop w:val="0"/>
      <w:marBottom w:val="0"/>
      <w:divBdr>
        <w:top w:val="none" w:sz="0" w:space="0" w:color="auto"/>
        <w:left w:val="none" w:sz="0" w:space="0" w:color="auto"/>
        <w:bottom w:val="none" w:sz="0" w:space="0" w:color="auto"/>
        <w:right w:val="none" w:sz="0" w:space="0" w:color="auto"/>
      </w:divBdr>
    </w:div>
    <w:div w:id="2136948039">
      <w:bodyDiv w:val="1"/>
      <w:marLeft w:val="0"/>
      <w:marRight w:val="0"/>
      <w:marTop w:val="0"/>
      <w:marBottom w:val="0"/>
      <w:divBdr>
        <w:top w:val="none" w:sz="0" w:space="0" w:color="auto"/>
        <w:left w:val="none" w:sz="0" w:space="0" w:color="auto"/>
        <w:bottom w:val="none" w:sz="0" w:space="0" w:color="auto"/>
        <w:right w:val="none" w:sz="0" w:space="0" w:color="auto"/>
      </w:divBdr>
    </w:div>
    <w:div w:id="2142262194">
      <w:bodyDiv w:val="1"/>
      <w:marLeft w:val="0"/>
      <w:marRight w:val="0"/>
      <w:marTop w:val="0"/>
      <w:marBottom w:val="0"/>
      <w:divBdr>
        <w:top w:val="none" w:sz="0" w:space="0" w:color="auto"/>
        <w:left w:val="none" w:sz="0" w:space="0" w:color="auto"/>
        <w:bottom w:val="none" w:sz="0" w:space="0" w:color="auto"/>
        <w:right w:val="none" w:sz="0" w:space="0" w:color="auto"/>
      </w:divBdr>
    </w:div>
    <w:div w:id="2145153274">
      <w:bodyDiv w:val="1"/>
      <w:marLeft w:val="0"/>
      <w:marRight w:val="0"/>
      <w:marTop w:val="0"/>
      <w:marBottom w:val="0"/>
      <w:divBdr>
        <w:top w:val="none" w:sz="0" w:space="0" w:color="auto"/>
        <w:left w:val="none" w:sz="0" w:space="0" w:color="auto"/>
        <w:bottom w:val="none" w:sz="0" w:space="0" w:color="auto"/>
        <w:right w:val="none" w:sz="0" w:space="0" w:color="auto"/>
      </w:divBdr>
      <w:divsChild>
        <w:div w:id="17242692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chainalysis.com/blog/bitcoin-halving-2024/" TargetMode="External"/><Relationship Id="rId26" Type="http://schemas.openxmlformats.org/officeDocument/2006/relationships/hyperlink" Target="https://eur-lex.europa.eu/eli/reg/2024/1624/oj" TargetMode="External"/><Relationship Id="rId39" Type="http://schemas.openxmlformats.org/officeDocument/2006/relationships/hyperlink" Target="https://www.cftc.gov/LearnAndProtect/AdvisoriesAndArticles/BitcoinFuturesETF.html?utm_source=chatgpt.com" TargetMode="External"/><Relationship Id="rId21" Type="http://schemas.openxmlformats.org/officeDocument/2006/relationships/hyperlink" Target="https://www.chainalysis.com/blog/2025-global-crypto-adoption-index/" TargetMode="External"/><Relationship Id="rId34" Type="http://schemas.openxmlformats.org/officeDocument/2006/relationships/hyperlink" Target="https://patentpc.com/blog/top-countries-by-crypto-adoption-regional-stats-trends" TargetMode="External"/><Relationship Id="rId42" Type="http://schemas.openxmlformats.org/officeDocument/2006/relationships/hyperlink" Target="https://www.xt.com/fa/blog/post/why-crypto-adoption-is-surging-in-high-inflation-economies-in-2025-report"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ederalreserve.gov/monetarypolicy/mpr_default.htm" TargetMode="External"/><Relationship Id="rId29" Type="http://schemas.openxmlformats.org/officeDocument/2006/relationships/hyperlink" Target="https://www.fsb.org/wp-content/uploads/P170723-1.pdf" TargetMode="External"/><Relationship Id="rId11" Type="http://schemas.openxmlformats.org/officeDocument/2006/relationships/image" Target="media/image4.png"/><Relationship Id="rId24" Type="http://schemas.openxmlformats.org/officeDocument/2006/relationships/hyperlink" Target="https://cryptoslate.com/high-inflation-vs-regional-conflict-which-leads-to-higher-adoption-of-bitcoin-and-crypto/" TargetMode="External"/><Relationship Id="rId32" Type="http://schemas.openxmlformats.org/officeDocument/2006/relationships/hyperlink" Target="https://www.imf.org/en/Publications/WEO/Issues/2023/04/11/world-economic-outlook-april-2023" TargetMode="External"/><Relationship Id="rId37" Type="http://schemas.openxmlformats.org/officeDocument/2006/relationships/hyperlink" Target="https://www.tradingview.com/news/cointelegraph%3A9e767242a094b%3A0-fiat-inflation-drives-crypto-adoption-across-the-globe/" TargetMode="External"/><Relationship Id="rId40" Type="http://schemas.openxmlformats.org/officeDocument/2006/relationships/hyperlink" Target="https://uabonline.org/english-news/nigeria-and-turkey-biggest-adopters-of-crypto-in-2024/" TargetMode="External"/><Relationship Id="rId45" Type="http://schemas.openxmlformats.org/officeDocument/2006/relationships/hyperlink" Target="https://doi.org/10.21003/ea.V183-10" TargetMode="External"/><Relationship Id="rId5" Type="http://schemas.openxmlformats.org/officeDocument/2006/relationships/webSettings" Target="webSettings.xml"/><Relationship Id="rId15" Type="http://schemas.openxmlformats.org/officeDocument/2006/relationships/hyperlink" Target="https://www.aeaweb.org/conference/2026/program/paper/y6HRibzE" TargetMode="External"/><Relationship Id="rId23" Type="http://schemas.openxmlformats.org/officeDocument/2006/relationships/hyperlink" Target="https://www.tradingview.com/news/coinpedia%3Af8b90af45094b%3A0-global-crypto-adoption-report-2025/" TargetMode="External"/><Relationship Id="rId28" Type="http://schemas.openxmlformats.org/officeDocument/2006/relationships/hyperlink" Target="https://www.fca.org.uk/firms/new-regime-cryptoasset-regulation?utm_source=chatgpt.com" TargetMode="External"/><Relationship Id="rId36" Type="http://schemas.openxmlformats.org/officeDocument/2006/relationships/hyperlink" Target="https://www.sec.gov/newsroom/press-releases/2026-34?utm_source=chatgpt.com" TargetMode="External"/><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chainalysis.com/blog/2023-global-crypto-adoption-index/" TargetMode="External"/><Relationship Id="rId31" Type="http://schemas.openxmlformats.org/officeDocument/2006/relationships/hyperlink" Target="https://www.irs.gov/instructions/i1099da?utm_source=chatgpt.com" TargetMode="External"/><Relationship Id="rId44" Type="http://schemas.openxmlformats.org/officeDocument/2006/relationships/hyperlink" Target="https://finance.yahoo.com/news/brazilian-vacations-overtake-inflation-driver-235933041.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coinledger.io/research/top-10-countries-that-use-bitcoin" TargetMode="External"/><Relationship Id="rId27" Type="http://schemas.openxmlformats.org/officeDocument/2006/relationships/hyperlink" Target="https://www.esma.europa.eu/press-news/esma-news/esma-and-european-commission-publish-guidance-non-mica-compliant-arts-and-emts?utm_source=chatgpt.com" TargetMode="External"/><Relationship Id="rId30" Type="http://schemas.openxmlformats.org/officeDocument/2006/relationships/hyperlink" Target="https://www.forbes.com/sites/javierpaz/2024/07/08/why-inflation-battered-argentinians-are-turning-to-crypto/" TargetMode="External"/><Relationship Id="rId35" Type="http://schemas.openxmlformats.org/officeDocument/2006/relationships/hyperlink" Target="https://phemex.com/news/article/high-inflation-drives-crypto-adoption-in-several-countries-40151" TargetMode="External"/><Relationship Id="rId43" Type="http://schemas.openxmlformats.org/officeDocument/2006/relationships/hyperlink" Target="https://finance.yahoo.com/quote/BTC-USD/history/"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federalreserve.gov/monetarypolicy/mpr_default.htm" TargetMode="External"/><Relationship Id="rId25" Type="http://schemas.openxmlformats.org/officeDocument/2006/relationships/hyperlink" Target="https://ideas.repec.org/a/eee/finlet/v16y2016icp85-92.html" TargetMode="External"/><Relationship Id="rId33" Type="http://schemas.openxmlformats.org/officeDocument/2006/relationships/hyperlink" Target="https://www.migrationletters.com/index.php/ml/article/view/10937" TargetMode="External"/><Relationship Id="rId38" Type="http://schemas.openxmlformats.org/officeDocument/2006/relationships/hyperlink" Target="https://www.bls.gov/cpi/" TargetMode="External"/><Relationship Id="rId46" Type="http://schemas.openxmlformats.org/officeDocument/2006/relationships/header" Target="header1.xml"/><Relationship Id="rId20" Type="http://schemas.openxmlformats.org/officeDocument/2006/relationships/hyperlink" Target="https://www.chainalysis.com/blog/latin-america-crypto-adoption-2025/" TargetMode="External"/><Relationship Id="rId41" Type="http://schemas.openxmlformats.org/officeDocument/2006/relationships/hyperlink" Target="https://www.vaneck.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3" Type="http://schemas.openxmlformats.org/officeDocument/2006/relationships/hyperlink" Target="https://www.cftc.gov/LearnAndProtect/AdvisoriesAndArticles/BitcoinFuturesETF.html?utm_source=chatgpt.com" TargetMode="External"/><Relationship Id="rId18" Type="http://schemas.openxmlformats.org/officeDocument/2006/relationships/hyperlink" Target="https://www.chainalysis.com/blog/2025-global-crypto-adoption-index/" TargetMode="External"/><Relationship Id="rId26" Type="http://schemas.openxmlformats.org/officeDocument/2006/relationships/hyperlink" Target="https://www.tradingview.com/news/cointelegraph%3A9e767242a094b%3A0-fiat-inflation-drives-crypto-adoption-across-the-globe/" TargetMode="External"/><Relationship Id="rId39" Type="http://schemas.openxmlformats.org/officeDocument/2006/relationships/hyperlink" Target="https://www.federalreserve.gov/monetarypolicy/mpr_default.htm" TargetMode="External"/><Relationship Id="rId21" Type="http://schemas.openxmlformats.org/officeDocument/2006/relationships/hyperlink" Target="https://coinledger.io/research/top-10-countries-that-use-bitcoin" TargetMode="External"/><Relationship Id="rId34" Type="http://schemas.openxmlformats.org/officeDocument/2006/relationships/hyperlink" Target="https://uabonline.org/english-news/nigeria-and-turkey-biggest-adopters-of-crypto-in-2024/" TargetMode="External"/><Relationship Id="rId42" Type="http://schemas.openxmlformats.org/officeDocument/2006/relationships/hyperlink" Target="https://www.imf.org/en/Publications/WEO/Issues/2024/04/16/world-economic-outlook-april-2024" TargetMode="External"/><Relationship Id="rId7" Type="http://schemas.openxmlformats.org/officeDocument/2006/relationships/hyperlink" Target="https://ideas.repec.org/a/eee/finlet/v16y2016icp85-92.html" TargetMode="External"/><Relationship Id="rId2" Type="http://schemas.openxmlformats.org/officeDocument/2006/relationships/hyperlink" Target="https://ideas.repec.org/a/eee/quaeco/v77y2020icp156-164.html" TargetMode="External"/><Relationship Id="rId16" Type="http://schemas.openxmlformats.org/officeDocument/2006/relationships/hyperlink" Target="https://ideas.repec.org/a/eee/finlet/v20y2017icp192-198.html" TargetMode="External"/><Relationship Id="rId29" Type="http://schemas.openxmlformats.org/officeDocument/2006/relationships/hyperlink" Target="https://www.tradingview.com/news/cointelegraph%3A9e767242a094b%3A0-fiat-inflation-drives-crypto-adoption-across-the-globe/" TargetMode="External"/><Relationship Id="rId1" Type="http://schemas.openxmlformats.org/officeDocument/2006/relationships/hyperlink" Target="https://ideas.repec.org/a/eee/finlet/v20y2017icp192-198.html" TargetMode="External"/><Relationship Id="rId6" Type="http://schemas.openxmlformats.org/officeDocument/2006/relationships/hyperlink" Target="https://www.sciencedirect.com/science/article/pii/S1544612320304244" TargetMode="External"/><Relationship Id="rId11" Type="http://schemas.openxmlformats.org/officeDocument/2006/relationships/hyperlink" Target="https://eur-lex.europa.eu/eli/reg/2024/1624/oj" TargetMode="External"/><Relationship Id="rId24" Type="http://schemas.openxmlformats.org/officeDocument/2006/relationships/hyperlink" Target="https://phemex.com/news/article/high-inflation-drives-crypto-adoption-in-several-countries-40151" TargetMode="External"/><Relationship Id="rId32" Type="http://schemas.openxmlformats.org/officeDocument/2006/relationships/hyperlink" Target="https://www.forbes.com/sites/javierpaz/2024/07/08/why-inflation-battered-argentinians-are-turning-to-crypto/" TargetMode="External"/><Relationship Id="rId37" Type="http://schemas.openxmlformats.org/officeDocument/2006/relationships/hyperlink" Target="https://coinmarketcap.com/currencies/bitcoin/historical-data/" TargetMode="External"/><Relationship Id="rId40" Type="http://schemas.openxmlformats.org/officeDocument/2006/relationships/hyperlink" Target="https://www.federalreserve.gov/monetarypolicy/mpr_default.htm" TargetMode="External"/><Relationship Id="rId45" Type="http://schemas.openxmlformats.org/officeDocument/2006/relationships/hyperlink" Target="https://www.chainalysis.com/blog/bitcoin-halving-2024/" TargetMode="External"/><Relationship Id="rId5" Type="http://schemas.openxmlformats.org/officeDocument/2006/relationships/hyperlink" Target="https://www.sciencedirect.com/science/article/abs/pii/S0165176515000890" TargetMode="External"/><Relationship Id="rId15" Type="http://schemas.openxmlformats.org/officeDocument/2006/relationships/hyperlink" Target="https://www.fsb.org/wp-content/uploads/P170723-1.pdf" TargetMode="External"/><Relationship Id="rId23" Type="http://schemas.openxmlformats.org/officeDocument/2006/relationships/hyperlink" Target="https://cryptoslate.com/high-inflation-vs-regional-conflict-which-leads-to-higher-adoption-of-bitcoin-and-crypto/" TargetMode="External"/><Relationship Id="rId28" Type="http://schemas.openxmlformats.org/officeDocument/2006/relationships/hyperlink" Target="https://patentpc.com/blog/top-countries-by-crypto-adoption-regional-stats-trends" TargetMode="External"/><Relationship Id="rId36" Type="http://schemas.openxmlformats.org/officeDocument/2006/relationships/hyperlink" Target="https://www.federalreserve.gov/" TargetMode="External"/><Relationship Id="rId10" Type="http://schemas.openxmlformats.org/officeDocument/2006/relationships/hyperlink" Target="https://www.esma.europa.eu/press-news/esma-news/esma-and-european-commission-publish-guidance-non-mica-compliant-arts-and-emts?utm_source=chatgpt.com" TargetMode="External"/><Relationship Id="rId19" Type="http://schemas.openxmlformats.org/officeDocument/2006/relationships/hyperlink" Target="https://www.chainalysis.com/blog/latin-america-crypto-adoption-2025/" TargetMode="External"/><Relationship Id="rId31" Type="http://schemas.openxmlformats.org/officeDocument/2006/relationships/hyperlink" Target="https://www.chainalysis.com/blog/2023-global-crypto-adoption-index/" TargetMode="External"/><Relationship Id="rId44" Type="http://schemas.openxmlformats.org/officeDocument/2006/relationships/hyperlink" Target="https://www.sec.gov/" TargetMode="External"/><Relationship Id="rId4" Type="http://schemas.openxmlformats.org/officeDocument/2006/relationships/hyperlink" Target="https://ideas.repec.org/a/spr/fininn/v10y2024i1d10.1186_s40854-024-00646-y.html" TargetMode="External"/><Relationship Id="rId9" Type="http://schemas.openxmlformats.org/officeDocument/2006/relationships/hyperlink" Target="https://www.fca.org.uk/firms/new-regime-cryptoasset-regulation?utm_source=chatgpt.com" TargetMode="External"/><Relationship Id="rId14" Type="http://schemas.openxmlformats.org/officeDocument/2006/relationships/hyperlink" Target="https://www.sec.gov/newsroom/press-releases/2026-34?utm_source=chatgpt.com" TargetMode="External"/><Relationship Id="rId22" Type="http://schemas.openxmlformats.org/officeDocument/2006/relationships/hyperlink" Target="https://www.tradingview.com/news/coinpedia%3Af8b90af45094b%3A0-global-crypto-adoption-report-2025/" TargetMode="External"/><Relationship Id="rId27" Type="http://schemas.openxmlformats.org/officeDocument/2006/relationships/hyperlink" Target="https://www.xt.com/fa/blog/post/why-crypto-adoption-is-surging-in-high-inflation-economies-in-2025-report" TargetMode="External"/><Relationship Id="rId30" Type="http://schemas.openxmlformats.org/officeDocument/2006/relationships/hyperlink" Target="https://www.xt.com/fa/blog/post/why-crypto-adoption-is-surging-in-high-inflation-economies-in-2025-report" TargetMode="External"/><Relationship Id="rId35" Type="http://schemas.openxmlformats.org/officeDocument/2006/relationships/hyperlink" Target="https://www.bls.gov/cpi/" TargetMode="External"/><Relationship Id="rId43" Type="http://schemas.openxmlformats.org/officeDocument/2006/relationships/hyperlink" Target="https://www.oecd.org/economic-outlook/" TargetMode="External"/><Relationship Id="rId8" Type="http://schemas.openxmlformats.org/officeDocument/2006/relationships/hyperlink" Target="https://www.esma.europa.eu/press-news/esma-news/esma-and-european-commission-publish-guidance-non-mica-compliant-arts-and-emts?utm_source=chatgpt.com" TargetMode="External"/><Relationship Id="rId3" Type="http://schemas.openxmlformats.org/officeDocument/2006/relationships/hyperlink" Target="https://ideas.repec.org/a/eee/finlet/v16y2016icp85-92.html" TargetMode="External"/><Relationship Id="rId12" Type="http://schemas.openxmlformats.org/officeDocument/2006/relationships/hyperlink" Target="https://www.sec.gov/newsroom/press-releases/2026-34?utm_source=chatgpt.com" TargetMode="External"/><Relationship Id="rId17" Type="http://schemas.openxmlformats.org/officeDocument/2006/relationships/hyperlink" Target="https://ideas.repec.org/a/eee/quaeco/v77y2020icp156-164.html" TargetMode="External"/><Relationship Id="rId25" Type="http://schemas.openxmlformats.org/officeDocument/2006/relationships/hyperlink" Target="https://patentpc.com/blog/top-countries-by-crypto-adoption-regional-stats-trends" TargetMode="External"/><Relationship Id="rId33" Type="http://schemas.openxmlformats.org/officeDocument/2006/relationships/hyperlink" Target="https://www.aeaweb.org/conference/2026/program/paper/y6HRibzE" TargetMode="External"/><Relationship Id="rId38" Type="http://schemas.openxmlformats.org/officeDocument/2006/relationships/hyperlink" Target="https://finance.yahoo.com/quote/BTC-USD/history/" TargetMode="External"/><Relationship Id="rId46" Type="http://schemas.openxmlformats.org/officeDocument/2006/relationships/hyperlink" Target="https://www.vaneck.com/" TargetMode="External"/><Relationship Id="rId20" Type="http://schemas.openxmlformats.org/officeDocument/2006/relationships/hyperlink" Target="https://finance.yahoo.com/news/brazilian-vacations-overtake-inflation-driver-235933041.html" TargetMode="External"/><Relationship Id="rId41" Type="http://schemas.openxmlformats.org/officeDocument/2006/relationships/hyperlink" Target="https://www.imf.org/en/Publications/WEO/Issues/2023/04/11/world-economic-outlook-april-2023"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08428-D6F6-4208-A5BD-0B3108349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15693</Words>
  <Characters>103893</Characters>
  <Application>Microsoft Office Word</Application>
  <DocSecurity>0</DocSecurity>
  <Lines>1960</Lines>
  <Paragraphs>408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119178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2026-04-18T16:15:00Z</dcterms:created>
  <dcterms:modified xsi:type="dcterms:W3CDTF">2026-04-19T06:48:00Z</dcterms:modified>
</cp:coreProperties>
</file>