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95BC5" w14:textId="58DD0388" w:rsidR="007E1594" w:rsidRPr="004A30FF" w:rsidRDefault="00326F66" w:rsidP="00E341A6">
      <w:pPr>
        <w:rPr>
          <w:color w:val="FF0000"/>
        </w:rPr>
      </w:pPr>
      <w:r w:rsidRPr="004A30FF">
        <w:rPr>
          <w:color w:val="FF0000"/>
          <w:highlight w:val="red"/>
        </w:rPr>
        <w:drawing>
          <wp:inline distT="0" distB="0" distL="0" distR="0" wp14:anchorId="31DD5219" wp14:editId="488748A8">
            <wp:extent cx="5943600" cy="512445"/>
            <wp:effectExtent l="95250" t="133350" r="266700" b="306705"/>
            <wp:docPr id="1805895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895005" name=""/>
                    <pic:cNvPicPr/>
                  </pic:nvPicPr>
                  <pic:blipFill>
                    <a:blip r:embed="rId11"/>
                    <a:stretch>
                      <a:fillRect/>
                    </a:stretch>
                  </pic:blipFill>
                  <pic:spPr>
                    <a:xfrm>
                      <a:off x="0" y="0"/>
                      <a:ext cx="5943600" cy="512445"/>
                    </a:xfrm>
                    <a:prstGeom prst="rect">
                      <a:avLst/>
                    </a:prstGeom>
                    <a:ln>
                      <a:noFill/>
                    </a:ln>
                    <a:effectLst>
                      <a:outerShdw blurRad="292100" dist="139700" dir="2700000" algn="tl" rotWithShape="0">
                        <a:srgbClr val="333333">
                          <a:alpha val="65000"/>
                        </a:srgbClr>
                      </a:outerShdw>
                    </a:effectLst>
                  </pic:spPr>
                </pic:pic>
              </a:graphicData>
            </a:graphic>
          </wp:inline>
        </w:drawing>
      </w:r>
    </w:p>
    <w:p w14:paraId="7234ED78" w14:textId="459E35F9" w:rsidR="00326F66" w:rsidRPr="004A30FF" w:rsidRDefault="00326F66" w:rsidP="00326F66">
      <w:pPr>
        <w:jc w:val="center"/>
        <w:rPr>
          <w:rFonts w:ascii="Times New Roman" w:hAnsi="Times New Roman" w:cs="Times New Roman"/>
          <w:sz w:val="24"/>
          <w:szCs w:val="24"/>
        </w:rPr>
      </w:pPr>
      <w:r w:rsidRPr="004A30FF">
        <w:rPr>
          <w:rFonts w:ascii="Times New Roman" w:hAnsi="Times New Roman" w:cs="Times New Roman"/>
          <w:sz w:val="24"/>
          <w:szCs w:val="24"/>
        </w:rPr>
        <w:t>Център за дистанционно обучение</w:t>
      </w:r>
    </w:p>
    <w:p w14:paraId="340D0D9D" w14:textId="77777777" w:rsidR="00326F66" w:rsidRPr="004A30FF" w:rsidRDefault="00326F66" w:rsidP="00326F66">
      <w:pPr>
        <w:jc w:val="center"/>
        <w:rPr>
          <w:rFonts w:ascii="Times New Roman" w:hAnsi="Times New Roman" w:cs="Times New Roman"/>
          <w:sz w:val="24"/>
          <w:szCs w:val="24"/>
        </w:rPr>
      </w:pPr>
    </w:p>
    <w:p w14:paraId="102D272E" w14:textId="2AF53EDF" w:rsidR="00326F66" w:rsidRPr="004A30FF" w:rsidRDefault="00326F66" w:rsidP="00326F66">
      <w:pPr>
        <w:jc w:val="center"/>
        <w:rPr>
          <w:rFonts w:ascii="Times New Roman" w:hAnsi="Times New Roman" w:cs="Times New Roman"/>
          <w:sz w:val="24"/>
          <w:szCs w:val="24"/>
        </w:rPr>
      </w:pPr>
      <w:r w:rsidRPr="004A30FF">
        <w:rPr>
          <w:rFonts w:ascii="Times New Roman" w:hAnsi="Times New Roman" w:cs="Times New Roman"/>
          <w:sz w:val="24"/>
          <w:szCs w:val="24"/>
        </w:rPr>
        <w:t xml:space="preserve">Магистърска програма </w:t>
      </w:r>
      <w:r w:rsidR="0010620E" w:rsidRPr="004A30FF">
        <w:rPr>
          <w:rFonts w:ascii="Times New Roman" w:hAnsi="Times New Roman" w:cs="Times New Roman"/>
          <w:sz w:val="24"/>
          <w:szCs w:val="24"/>
        </w:rPr>
        <w:t>“</w:t>
      </w:r>
      <w:r w:rsidRPr="004A30FF">
        <w:rPr>
          <w:rFonts w:ascii="Times New Roman" w:hAnsi="Times New Roman" w:cs="Times New Roman"/>
          <w:sz w:val="24"/>
          <w:szCs w:val="24"/>
        </w:rPr>
        <w:t>Счетоводство и контрол</w:t>
      </w:r>
      <w:r w:rsidR="0010620E" w:rsidRPr="004A30FF">
        <w:rPr>
          <w:rFonts w:ascii="Times New Roman" w:hAnsi="Times New Roman" w:cs="Times New Roman"/>
          <w:sz w:val="24"/>
          <w:szCs w:val="24"/>
        </w:rPr>
        <w:t>”</w:t>
      </w:r>
    </w:p>
    <w:p w14:paraId="4419F6F6" w14:textId="77777777" w:rsidR="00326F66" w:rsidRPr="004A30FF" w:rsidRDefault="00326F66" w:rsidP="00326F66">
      <w:pPr>
        <w:jc w:val="center"/>
        <w:rPr>
          <w:rFonts w:ascii="Times New Roman" w:hAnsi="Times New Roman" w:cs="Times New Roman"/>
          <w:sz w:val="24"/>
          <w:szCs w:val="24"/>
        </w:rPr>
      </w:pPr>
    </w:p>
    <w:p w14:paraId="0B625784" w14:textId="77777777" w:rsidR="00326F66" w:rsidRPr="004A30FF" w:rsidRDefault="00326F66" w:rsidP="00326F66">
      <w:pPr>
        <w:jc w:val="center"/>
        <w:rPr>
          <w:rFonts w:ascii="Times New Roman" w:hAnsi="Times New Roman" w:cs="Times New Roman"/>
          <w:sz w:val="24"/>
          <w:szCs w:val="24"/>
        </w:rPr>
      </w:pPr>
    </w:p>
    <w:p w14:paraId="39C0211A" w14:textId="77777777" w:rsidR="00326F66" w:rsidRPr="004A30FF" w:rsidRDefault="00326F66" w:rsidP="00326F66">
      <w:pPr>
        <w:jc w:val="center"/>
        <w:rPr>
          <w:rFonts w:ascii="Times New Roman" w:hAnsi="Times New Roman" w:cs="Times New Roman"/>
          <w:sz w:val="24"/>
          <w:szCs w:val="24"/>
        </w:rPr>
      </w:pPr>
    </w:p>
    <w:p w14:paraId="3AB59A17" w14:textId="77777777" w:rsidR="00326F66" w:rsidRPr="004A30FF" w:rsidRDefault="00326F66" w:rsidP="00326F66">
      <w:pPr>
        <w:jc w:val="center"/>
        <w:rPr>
          <w:rFonts w:ascii="Times New Roman" w:hAnsi="Times New Roman" w:cs="Times New Roman"/>
          <w:sz w:val="24"/>
          <w:szCs w:val="24"/>
        </w:rPr>
      </w:pPr>
    </w:p>
    <w:p w14:paraId="6BD21E5E" w14:textId="77777777" w:rsidR="00326F66" w:rsidRPr="004A30FF" w:rsidRDefault="00326F66" w:rsidP="00326F66">
      <w:pPr>
        <w:jc w:val="center"/>
        <w:rPr>
          <w:rFonts w:ascii="Times New Roman" w:hAnsi="Times New Roman" w:cs="Times New Roman"/>
          <w:sz w:val="24"/>
          <w:szCs w:val="24"/>
        </w:rPr>
      </w:pPr>
    </w:p>
    <w:p w14:paraId="23C7D545" w14:textId="76D647E8" w:rsidR="00326F66" w:rsidRPr="004A30FF" w:rsidRDefault="00326F66" w:rsidP="00326F66">
      <w:pPr>
        <w:jc w:val="center"/>
        <w:rPr>
          <w:rFonts w:ascii="Times New Roman" w:hAnsi="Times New Roman" w:cs="Times New Roman"/>
          <w:sz w:val="32"/>
          <w:szCs w:val="32"/>
        </w:rPr>
      </w:pPr>
      <w:r w:rsidRPr="004A30FF">
        <w:rPr>
          <w:rFonts w:ascii="Times New Roman" w:hAnsi="Times New Roman" w:cs="Times New Roman"/>
          <w:sz w:val="32"/>
          <w:szCs w:val="32"/>
        </w:rPr>
        <w:t>Магистърска теза на тема:</w:t>
      </w:r>
    </w:p>
    <w:p w14:paraId="09E194E7" w14:textId="0A86D832" w:rsidR="00326F66" w:rsidRPr="004A30FF" w:rsidRDefault="00326F66" w:rsidP="00326F66">
      <w:pPr>
        <w:jc w:val="center"/>
        <w:rPr>
          <w:rFonts w:ascii="Times New Roman" w:hAnsi="Times New Roman" w:cs="Times New Roman"/>
          <w:sz w:val="24"/>
          <w:szCs w:val="24"/>
        </w:rPr>
      </w:pPr>
      <w:r w:rsidRPr="004A30FF">
        <w:rPr>
          <w:rFonts w:ascii="Times New Roman" w:hAnsi="Times New Roman" w:cs="Times New Roman"/>
          <w:sz w:val="24"/>
          <w:szCs w:val="24"/>
        </w:rPr>
        <w:t>Годишно счетоводно приключване в</w:t>
      </w:r>
      <w:r w:rsidR="0068325D" w:rsidRPr="004A30FF">
        <w:rPr>
          <w:rFonts w:ascii="Times New Roman" w:hAnsi="Times New Roman" w:cs="Times New Roman"/>
          <w:sz w:val="24"/>
          <w:szCs w:val="24"/>
        </w:rPr>
        <w:t xml:space="preserve"> предприятията от</w:t>
      </w:r>
      <w:r w:rsidRPr="004A30FF">
        <w:rPr>
          <w:rFonts w:ascii="Times New Roman" w:hAnsi="Times New Roman" w:cs="Times New Roman"/>
          <w:sz w:val="24"/>
          <w:szCs w:val="24"/>
        </w:rPr>
        <w:t xml:space="preserve"> публичния сектор</w:t>
      </w:r>
    </w:p>
    <w:p w14:paraId="6415C5F9" w14:textId="5591404F" w:rsidR="00326F66" w:rsidRPr="004A30FF" w:rsidRDefault="00F03AB1" w:rsidP="00326F66">
      <w:pPr>
        <w:jc w:val="center"/>
        <w:rPr>
          <w:rFonts w:ascii="Times New Roman" w:hAnsi="Times New Roman" w:cs="Times New Roman"/>
          <w:sz w:val="24"/>
          <w:szCs w:val="24"/>
        </w:rPr>
      </w:pPr>
      <w:r w:rsidRPr="004A30FF">
        <w:rPr>
          <w:rFonts w:ascii="Times New Roman" w:hAnsi="Times New Roman" w:cs="Times New Roman"/>
          <w:sz w:val="24"/>
          <w:szCs w:val="24"/>
        </w:rPr>
        <w:t>(на примера</w:t>
      </w:r>
      <w:r w:rsidR="00326F66" w:rsidRPr="004A30FF">
        <w:rPr>
          <w:rFonts w:ascii="Times New Roman" w:hAnsi="Times New Roman" w:cs="Times New Roman"/>
          <w:sz w:val="24"/>
          <w:szCs w:val="24"/>
        </w:rPr>
        <w:t xml:space="preserve"> на ДГ“ Осми март“, гр. Радомир)</w:t>
      </w:r>
    </w:p>
    <w:p w14:paraId="32AB1AAF" w14:textId="77777777" w:rsidR="000251C5" w:rsidRPr="004A30FF" w:rsidRDefault="000251C5" w:rsidP="00326F66">
      <w:pPr>
        <w:jc w:val="center"/>
        <w:rPr>
          <w:rFonts w:ascii="Times New Roman" w:hAnsi="Times New Roman" w:cs="Times New Roman"/>
          <w:sz w:val="24"/>
          <w:szCs w:val="24"/>
        </w:rPr>
      </w:pPr>
    </w:p>
    <w:p w14:paraId="445114B3" w14:textId="77777777" w:rsidR="000251C5" w:rsidRPr="004A30FF" w:rsidRDefault="000251C5" w:rsidP="00326F66">
      <w:pPr>
        <w:jc w:val="center"/>
        <w:rPr>
          <w:rFonts w:ascii="Times New Roman" w:hAnsi="Times New Roman" w:cs="Times New Roman"/>
          <w:sz w:val="24"/>
          <w:szCs w:val="24"/>
        </w:rPr>
      </w:pPr>
    </w:p>
    <w:p w14:paraId="46DA0E57" w14:textId="77777777" w:rsidR="000251C5" w:rsidRPr="004A30FF" w:rsidRDefault="000251C5" w:rsidP="00326F66">
      <w:pPr>
        <w:jc w:val="center"/>
        <w:rPr>
          <w:rFonts w:ascii="Times New Roman" w:hAnsi="Times New Roman" w:cs="Times New Roman"/>
          <w:sz w:val="24"/>
          <w:szCs w:val="24"/>
        </w:rPr>
      </w:pPr>
    </w:p>
    <w:p w14:paraId="58BCF35D" w14:textId="7087D707" w:rsidR="000251C5" w:rsidRPr="004A30FF" w:rsidRDefault="000251C5" w:rsidP="000251C5">
      <w:pPr>
        <w:rPr>
          <w:rFonts w:ascii="Times New Roman" w:hAnsi="Times New Roman" w:cs="Times New Roman"/>
          <w:sz w:val="24"/>
          <w:szCs w:val="24"/>
        </w:rPr>
      </w:pPr>
      <w:r w:rsidRPr="004A30FF">
        <w:rPr>
          <w:rFonts w:ascii="Times New Roman" w:hAnsi="Times New Roman" w:cs="Times New Roman"/>
          <w:sz w:val="24"/>
          <w:szCs w:val="24"/>
        </w:rPr>
        <w:t>Дипломант:Александра Александрова                 Научен ръководител:</w:t>
      </w:r>
      <w:r w:rsidR="001854EA" w:rsidRPr="004A30FF">
        <w:rPr>
          <w:rFonts w:ascii="Times New Roman" w:hAnsi="Times New Roman" w:cs="Times New Roman"/>
          <w:sz w:val="24"/>
          <w:szCs w:val="24"/>
        </w:rPr>
        <w:t>П</w:t>
      </w:r>
      <w:r w:rsidRPr="004A30FF">
        <w:rPr>
          <w:rFonts w:ascii="Times New Roman" w:hAnsi="Times New Roman" w:cs="Times New Roman"/>
          <w:sz w:val="24"/>
          <w:szCs w:val="24"/>
        </w:rPr>
        <w:t>роф. Д-р Д.Фесчиян</w:t>
      </w:r>
    </w:p>
    <w:p w14:paraId="102FB600" w14:textId="01C24FF0" w:rsidR="004C3D9D" w:rsidRPr="004A30FF" w:rsidRDefault="004C3D9D" w:rsidP="000251C5">
      <w:pPr>
        <w:rPr>
          <w:rFonts w:ascii="Times New Roman" w:hAnsi="Times New Roman" w:cs="Times New Roman"/>
          <w:sz w:val="24"/>
          <w:szCs w:val="24"/>
        </w:rPr>
      </w:pPr>
      <w:r w:rsidRPr="004A30FF">
        <w:rPr>
          <w:rFonts w:ascii="Times New Roman" w:hAnsi="Times New Roman" w:cs="Times New Roman"/>
          <w:sz w:val="24"/>
          <w:szCs w:val="24"/>
        </w:rPr>
        <w:t>Специалност: СК-4семестъра</w:t>
      </w:r>
    </w:p>
    <w:p w14:paraId="7B0D2A46" w14:textId="7E14B44F" w:rsidR="004C3D9D" w:rsidRPr="004A30FF" w:rsidRDefault="004C3D9D" w:rsidP="000251C5">
      <w:pPr>
        <w:rPr>
          <w:rFonts w:ascii="Times New Roman" w:hAnsi="Times New Roman" w:cs="Times New Roman"/>
          <w:sz w:val="24"/>
          <w:szCs w:val="24"/>
        </w:rPr>
      </w:pPr>
      <w:r w:rsidRPr="004A30FF">
        <w:rPr>
          <w:rFonts w:ascii="Times New Roman" w:hAnsi="Times New Roman" w:cs="Times New Roman"/>
          <w:sz w:val="24"/>
          <w:szCs w:val="24"/>
        </w:rPr>
        <w:t>Дистанционна форма на обучение</w:t>
      </w:r>
    </w:p>
    <w:p w14:paraId="329BC3CA" w14:textId="4C104107" w:rsidR="000251C5" w:rsidRPr="004A30FF" w:rsidRDefault="000251C5" w:rsidP="000251C5">
      <w:pPr>
        <w:rPr>
          <w:rFonts w:ascii="Times New Roman" w:hAnsi="Times New Roman" w:cs="Times New Roman"/>
          <w:sz w:val="24"/>
          <w:szCs w:val="24"/>
        </w:rPr>
      </w:pPr>
      <w:r w:rsidRPr="004A30FF">
        <w:rPr>
          <w:rFonts w:ascii="Times New Roman" w:hAnsi="Times New Roman" w:cs="Times New Roman"/>
          <w:sz w:val="24"/>
          <w:szCs w:val="24"/>
        </w:rPr>
        <w:t>Фак. №2265021</w:t>
      </w:r>
    </w:p>
    <w:p w14:paraId="38C9A43B" w14:textId="77777777" w:rsidR="000251C5" w:rsidRPr="004A30FF" w:rsidRDefault="000251C5" w:rsidP="000251C5">
      <w:pPr>
        <w:rPr>
          <w:rFonts w:ascii="Times New Roman" w:hAnsi="Times New Roman" w:cs="Times New Roman"/>
          <w:sz w:val="24"/>
          <w:szCs w:val="24"/>
        </w:rPr>
      </w:pPr>
    </w:p>
    <w:p w14:paraId="68B3680C" w14:textId="77777777" w:rsidR="000251C5" w:rsidRPr="004A30FF" w:rsidRDefault="000251C5" w:rsidP="000251C5">
      <w:pPr>
        <w:rPr>
          <w:rFonts w:ascii="Times New Roman" w:hAnsi="Times New Roman" w:cs="Times New Roman"/>
          <w:sz w:val="24"/>
          <w:szCs w:val="24"/>
        </w:rPr>
      </w:pPr>
    </w:p>
    <w:p w14:paraId="625DEAC2" w14:textId="77777777" w:rsidR="000251C5" w:rsidRPr="004A30FF" w:rsidRDefault="000251C5" w:rsidP="000251C5">
      <w:pPr>
        <w:rPr>
          <w:rFonts w:ascii="Times New Roman" w:hAnsi="Times New Roman" w:cs="Times New Roman"/>
          <w:sz w:val="24"/>
          <w:szCs w:val="24"/>
        </w:rPr>
      </w:pPr>
    </w:p>
    <w:p w14:paraId="5D7DC132" w14:textId="77777777" w:rsidR="000251C5" w:rsidRPr="004A30FF" w:rsidRDefault="000251C5" w:rsidP="000251C5">
      <w:pPr>
        <w:rPr>
          <w:rFonts w:ascii="Times New Roman" w:hAnsi="Times New Roman" w:cs="Times New Roman"/>
          <w:sz w:val="24"/>
          <w:szCs w:val="24"/>
        </w:rPr>
      </w:pPr>
    </w:p>
    <w:p w14:paraId="35C8ACE1" w14:textId="77777777" w:rsidR="000251C5" w:rsidRPr="004A30FF" w:rsidRDefault="000251C5" w:rsidP="000251C5">
      <w:pPr>
        <w:rPr>
          <w:rFonts w:ascii="Times New Roman" w:hAnsi="Times New Roman" w:cs="Times New Roman"/>
          <w:sz w:val="24"/>
          <w:szCs w:val="24"/>
        </w:rPr>
      </w:pPr>
    </w:p>
    <w:p w14:paraId="0761A8AB" w14:textId="4F557BB8" w:rsidR="000251C5" w:rsidRPr="004A30FF" w:rsidRDefault="000251C5" w:rsidP="004C3D9D">
      <w:pPr>
        <w:jc w:val="center"/>
        <w:rPr>
          <w:rFonts w:ascii="Times New Roman" w:hAnsi="Times New Roman" w:cs="Times New Roman"/>
          <w:sz w:val="24"/>
          <w:szCs w:val="24"/>
        </w:rPr>
      </w:pPr>
      <w:r w:rsidRPr="004A30FF">
        <w:rPr>
          <w:rFonts w:ascii="Times New Roman" w:hAnsi="Times New Roman" w:cs="Times New Roman"/>
          <w:sz w:val="24"/>
          <w:szCs w:val="24"/>
        </w:rPr>
        <w:t>София, 2024г.</w:t>
      </w:r>
    </w:p>
    <w:p w14:paraId="27824F71" w14:textId="3652C4A9" w:rsidR="000251C5" w:rsidRPr="004A30FF" w:rsidRDefault="000251C5" w:rsidP="00D0398C">
      <w:pPr>
        <w:spacing w:line="240" w:lineRule="auto"/>
        <w:jc w:val="center"/>
        <w:rPr>
          <w:rFonts w:ascii="Times New Roman" w:hAnsi="Times New Roman" w:cs="Times New Roman"/>
          <w:sz w:val="24"/>
          <w:szCs w:val="24"/>
        </w:rPr>
      </w:pPr>
      <w:r w:rsidRPr="004A30FF">
        <w:rPr>
          <w:rFonts w:ascii="Times New Roman" w:hAnsi="Times New Roman" w:cs="Times New Roman"/>
          <w:sz w:val="24"/>
          <w:szCs w:val="24"/>
        </w:rPr>
        <w:lastRenderedPageBreak/>
        <w:t>Съдържание</w:t>
      </w:r>
    </w:p>
    <w:p w14:paraId="1F5237FB" w14:textId="37D6B303" w:rsidR="000251C5" w:rsidRPr="004A30FF" w:rsidRDefault="000251C5" w:rsidP="00D0398C">
      <w:pPr>
        <w:spacing w:line="240" w:lineRule="auto"/>
        <w:jc w:val="both"/>
        <w:rPr>
          <w:rFonts w:ascii="Times New Roman" w:hAnsi="Times New Roman" w:cs="Times New Roman"/>
          <w:sz w:val="24"/>
          <w:szCs w:val="24"/>
        </w:rPr>
      </w:pPr>
      <w:r w:rsidRPr="004A30FF">
        <w:rPr>
          <w:rFonts w:ascii="Times New Roman" w:hAnsi="Times New Roman" w:cs="Times New Roman"/>
          <w:sz w:val="24"/>
          <w:szCs w:val="24"/>
        </w:rPr>
        <w:t>Увод:</w:t>
      </w:r>
      <w:r w:rsidR="004D03BD" w:rsidRPr="004A30FF">
        <w:rPr>
          <w:rFonts w:ascii="Times New Roman" w:hAnsi="Times New Roman" w:cs="Times New Roman"/>
          <w:sz w:val="24"/>
          <w:szCs w:val="24"/>
        </w:rPr>
        <w:t>................................................................................................................................................</w:t>
      </w:r>
      <w:r w:rsidR="00DA58C2" w:rsidRPr="004A30FF">
        <w:rPr>
          <w:rFonts w:ascii="Times New Roman" w:hAnsi="Times New Roman" w:cs="Times New Roman"/>
          <w:sz w:val="24"/>
          <w:szCs w:val="24"/>
        </w:rPr>
        <w:t>3</w:t>
      </w:r>
    </w:p>
    <w:p w14:paraId="08CA5C6E" w14:textId="77777777" w:rsidR="00D0398C" w:rsidRPr="004A30FF" w:rsidRDefault="00D0398C" w:rsidP="00D0398C">
      <w:pPr>
        <w:spacing w:line="240" w:lineRule="auto"/>
        <w:jc w:val="both"/>
        <w:rPr>
          <w:rFonts w:ascii="Times New Roman" w:hAnsi="Times New Roman" w:cs="Times New Roman"/>
          <w:sz w:val="24"/>
          <w:szCs w:val="24"/>
        </w:rPr>
      </w:pPr>
      <w:r w:rsidRPr="004A30FF">
        <w:rPr>
          <w:rFonts w:ascii="Times New Roman" w:hAnsi="Times New Roman" w:cs="Times New Roman"/>
          <w:sz w:val="24"/>
          <w:szCs w:val="24"/>
        </w:rPr>
        <w:t>ПЪРВА ГЛАВА: ХАРАКТЕРИСТИКА НА ДЕЙНОСТТА И СЧЕТОВОДСТВОТО НА ПРЕДПРИЯТИЯТА ОТ ПУБЛИЧНИЯ СЕКТОР</w:t>
      </w:r>
    </w:p>
    <w:p w14:paraId="1F74E2E5" w14:textId="77494B08" w:rsidR="006308AB" w:rsidRPr="004A30FF" w:rsidRDefault="00900B28" w:rsidP="00D0398C">
      <w:pPr>
        <w:spacing w:line="240" w:lineRule="auto"/>
        <w:jc w:val="both"/>
        <w:rPr>
          <w:rFonts w:ascii="Times New Roman" w:hAnsi="Times New Roman" w:cs="Times New Roman"/>
          <w:sz w:val="24"/>
          <w:szCs w:val="24"/>
        </w:rPr>
      </w:pPr>
      <w:r w:rsidRPr="004A30FF">
        <w:rPr>
          <w:rFonts w:ascii="Times New Roman" w:hAnsi="Times New Roman" w:cs="Times New Roman"/>
          <w:sz w:val="24"/>
          <w:szCs w:val="24"/>
        </w:rPr>
        <w:t>1.</w:t>
      </w:r>
      <w:r w:rsidR="00116243" w:rsidRPr="004A30FF">
        <w:rPr>
          <w:rFonts w:ascii="Times New Roman" w:hAnsi="Times New Roman" w:cs="Times New Roman"/>
          <w:sz w:val="24"/>
          <w:szCs w:val="24"/>
        </w:rPr>
        <w:t xml:space="preserve"> Специфики, о</w:t>
      </w:r>
      <w:r w:rsidR="0068325D" w:rsidRPr="004A30FF">
        <w:rPr>
          <w:rFonts w:ascii="Times New Roman" w:hAnsi="Times New Roman" w:cs="Times New Roman"/>
          <w:sz w:val="24"/>
          <w:szCs w:val="24"/>
        </w:rPr>
        <w:t xml:space="preserve">рганизация и методология </w:t>
      </w:r>
      <w:r w:rsidR="006308AB" w:rsidRPr="004A30FF">
        <w:rPr>
          <w:rFonts w:ascii="Times New Roman" w:hAnsi="Times New Roman" w:cs="Times New Roman"/>
          <w:sz w:val="24"/>
          <w:szCs w:val="24"/>
        </w:rPr>
        <w:t>на счетоводството в публичния сектор</w:t>
      </w:r>
      <w:r w:rsidR="004D03BD" w:rsidRPr="004A30FF">
        <w:rPr>
          <w:rFonts w:ascii="Times New Roman" w:hAnsi="Times New Roman" w:cs="Times New Roman"/>
          <w:sz w:val="24"/>
          <w:szCs w:val="24"/>
        </w:rPr>
        <w:t>................</w:t>
      </w:r>
      <w:r w:rsidR="00116243" w:rsidRPr="004A30FF">
        <w:rPr>
          <w:rFonts w:ascii="Times New Roman" w:hAnsi="Times New Roman" w:cs="Times New Roman"/>
          <w:sz w:val="24"/>
          <w:szCs w:val="24"/>
        </w:rPr>
        <w:t>.........................................................................................................</w:t>
      </w:r>
      <w:r w:rsidR="004D03BD" w:rsidRPr="004A30FF">
        <w:rPr>
          <w:rFonts w:ascii="Times New Roman" w:hAnsi="Times New Roman" w:cs="Times New Roman"/>
          <w:sz w:val="24"/>
          <w:szCs w:val="24"/>
        </w:rPr>
        <w:t>.....................</w:t>
      </w:r>
      <w:r w:rsidR="00BE7BFB" w:rsidRPr="004A30FF">
        <w:rPr>
          <w:rFonts w:ascii="Times New Roman" w:hAnsi="Times New Roman" w:cs="Times New Roman"/>
          <w:sz w:val="24"/>
          <w:szCs w:val="24"/>
        </w:rPr>
        <w:t>4</w:t>
      </w:r>
    </w:p>
    <w:p w14:paraId="11CE9C2F" w14:textId="3B48E4C2" w:rsidR="006308AB" w:rsidRPr="004A30FF" w:rsidRDefault="00900B28" w:rsidP="00D0398C">
      <w:pPr>
        <w:spacing w:line="240" w:lineRule="auto"/>
        <w:jc w:val="both"/>
        <w:rPr>
          <w:rFonts w:ascii="Times New Roman" w:hAnsi="Times New Roman" w:cs="Times New Roman"/>
          <w:sz w:val="24"/>
          <w:szCs w:val="24"/>
        </w:rPr>
      </w:pPr>
      <w:r w:rsidRPr="004A30FF">
        <w:rPr>
          <w:rFonts w:ascii="Times New Roman" w:hAnsi="Times New Roman" w:cs="Times New Roman"/>
          <w:sz w:val="24"/>
          <w:szCs w:val="24"/>
        </w:rPr>
        <w:t>2</w:t>
      </w:r>
      <w:r w:rsidR="00116243" w:rsidRPr="004A30FF">
        <w:rPr>
          <w:rFonts w:ascii="Times New Roman" w:hAnsi="Times New Roman" w:cs="Times New Roman"/>
          <w:sz w:val="24"/>
          <w:szCs w:val="24"/>
        </w:rPr>
        <w:t xml:space="preserve"> Нормативна уредба на счетоводството в публичния сектор...........</w:t>
      </w:r>
      <w:r w:rsidR="006308AB" w:rsidRPr="004A30FF">
        <w:rPr>
          <w:rFonts w:ascii="Times New Roman" w:hAnsi="Times New Roman" w:cs="Times New Roman"/>
          <w:sz w:val="24"/>
          <w:szCs w:val="24"/>
        </w:rPr>
        <w:t>...............................</w:t>
      </w:r>
      <w:r w:rsidR="004D03BD" w:rsidRPr="004A30FF">
        <w:rPr>
          <w:rFonts w:ascii="Times New Roman" w:hAnsi="Times New Roman" w:cs="Times New Roman"/>
          <w:sz w:val="24"/>
          <w:szCs w:val="24"/>
        </w:rPr>
        <w:t>....................................................................................................</w:t>
      </w:r>
      <w:r w:rsidR="00EA26B4" w:rsidRPr="004A30FF">
        <w:rPr>
          <w:rFonts w:ascii="Times New Roman" w:hAnsi="Times New Roman" w:cs="Times New Roman"/>
          <w:sz w:val="24"/>
          <w:szCs w:val="24"/>
        </w:rPr>
        <w:t>9</w:t>
      </w:r>
    </w:p>
    <w:p w14:paraId="10914B9C" w14:textId="5C3E4BD0" w:rsidR="00882740" w:rsidRPr="004A30FF" w:rsidRDefault="006308AB" w:rsidP="00D0398C">
      <w:pPr>
        <w:spacing w:line="240" w:lineRule="auto"/>
        <w:jc w:val="both"/>
        <w:rPr>
          <w:rFonts w:ascii="Times New Roman" w:hAnsi="Times New Roman" w:cs="Times New Roman"/>
          <w:sz w:val="24"/>
          <w:szCs w:val="24"/>
        </w:rPr>
      </w:pPr>
      <w:r w:rsidRPr="004A30FF">
        <w:rPr>
          <w:rFonts w:ascii="Times New Roman" w:hAnsi="Times New Roman" w:cs="Times New Roman"/>
          <w:sz w:val="24"/>
          <w:szCs w:val="24"/>
        </w:rPr>
        <w:t>В</w:t>
      </w:r>
      <w:r w:rsidR="00D0398C" w:rsidRPr="004A30FF">
        <w:rPr>
          <w:rFonts w:ascii="Times New Roman" w:hAnsi="Times New Roman" w:cs="Times New Roman"/>
          <w:sz w:val="24"/>
          <w:szCs w:val="24"/>
        </w:rPr>
        <w:t>ТОРА ГЛАВА</w:t>
      </w:r>
      <w:r w:rsidR="004C3D9D" w:rsidRPr="004A30FF">
        <w:rPr>
          <w:rFonts w:ascii="Times New Roman" w:hAnsi="Times New Roman" w:cs="Times New Roman"/>
          <w:sz w:val="24"/>
          <w:szCs w:val="24"/>
        </w:rPr>
        <w:t xml:space="preserve">: </w:t>
      </w:r>
      <w:r w:rsidRPr="004A30FF">
        <w:rPr>
          <w:rFonts w:ascii="Times New Roman" w:hAnsi="Times New Roman" w:cs="Times New Roman"/>
          <w:sz w:val="24"/>
          <w:szCs w:val="24"/>
        </w:rPr>
        <w:t>ГОДИШНО СЧЕТОВОДНО ПРИКЛЮЧВАНЕ В ПРЕДПРИЯТИЯТА ОТ ПУБЛИЧНИЯ СЕКТОР .............................................................................................................</w:t>
      </w:r>
      <w:r w:rsidR="004D03BD" w:rsidRPr="004A30FF">
        <w:rPr>
          <w:rFonts w:ascii="Times New Roman" w:hAnsi="Times New Roman" w:cs="Times New Roman"/>
          <w:sz w:val="24"/>
          <w:szCs w:val="24"/>
        </w:rPr>
        <w:t>.1</w:t>
      </w:r>
      <w:r w:rsidR="00EA26B4" w:rsidRPr="004A30FF">
        <w:rPr>
          <w:rFonts w:ascii="Times New Roman" w:hAnsi="Times New Roman" w:cs="Times New Roman"/>
          <w:sz w:val="24"/>
          <w:szCs w:val="24"/>
        </w:rPr>
        <w:t>6</w:t>
      </w:r>
      <w:r w:rsidR="00882740" w:rsidRPr="004A30FF">
        <w:rPr>
          <w:rFonts w:ascii="Times New Roman" w:hAnsi="Times New Roman" w:cs="Times New Roman"/>
          <w:sz w:val="24"/>
          <w:szCs w:val="24"/>
        </w:rPr>
        <w:t xml:space="preserve"> </w:t>
      </w:r>
    </w:p>
    <w:p w14:paraId="79981177" w14:textId="0FCFFBD6" w:rsidR="001854EA" w:rsidRPr="004A30FF" w:rsidRDefault="003201C5" w:rsidP="00D0398C">
      <w:pPr>
        <w:spacing w:line="240" w:lineRule="auto"/>
        <w:jc w:val="both"/>
        <w:rPr>
          <w:rFonts w:ascii="Times New Roman" w:hAnsi="Times New Roman" w:cs="Times New Roman"/>
          <w:sz w:val="24"/>
          <w:szCs w:val="24"/>
        </w:rPr>
      </w:pPr>
      <w:r w:rsidRPr="004A30FF">
        <w:rPr>
          <w:rFonts w:ascii="Times New Roman" w:hAnsi="Times New Roman" w:cs="Times New Roman"/>
          <w:sz w:val="24"/>
          <w:szCs w:val="24"/>
        </w:rPr>
        <w:t>1.</w:t>
      </w:r>
      <w:r w:rsidR="00882740" w:rsidRPr="004A30FF">
        <w:rPr>
          <w:rFonts w:ascii="Times New Roman" w:hAnsi="Times New Roman" w:cs="Times New Roman"/>
          <w:sz w:val="24"/>
          <w:szCs w:val="24"/>
        </w:rPr>
        <w:t xml:space="preserve"> </w:t>
      </w:r>
      <w:r w:rsidR="002A1530" w:rsidRPr="004A30FF">
        <w:rPr>
          <w:rFonts w:ascii="Times New Roman" w:hAnsi="Times New Roman" w:cs="Times New Roman"/>
          <w:sz w:val="24"/>
          <w:szCs w:val="24"/>
        </w:rPr>
        <w:t>И</w:t>
      </w:r>
      <w:r w:rsidR="006308AB" w:rsidRPr="004A30FF">
        <w:rPr>
          <w:rFonts w:ascii="Times New Roman" w:hAnsi="Times New Roman" w:cs="Times New Roman"/>
          <w:sz w:val="24"/>
          <w:szCs w:val="24"/>
        </w:rPr>
        <w:t xml:space="preserve">нвентаризация </w:t>
      </w:r>
      <w:r w:rsidR="00900B28" w:rsidRPr="004A30FF">
        <w:rPr>
          <w:rFonts w:ascii="Times New Roman" w:hAnsi="Times New Roman" w:cs="Times New Roman"/>
          <w:sz w:val="24"/>
          <w:szCs w:val="24"/>
        </w:rPr>
        <w:t xml:space="preserve">на активите и пасивите </w:t>
      </w:r>
      <w:r w:rsidR="006308AB" w:rsidRPr="004A30FF">
        <w:rPr>
          <w:rFonts w:ascii="Times New Roman" w:hAnsi="Times New Roman" w:cs="Times New Roman"/>
          <w:sz w:val="24"/>
          <w:szCs w:val="24"/>
        </w:rPr>
        <w:t>в предприятията от публичния сектор</w:t>
      </w:r>
      <w:r w:rsidR="007E727B" w:rsidRPr="004A30FF">
        <w:rPr>
          <w:rFonts w:ascii="Times New Roman" w:hAnsi="Times New Roman" w:cs="Times New Roman"/>
          <w:sz w:val="24"/>
          <w:szCs w:val="24"/>
        </w:rPr>
        <w:t xml:space="preserve"> ..............</w:t>
      </w:r>
      <w:r w:rsidR="004D03BD" w:rsidRPr="004A30FF">
        <w:rPr>
          <w:rFonts w:ascii="Times New Roman" w:hAnsi="Times New Roman" w:cs="Times New Roman"/>
          <w:sz w:val="24"/>
          <w:szCs w:val="24"/>
        </w:rPr>
        <w:t>1</w:t>
      </w:r>
      <w:r w:rsidR="00EA26B4" w:rsidRPr="004A30FF">
        <w:rPr>
          <w:rFonts w:ascii="Times New Roman" w:hAnsi="Times New Roman" w:cs="Times New Roman"/>
          <w:sz w:val="24"/>
          <w:szCs w:val="24"/>
        </w:rPr>
        <w:t>7</w:t>
      </w:r>
    </w:p>
    <w:p w14:paraId="116CCB97" w14:textId="5FCE9759" w:rsidR="006308AB" w:rsidRPr="004A30FF" w:rsidRDefault="006308AB" w:rsidP="00D0398C">
      <w:pPr>
        <w:spacing w:line="240" w:lineRule="auto"/>
        <w:jc w:val="both"/>
        <w:rPr>
          <w:rFonts w:ascii="Times New Roman" w:hAnsi="Times New Roman" w:cs="Times New Roman"/>
          <w:sz w:val="24"/>
          <w:szCs w:val="24"/>
        </w:rPr>
      </w:pPr>
      <w:bookmarkStart w:id="0" w:name="_Hlk196147505"/>
      <w:r w:rsidRPr="004A30FF">
        <w:rPr>
          <w:rFonts w:ascii="Times New Roman" w:hAnsi="Times New Roman" w:cs="Times New Roman"/>
          <w:sz w:val="24"/>
          <w:szCs w:val="24"/>
        </w:rPr>
        <w:t>2</w:t>
      </w:r>
      <w:r w:rsidR="003201C5" w:rsidRPr="004A30FF">
        <w:rPr>
          <w:rFonts w:ascii="Times New Roman" w:hAnsi="Times New Roman" w:cs="Times New Roman"/>
          <w:sz w:val="24"/>
          <w:szCs w:val="24"/>
        </w:rPr>
        <w:t xml:space="preserve">. </w:t>
      </w:r>
      <w:r w:rsidR="00900B28" w:rsidRPr="004A30FF">
        <w:rPr>
          <w:rFonts w:ascii="Times New Roman" w:hAnsi="Times New Roman" w:cs="Times New Roman"/>
          <w:sz w:val="24"/>
          <w:szCs w:val="24"/>
        </w:rPr>
        <w:t xml:space="preserve">Последваща оценка </w:t>
      </w:r>
      <w:r w:rsidRPr="004A30FF">
        <w:rPr>
          <w:rFonts w:ascii="Times New Roman" w:hAnsi="Times New Roman" w:cs="Times New Roman"/>
          <w:sz w:val="24"/>
          <w:szCs w:val="24"/>
        </w:rPr>
        <w:t xml:space="preserve"> на активите и пасивите в предприятията </w:t>
      </w:r>
      <w:r w:rsidR="007E727B" w:rsidRPr="004A30FF">
        <w:rPr>
          <w:rFonts w:ascii="Times New Roman" w:hAnsi="Times New Roman" w:cs="Times New Roman"/>
          <w:sz w:val="24"/>
          <w:szCs w:val="24"/>
        </w:rPr>
        <w:t>от публичния сектор ......</w:t>
      </w:r>
      <w:r w:rsidR="004D03BD" w:rsidRPr="004A30FF">
        <w:rPr>
          <w:rFonts w:ascii="Times New Roman" w:hAnsi="Times New Roman" w:cs="Times New Roman"/>
          <w:sz w:val="24"/>
          <w:szCs w:val="24"/>
        </w:rPr>
        <w:t xml:space="preserve"> </w:t>
      </w:r>
      <w:r w:rsidR="00EA26B4" w:rsidRPr="004A30FF">
        <w:rPr>
          <w:rFonts w:ascii="Times New Roman" w:hAnsi="Times New Roman" w:cs="Times New Roman"/>
          <w:sz w:val="24"/>
          <w:szCs w:val="24"/>
        </w:rPr>
        <w:t>20</w:t>
      </w:r>
    </w:p>
    <w:p w14:paraId="5303ECCC" w14:textId="03660E9E" w:rsidR="007E727B" w:rsidRPr="004A30FF" w:rsidRDefault="007E727B" w:rsidP="00D0398C">
      <w:pPr>
        <w:spacing w:line="240" w:lineRule="auto"/>
        <w:jc w:val="both"/>
        <w:rPr>
          <w:rFonts w:ascii="Times New Roman" w:hAnsi="Times New Roman" w:cs="Times New Roman"/>
          <w:sz w:val="24"/>
          <w:szCs w:val="24"/>
        </w:rPr>
      </w:pPr>
      <w:r w:rsidRPr="004A30FF">
        <w:rPr>
          <w:rFonts w:ascii="Times New Roman" w:hAnsi="Times New Roman" w:cs="Times New Roman"/>
          <w:sz w:val="24"/>
          <w:szCs w:val="24"/>
        </w:rPr>
        <w:t>3</w:t>
      </w:r>
      <w:r w:rsidR="003201C5" w:rsidRPr="004A30FF">
        <w:rPr>
          <w:rFonts w:ascii="Times New Roman" w:hAnsi="Times New Roman" w:cs="Times New Roman"/>
          <w:sz w:val="24"/>
          <w:szCs w:val="24"/>
        </w:rPr>
        <w:t>.</w:t>
      </w:r>
      <w:r w:rsidR="002B626C" w:rsidRPr="004A30FF">
        <w:rPr>
          <w:rFonts w:ascii="Times New Roman" w:hAnsi="Times New Roman" w:cs="Times New Roman"/>
          <w:sz w:val="24"/>
          <w:szCs w:val="24"/>
        </w:rPr>
        <w:t xml:space="preserve"> </w:t>
      </w:r>
      <w:r w:rsidR="000F1E63" w:rsidRPr="004A30FF">
        <w:rPr>
          <w:rFonts w:ascii="Times New Roman" w:hAnsi="Times New Roman" w:cs="Times New Roman"/>
          <w:sz w:val="24"/>
          <w:szCs w:val="24"/>
        </w:rPr>
        <w:t xml:space="preserve">Признаване на разходите и приходите за бъдещи периоди </w:t>
      </w:r>
      <w:r w:rsidR="00900B28" w:rsidRPr="004A30FF">
        <w:rPr>
          <w:rFonts w:ascii="Times New Roman" w:hAnsi="Times New Roman" w:cs="Times New Roman"/>
          <w:sz w:val="24"/>
          <w:szCs w:val="24"/>
        </w:rPr>
        <w:t>през текущия отчетен период в предприятията от публичния сектор...</w:t>
      </w:r>
      <w:r w:rsidR="004D03BD" w:rsidRPr="004A30FF">
        <w:rPr>
          <w:rFonts w:ascii="Times New Roman" w:hAnsi="Times New Roman" w:cs="Times New Roman"/>
          <w:sz w:val="24"/>
          <w:szCs w:val="24"/>
        </w:rPr>
        <w:t>........................................................................................</w:t>
      </w:r>
      <w:r w:rsidR="00EA26B4" w:rsidRPr="004A30FF">
        <w:rPr>
          <w:rFonts w:ascii="Times New Roman" w:hAnsi="Times New Roman" w:cs="Times New Roman"/>
          <w:sz w:val="24"/>
          <w:szCs w:val="24"/>
        </w:rPr>
        <w:t>23</w:t>
      </w:r>
    </w:p>
    <w:p w14:paraId="29401391" w14:textId="79A9B2A7" w:rsidR="007E727B" w:rsidRPr="004A30FF" w:rsidRDefault="007E727B" w:rsidP="00D0398C">
      <w:pPr>
        <w:spacing w:line="240" w:lineRule="auto"/>
        <w:jc w:val="both"/>
        <w:rPr>
          <w:rFonts w:ascii="Times New Roman" w:hAnsi="Times New Roman" w:cs="Times New Roman"/>
          <w:sz w:val="24"/>
          <w:szCs w:val="24"/>
        </w:rPr>
      </w:pPr>
      <w:r w:rsidRPr="004A30FF">
        <w:rPr>
          <w:rFonts w:ascii="Times New Roman" w:hAnsi="Times New Roman" w:cs="Times New Roman"/>
          <w:sz w:val="24"/>
          <w:szCs w:val="24"/>
        </w:rPr>
        <w:t>4</w:t>
      </w:r>
      <w:r w:rsidR="003201C5" w:rsidRPr="004A30FF">
        <w:rPr>
          <w:rFonts w:ascii="Times New Roman" w:hAnsi="Times New Roman" w:cs="Times New Roman"/>
          <w:sz w:val="24"/>
          <w:szCs w:val="24"/>
        </w:rPr>
        <w:t xml:space="preserve">. </w:t>
      </w:r>
      <w:r w:rsidR="000F1E63" w:rsidRPr="004A30FF">
        <w:rPr>
          <w:rFonts w:ascii="Times New Roman" w:hAnsi="Times New Roman" w:cs="Times New Roman"/>
          <w:sz w:val="24"/>
          <w:szCs w:val="24"/>
        </w:rPr>
        <w:t>Начисляване на провизии за неползван годишен платен отпуск на персонала в предприятията от публичния сектор</w:t>
      </w:r>
      <w:r w:rsidR="002B626C" w:rsidRPr="004A30FF">
        <w:rPr>
          <w:rFonts w:ascii="Times New Roman" w:hAnsi="Times New Roman" w:cs="Times New Roman"/>
          <w:sz w:val="24"/>
          <w:szCs w:val="24"/>
        </w:rPr>
        <w:t xml:space="preserve"> </w:t>
      </w:r>
      <w:r w:rsidRPr="004A30FF">
        <w:rPr>
          <w:rFonts w:ascii="Times New Roman" w:hAnsi="Times New Roman" w:cs="Times New Roman"/>
          <w:sz w:val="24"/>
          <w:szCs w:val="24"/>
        </w:rPr>
        <w:t>...........................................................</w:t>
      </w:r>
      <w:r w:rsidR="004D03BD" w:rsidRPr="004A30FF">
        <w:rPr>
          <w:rFonts w:ascii="Times New Roman" w:hAnsi="Times New Roman" w:cs="Times New Roman"/>
          <w:sz w:val="24"/>
          <w:szCs w:val="24"/>
        </w:rPr>
        <w:t>..............................</w:t>
      </w:r>
      <w:r w:rsidR="00EA26B4" w:rsidRPr="004A30FF">
        <w:rPr>
          <w:rFonts w:ascii="Times New Roman" w:hAnsi="Times New Roman" w:cs="Times New Roman"/>
          <w:sz w:val="24"/>
          <w:szCs w:val="24"/>
        </w:rPr>
        <w:t>23</w:t>
      </w:r>
    </w:p>
    <w:p w14:paraId="2EEDD875" w14:textId="23BEE4FB" w:rsidR="00887E63" w:rsidRPr="004A30FF" w:rsidRDefault="007E727B" w:rsidP="00D0398C">
      <w:pPr>
        <w:spacing w:line="240" w:lineRule="auto"/>
        <w:jc w:val="both"/>
        <w:rPr>
          <w:rFonts w:ascii="Times New Roman" w:hAnsi="Times New Roman" w:cs="Times New Roman"/>
          <w:sz w:val="24"/>
          <w:szCs w:val="24"/>
        </w:rPr>
      </w:pPr>
      <w:r w:rsidRPr="004A30FF">
        <w:rPr>
          <w:rFonts w:ascii="Times New Roman" w:hAnsi="Times New Roman" w:cs="Times New Roman"/>
          <w:sz w:val="24"/>
          <w:szCs w:val="24"/>
        </w:rPr>
        <w:t>5</w:t>
      </w:r>
      <w:r w:rsidR="00887E63" w:rsidRPr="004A30FF">
        <w:rPr>
          <w:rFonts w:ascii="Times New Roman" w:hAnsi="Times New Roman" w:cs="Times New Roman"/>
          <w:sz w:val="24"/>
          <w:szCs w:val="24"/>
        </w:rPr>
        <w:t xml:space="preserve">. </w:t>
      </w:r>
      <w:r w:rsidR="005C524B" w:rsidRPr="004A30FF">
        <w:rPr>
          <w:rFonts w:ascii="Times New Roman" w:hAnsi="Times New Roman" w:cs="Times New Roman"/>
          <w:sz w:val="24"/>
          <w:szCs w:val="24"/>
        </w:rPr>
        <w:t>Отразяване на събития, настъпили между датата на счетоводния баланс и датата на изготвянето му в предприятията от публичния сектор.........................................................</w:t>
      </w:r>
    </w:p>
    <w:p w14:paraId="62C0EF9C" w14:textId="216B9A70" w:rsidR="007E727B" w:rsidRPr="004A30FF" w:rsidRDefault="00887E63" w:rsidP="00D0398C">
      <w:pPr>
        <w:spacing w:line="240" w:lineRule="auto"/>
        <w:jc w:val="both"/>
        <w:rPr>
          <w:rFonts w:ascii="Times New Roman" w:hAnsi="Times New Roman" w:cs="Times New Roman"/>
          <w:sz w:val="24"/>
          <w:szCs w:val="24"/>
        </w:rPr>
      </w:pPr>
      <w:r w:rsidRPr="004A30FF">
        <w:rPr>
          <w:rFonts w:ascii="Times New Roman" w:hAnsi="Times New Roman" w:cs="Times New Roman"/>
          <w:sz w:val="24"/>
          <w:szCs w:val="24"/>
        </w:rPr>
        <w:t xml:space="preserve">6. </w:t>
      </w:r>
      <w:r w:rsidR="007E727B" w:rsidRPr="004A30FF">
        <w:rPr>
          <w:rFonts w:ascii="Times New Roman" w:hAnsi="Times New Roman" w:cs="Times New Roman"/>
          <w:sz w:val="24"/>
          <w:szCs w:val="24"/>
        </w:rPr>
        <w:t>Съставяне на оборотна ведомост в предприятията от публичния сектор ...............</w:t>
      </w:r>
      <w:r w:rsidR="004D03BD" w:rsidRPr="004A30FF">
        <w:rPr>
          <w:rFonts w:ascii="Times New Roman" w:hAnsi="Times New Roman" w:cs="Times New Roman"/>
          <w:sz w:val="24"/>
          <w:szCs w:val="24"/>
        </w:rPr>
        <w:t>...........2</w:t>
      </w:r>
      <w:r w:rsidR="00EA26B4" w:rsidRPr="004A30FF">
        <w:rPr>
          <w:rFonts w:ascii="Times New Roman" w:hAnsi="Times New Roman" w:cs="Times New Roman"/>
          <w:sz w:val="24"/>
          <w:szCs w:val="24"/>
        </w:rPr>
        <w:t>8</w:t>
      </w:r>
    </w:p>
    <w:p w14:paraId="2EAF9C4F" w14:textId="69FD4B76" w:rsidR="007E727B" w:rsidRPr="004A30FF" w:rsidRDefault="005C524B" w:rsidP="00D0398C">
      <w:pPr>
        <w:spacing w:line="240" w:lineRule="auto"/>
        <w:jc w:val="both"/>
        <w:rPr>
          <w:rFonts w:ascii="Times New Roman" w:hAnsi="Times New Roman" w:cs="Times New Roman"/>
          <w:sz w:val="24"/>
          <w:szCs w:val="24"/>
        </w:rPr>
      </w:pPr>
      <w:r w:rsidRPr="004A30FF">
        <w:rPr>
          <w:rFonts w:ascii="Times New Roman" w:hAnsi="Times New Roman" w:cs="Times New Roman"/>
          <w:sz w:val="24"/>
          <w:szCs w:val="24"/>
        </w:rPr>
        <w:t>7</w:t>
      </w:r>
      <w:r w:rsidR="00887E63" w:rsidRPr="004A30FF">
        <w:rPr>
          <w:rFonts w:ascii="Times New Roman" w:hAnsi="Times New Roman" w:cs="Times New Roman"/>
          <w:sz w:val="24"/>
          <w:szCs w:val="24"/>
        </w:rPr>
        <w:t xml:space="preserve">. </w:t>
      </w:r>
      <w:r w:rsidR="000F1E63" w:rsidRPr="004A30FF">
        <w:rPr>
          <w:rFonts w:ascii="Times New Roman" w:hAnsi="Times New Roman" w:cs="Times New Roman"/>
          <w:sz w:val="24"/>
          <w:szCs w:val="24"/>
        </w:rPr>
        <w:t xml:space="preserve">Приключване на счетоводните сметки </w:t>
      </w:r>
      <w:r w:rsidR="00900B28" w:rsidRPr="004A30FF">
        <w:rPr>
          <w:rFonts w:ascii="Times New Roman" w:hAnsi="Times New Roman" w:cs="Times New Roman"/>
          <w:sz w:val="24"/>
          <w:szCs w:val="24"/>
        </w:rPr>
        <w:t>за</w:t>
      </w:r>
      <w:r w:rsidR="000F1E63" w:rsidRPr="004A30FF">
        <w:rPr>
          <w:rFonts w:ascii="Times New Roman" w:hAnsi="Times New Roman" w:cs="Times New Roman"/>
          <w:sz w:val="24"/>
          <w:szCs w:val="24"/>
        </w:rPr>
        <w:t xml:space="preserve"> отчита</w:t>
      </w:r>
      <w:r w:rsidR="00900B28" w:rsidRPr="004A30FF">
        <w:rPr>
          <w:rFonts w:ascii="Times New Roman" w:hAnsi="Times New Roman" w:cs="Times New Roman"/>
          <w:sz w:val="24"/>
          <w:szCs w:val="24"/>
        </w:rPr>
        <w:t xml:space="preserve">не на </w:t>
      </w:r>
      <w:r w:rsidR="000F1E63" w:rsidRPr="004A30FF">
        <w:rPr>
          <w:rFonts w:ascii="Times New Roman" w:hAnsi="Times New Roman" w:cs="Times New Roman"/>
          <w:sz w:val="24"/>
          <w:szCs w:val="24"/>
        </w:rPr>
        <w:t xml:space="preserve">  разходите</w:t>
      </w:r>
      <w:r w:rsidR="00900B28" w:rsidRPr="004A30FF">
        <w:rPr>
          <w:rFonts w:ascii="Times New Roman" w:hAnsi="Times New Roman" w:cs="Times New Roman"/>
          <w:sz w:val="24"/>
          <w:szCs w:val="24"/>
        </w:rPr>
        <w:t xml:space="preserve"> и приходите</w:t>
      </w:r>
      <w:r w:rsidR="000F1E63" w:rsidRPr="004A30FF">
        <w:rPr>
          <w:rFonts w:ascii="Times New Roman" w:hAnsi="Times New Roman" w:cs="Times New Roman"/>
          <w:sz w:val="24"/>
          <w:szCs w:val="24"/>
        </w:rPr>
        <w:t xml:space="preserve"> в предприятията от публичния сектор</w:t>
      </w:r>
      <w:r w:rsidR="00882740" w:rsidRPr="004A30FF">
        <w:rPr>
          <w:rFonts w:ascii="Times New Roman" w:hAnsi="Times New Roman" w:cs="Times New Roman"/>
          <w:sz w:val="24"/>
          <w:szCs w:val="24"/>
        </w:rPr>
        <w:t xml:space="preserve"> </w:t>
      </w:r>
      <w:bookmarkEnd w:id="0"/>
      <w:r w:rsidR="007E727B" w:rsidRPr="004A30FF">
        <w:rPr>
          <w:rFonts w:ascii="Times New Roman" w:hAnsi="Times New Roman" w:cs="Times New Roman"/>
          <w:sz w:val="24"/>
          <w:szCs w:val="24"/>
        </w:rPr>
        <w:t>..................................</w:t>
      </w:r>
      <w:r w:rsidR="000F1E63" w:rsidRPr="004A30FF">
        <w:rPr>
          <w:rFonts w:ascii="Times New Roman" w:hAnsi="Times New Roman" w:cs="Times New Roman"/>
          <w:sz w:val="24"/>
          <w:szCs w:val="24"/>
        </w:rPr>
        <w:t>.....................</w:t>
      </w:r>
      <w:r w:rsidR="004D03BD" w:rsidRPr="004A30FF">
        <w:rPr>
          <w:rFonts w:ascii="Times New Roman" w:hAnsi="Times New Roman" w:cs="Times New Roman"/>
          <w:sz w:val="24"/>
          <w:szCs w:val="24"/>
        </w:rPr>
        <w:t>...................................</w:t>
      </w:r>
      <w:r w:rsidR="00EA26B4" w:rsidRPr="004A30FF">
        <w:rPr>
          <w:rFonts w:ascii="Times New Roman" w:hAnsi="Times New Roman" w:cs="Times New Roman"/>
          <w:sz w:val="24"/>
          <w:szCs w:val="24"/>
        </w:rPr>
        <w:t>31</w:t>
      </w:r>
    </w:p>
    <w:p w14:paraId="4A311E65" w14:textId="1D0DAFAA" w:rsidR="007E727B" w:rsidRPr="004A30FF" w:rsidRDefault="007E727B" w:rsidP="00D0398C">
      <w:pPr>
        <w:spacing w:line="240" w:lineRule="auto"/>
        <w:jc w:val="both"/>
        <w:rPr>
          <w:rFonts w:ascii="Times New Roman" w:hAnsi="Times New Roman" w:cs="Times New Roman"/>
          <w:sz w:val="24"/>
          <w:szCs w:val="24"/>
        </w:rPr>
      </w:pPr>
      <w:r w:rsidRPr="004A30FF">
        <w:rPr>
          <w:rFonts w:ascii="Times New Roman" w:hAnsi="Times New Roman" w:cs="Times New Roman"/>
          <w:sz w:val="24"/>
          <w:szCs w:val="24"/>
        </w:rPr>
        <w:t>Т</w:t>
      </w:r>
      <w:r w:rsidR="00D0398C" w:rsidRPr="004A30FF">
        <w:rPr>
          <w:rFonts w:ascii="Times New Roman" w:hAnsi="Times New Roman" w:cs="Times New Roman"/>
          <w:sz w:val="24"/>
          <w:szCs w:val="24"/>
        </w:rPr>
        <w:t>РЕТА ГЛАВА</w:t>
      </w:r>
      <w:r w:rsidR="004C3D9D"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ГОДИШНО СЧЕТОВОДНО ПРИКЛЮЧВАНЕ И ГОДИШЕН ФИНАНСОВ ОТЧЕТ </w:t>
      </w:r>
      <w:r w:rsidR="004C3D9D" w:rsidRPr="004A30FF">
        <w:rPr>
          <w:rFonts w:ascii="Times New Roman" w:hAnsi="Times New Roman" w:cs="Times New Roman"/>
          <w:sz w:val="24"/>
          <w:szCs w:val="24"/>
        </w:rPr>
        <w:t>НА</w:t>
      </w:r>
      <w:r w:rsidRPr="004A30FF">
        <w:rPr>
          <w:rFonts w:ascii="Times New Roman" w:hAnsi="Times New Roman" w:cs="Times New Roman"/>
          <w:sz w:val="24"/>
          <w:szCs w:val="24"/>
        </w:rPr>
        <w:t xml:space="preserve"> ДЕТСКА ГРАДИНА „ОСМИ МАРТ“ ГР. РАДОМИР</w:t>
      </w:r>
    </w:p>
    <w:p w14:paraId="7A4B6C6B" w14:textId="1595CED7" w:rsidR="001854EA" w:rsidRPr="004A30FF" w:rsidRDefault="00315F72" w:rsidP="00D0398C">
      <w:pPr>
        <w:spacing w:line="240" w:lineRule="auto"/>
        <w:jc w:val="both"/>
        <w:rPr>
          <w:rFonts w:ascii="Times New Roman" w:hAnsi="Times New Roman" w:cs="Times New Roman"/>
          <w:sz w:val="24"/>
          <w:szCs w:val="24"/>
        </w:rPr>
      </w:pPr>
      <w:r w:rsidRPr="004A30FF">
        <w:rPr>
          <w:rFonts w:ascii="Times New Roman" w:hAnsi="Times New Roman" w:cs="Times New Roman"/>
          <w:sz w:val="24"/>
          <w:szCs w:val="24"/>
        </w:rPr>
        <w:t>1</w:t>
      </w:r>
      <w:r w:rsidR="00075741" w:rsidRPr="004A30FF">
        <w:rPr>
          <w:rFonts w:ascii="Times New Roman" w:hAnsi="Times New Roman" w:cs="Times New Roman"/>
          <w:sz w:val="24"/>
          <w:szCs w:val="24"/>
        </w:rPr>
        <w:t>.</w:t>
      </w:r>
      <w:r w:rsidRPr="004A30FF">
        <w:rPr>
          <w:rFonts w:ascii="Times New Roman" w:hAnsi="Times New Roman" w:cs="Times New Roman"/>
          <w:sz w:val="24"/>
          <w:szCs w:val="24"/>
        </w:rPr>
        <w:t xml:space="preserve"> </w:t>
      </w:r>
      <w:r w:rsidR="002B626C" w:rsidRPr="004A30FF">
        <w:rPr>
          <w:rFonts w:ascii="Times New Roman" w:hAnsi="Times New Roman" w:cs="Times New Roman"/>
          <w:sz w:val="24"/>
          <w:szCs w:val="24"/>
        </w:rPr>
        <w:t>Визия и мисия</w:t>
      </w:r>
      <w:r w:rsidR="002A1530" w:rsidRPr="004A30FF">
        <w:rPr>
          <w:rFonts w:ascii="Times New Roman" w:hAnsi="Times New Roman" w:cs="Times New Roman"/>
          <w:sz w:val="24"/>
          <w:szCs w:val="24"/>
        </w:rPr>
        <w:t xml:space="preserve"> на детска градина „Осми март“</w:t>
      </w:r>
      <w:r w:rsidR="002B626C" w:rsidRPr="004A30FF">
        <w:rPr>
          <w:rFonts w:ascii="Times New Roman" w:hAnsi="Times New Roman" w:cs="Times New Roman"/>
          <w:sz w:val="24"/>
          <w:szCs w:val="24"/>
        </w:rPr>
        <w:t xml:space="preserve"> гр. Радомир</w:t>
      </w:r>
      <w:r w:rsidR="002A1530" w:rsidRPr="004A30FF">
        <w:rPr>
          <w:rFonts w:ascii="Times New Roman" w:hAnsi="Times New Roman" w:cs="Times New Roman"/>
          <w:sz w:val="24"/>
          <w:szCs w:val="24"/>
        </w:rPr>
        <w:t xml:space="preserve"> </w:t>
      </w:r>
      <w:r w:rsidR="00EA26B4" w:rsidRPr="004A30FF">
        <w:rPr>
          <w:rFonts w:ascii="Times New Roman" w:hAnsi="Times New Roman" w:cs="Times New Roman"/>
          <w:sz w:val="24"/>
          <w:szCs w:val="24"/>
        </w:rPr>
        <w:t>………………………...31</w:t>
      </w:r>
    </w:p>
    <w:p w14:paraId="21DCA1BA" w14:textId="71BFFA3B" w:rsidR="002A1530" w:rsidRPr="004A30FF" w:rsidRDefault="002A1530" w:rsidP="00D0398C">
      <w:pPr>
        <w:spacing w:line="240" w:lineRule="auto"/>
        <w:jc w:val="both"/>
        <w:rPr>
          <w:rFonts w:ascii="Times New Roman" w:hAnsi="Times New Roman" w:cs="Times New Roman"/>
          <w:sz w:val="24"/>
          <w:szCs w:val="24"/>
        </w:rPr>
      </w:pPr>
      <w:r w:rsidRPr="004A30FF">
        <w:rPr>
          <w:rFonts w:ascii="Times New Roman" w:hAnsi="Times New Roman" w:cs="Times New Roman"/>
          <w:sz w:val="24"/>
          <w:szCs w:val="24"/>
        </w:rPr>
        <w:t>2</w:t>
      </w:r>
      <w:r w:rsidR="00075741" w:rsidRPr="004A30FF">
        <w:rPr>
          <w:rFonts w:ascii="Times New Roman" w:hAnsi="Times New Roman" w:cs="Times New Roman"/>
          <w:sz w:val="24"/>
          <w:szCs w:val="24"/>
        </w:rPr>
        <w:t>.</w:t>
      </w:r>
      <w:r w:rsidRPr="004A30FF">
        <w:rPr>
          <w:rFonts w:ascii="Times New Roman" w:hAnsi="Times New Roman" w:cs="Times New Roman"/>
          <w:sz w:val="24"/>
          <w:szCs w:val="24"/>
        </w:rPr>
        <w:t xml:space="preserve"> Годишно счетоводно приключване в ДГ „Осми март“ гр. Радомир </w:t>
      </w:r>
      <w:r w:rsidR="00EA26B4" w:rsidRPr="004A30FF">
        <w:rPr>
          <w:rFonts w:ascii="Times New Roman" w:hAnsi="Times New Roman" w:cs="Times New Roman"/>
          <w:sz w:val="24"/>
          <w:szCs w:val="24"/>
        </w:rPr>
        <w:t>…………………32</w:t>
      </w:r>
    </w:p>
    <w:p w14:paraId="05029DE3" w14:textId="4BEC9521" w:rsidR="002A1530" w:rsidRPr="004A30FF" w:rsidRDefault="002A1530" w:rsidP="00D0398C">
      <w:pPr>
        <w:spacing w:line="240" w:lineRule="auto"/>
        <w:jc w:val="both"/>
        <w:rPr>
          <w:rFonts w:ascii="Times New Roman" w:hAnsi="Times New Roman" w:cs="Times New Roman"/>
          <w:sz w:val="24"/>
          <w:szCs w:val="24"/>
        </w:rPr>
      </w:pPr>
      <w:r w:rsidRPr="004A30FF">
        <w:rPr>
          <w:rFonts w:ascii="Times New Roman" w:hAnsi="Times New Roman" w:cs="Times New Roman"/>
          <w:sz w:val="24"/>
          <w:szCs w:val="24"/>
        </w:rPr>
        <w:t>3</w:t>
      </w:r>
      <w:r w:rsidR="00075741" w:rsidRPr="004A30FF">
        <w:rPr>
          <w:rFonts w:ascii="Times New Roman" w:hAnsi="Times New Roman" w:cs="Times New Roman"/>
          <w:sz w:val="24"/>
          <w:szCs w:val="24"/>
        </w:rPr>
        <w:t>.</w:t>
      </w:r>
      <w:r w:rsidRPr="004A30FF">
        <w:rPr>
          <w:rFonts w:ascii="Times New Roman" w:hAnsi="Times New Roman" w:cs="Times New Roman"/>
          <w:sz w:val="24"/>
          <w:szCs w:val="24"/>
        </w:rPr>
        <w:t xml:space="preserve"> </w:t>
      </w:r>
      <w:r w:rsidR="00900B28" w:rsidRPr="004A30FF">
        <w:rPr>
          <w:rFonts w:ascii="Times New Roman" w:hAnsi="Times New Roman" w:cs="Times New Roman"/>
          <w:sz w:val="24"/>
          <w:szCs w:val="24"/>
        </w:rPr>
        <w:t>Годишен ф</w:t>
      </w:r>
      <w:r w:rsidRPr="004A30FF">
        <w:rPr>
          <w:rFonts w:ascii="Times New Roman" w:hAnsi="Times New Roman" w:cs="Times New Roman"/>
          <w:sz w:val="24"/>
          <w:szCs w:val="24"/>
        </w:rPr>
        <w:t xml:space="preserve">инансов отчет </w:t>
      </w:r>
      <w:r w:rsidR="00900B28" w:rsidRPr="004A30FF">
        <w:rPr>
          <w:rFonts w:ascii="Times New Roman" w:hAnsi="Times New Roman" w:cs="Times New Roman"/>
          <w:sz w:val="24"/>
          <w:szCs w:val="24"/>
        </w:rPr>
        <w:t>на</w:t>
      </w:r>
      <w:r w:rsidRPr="004A30FF">
        <w:rPr>
          <w:rFonts w:ascii="Times New Roman" w:hAnsi="Times New Roman" w:cs="Times New Roman"/>
          <w:sz w:val="24"/>
          <w:szCs w:val="24"/>
        </w:rPr>
        <w:t xml:space="preserve"> ДГ „Осми март“ гр. Радомир </w:t>
      </w:r>
      <w:r w:rsidR="00EA26B4" w:rsidRPr="004A30FF">
        <w:rPr>
          <w:rFonts w:ascii="Times New Roman" w:hAnsi="Times New Roman" w:cs="Times New Roman"/>
          <w:sz w:val="24"/>
          <w:szCs w:val="24"/>
        </w:rPr>
        <w:t>…………………………..56</w:t>
      </w:r>
      <w:r w:rsidR="0056140B" w:rsidRPr="004A30FF">
        <w:rPr>
          <w:rFonts w:ascii="Times New Roman" w:hAnsi="Times New Roman" w:cs="Times New Roman"/>
          <w:sz w:val="24"/>
          <w:szCs w:val="24"/>
        </w:rPr>
        <w:t xml:space="preserve">                                         </w:t>
      </w:r>
    </w:p>
    <w:p w14:paraId="2B385B7C" w14:textId="48EADF95" w:rsidR="002A1530" w:rsidRPr="004A30FF" w:rsidRDefault="002A1530" w:rsidP="00D0398C">
      <w:pPr>
        <w:spacing w:line="240" w:lineRule="auto"/>
        <w:jc w:val="both"/>
        <w:rPr>
          <w:rFonts w:ascii="Times New Roman" w:hAnsi="Times New Roman" w:cs="Times New Roman"/>
          <w:sz w:val="24"/>
          <w:szCs w:val="24"/>
        </w:rPr>
      </w:pPr>
      <w:r w:rsidRPr="004A30FF">
        <w:rPr>
          <w:rFonts w:ascii="Times New Roman" w:hAnsi="Times New Roman" w:cs="Times New Roman"/>
          <w:sz w:val="24"/>
          <w:szCs w:val="24"/>
        </w:rPr>
        <w:t>Заключение ...............................................................................</w:t>
      </w:r>
      <w:r w:rsidR="004D03BD" w:rsidRPr="004A30FF">
        <w:rPr>
          <w:rFonts w:ascii="Times New Roman" w:hAnsi="Times New Roman" w:cs="Times New Roman"/>
          <w:sz w:val="24"/>
          <w:szCs w:val="24"/>
        </w:rPr>
        <w:t>............................................</w:t>
      </w:r>
      <w:r w:rsidR="00EA26B4" w:rsidRPr="004A30FF">
        <w:rPr>
          <w:rFonts w:ascii="Times New Roman" w:hAnsi="Times New Roman" w:cs="Times New Roman"/>
          <w:sz w:val="24"/>
          <w:szCs w:val="24"/>
        </w:rPr>
        <w:t>.</w:t>
      </w:r>
      <w:r w:rsidR="00754F43" w:rsidRPr="004A30FF">
        <w:rPr>
          <w:rFonts w:ascii="Times New Roman" w:hAnsi="Times New Roman" w:cs="Times New Roman"/>
          <w:sz w:val="24"/>
          <w:szCs w:val="24"/>
        </w:rPr>
        <w:t>5</w:t>
      </w:r>
      <w:r w:rsidR="00EA26B4" w:rsidRPr="004A30FF">
        <w:rPr>
          <w:rFonts w:ascii="Times New Roman" w:hAnsi="Times New Roman" w:cs="Times New Roman"/>
          <w:sz w:val="24"/>
          <w:szCs w:val="24"/>
        </w:rPr>
        <w:t>8</w:t>
      </w:r>
    </w:p>
    <w:p w14:paraId="4DED5AEB" w14:textId="6A22823A" w:rsidR="002A1530" w:rsidRPr="004A30FF" w:rsidRDefault="002A1530" w:rsidP="00D0398C">
      <w:pPr>
        <w:spacing w:line="240" w:lineRule="auto"/>
        <w:jc w:val="both"/>
        <w:rPr>
          <w:rFonts w:ascii="Times New Roman" w:hAnsi="Times New Roman" w:cs="Times New Roman"/>
          <w:sz w:val="24"/>
          <w:szCs w:val="24"/>
        </w:rPr>
      </w:pPr>
      <w:r w:rsidRPr="004A30FF">
        <w:rPr>
          <w:rFonts w:ascii="Times New Roman" w:hAnsi="Times New Roman" w:cs="Times New Roman"/>
          <w:sz w:val="24"/>
          <w:szCs w:val="24"/>
        </w:rPr>
        <w:t>Използвана литература .........................................................................................</w:t>
      </w:r>
      <w:r w:rsidR="004D03BD" w:rsidRPr="004A30FF">
        <w:rPr>
          <w:rFonts w:ascii="Times New Roman" w:hAnsi="Times New Roman" w:cs="Times New Roman"/>
          <w:sz w:val="24"/>
          <w:szCs w:val="24"/>
        </w:rPr>
        <w:t>................</w:t>
      </w:r>
      <w:r w:rsidR="00754F43" w:rsidRPr="004A30FF">
        <w:rPr>
          <w:rFonts w:ascii="Times New Roman" w:hAnsi="Times New Roman" w:cs="Times New Roman"/>
          <w:sz w:val="24"/>
          <w:szCs w:val="24"/>
        </w:rPr>
        <w:t>5</w:t>
      </w:r>
      <w:r w:rsidR="00EA26B4" w:rsidRPr="004A30FF">
        <w:rPr>
          <w:rFonts w:ascii="Times New Roman" w:hAnsi="Times New Roman" w:cs="Times New Roman"/>
          <w:sz w:val="24"/>
          <w:szCs w:val="24"/>
        </w:rPr>
        <w:t>9</w:t>
      </w:r>
    </w:p>
    <w:p w14:paraId="3B51E472" w14:textId="77777777" w:rsidR="00B34584" w:rsidRPr="004A30FF" w:rsidRDefault="00B34584" w:rsidP="00DA58C2">
      <w:pPr>
        <w:spacing w:line="360" w:lineRule="auto"/>
        <w:rPr>
          <w:rFonts w:ascii="Times New Roman" w:hAnsi="Times New Roman" w:cs="Times New Roman"/>
          <w:sz w:val="24"/>
          <w:szCs w:val="24"/>
        </w:rPr>
      </w:pPr>
    </w:p>
    <w:p w14:paraId="11B10122" w14:textId="77777777" w:rsidR="00D0398C" w:rsidRPr="004A30FF" w:rsidRDefault="00D0398C">
      <w:pPr>
        <w:rPr>
          <w:rFonts w:ascii="Times New Roman" w:hAnsi="Times New Roman" w:cs="Times New Roman"/>
          <w:b/>
          <w:bCs/>
          <w:sz w:val="24"/>
          <w:szCs w:val="24"/>
        </w:rPr>
      </w:pPr>
      <w:r w:rsidRPr="004A30FF">
        <w:rPr>
          <w:rFonts w:ascii="Times New Roman" w:hAnsi="Times New Roman" w:cs="Times New Roman"/>
          <w:b/>
          <w:bCs/>
          <w:sz w:val="24"/>
          <w:szCs w:val="24"/>
        </w:rPr>
        <w:br w:type="page"/>
      </w:r>
    </w:p>
    <w:p w14:paraId="1926D5EA" w14:textId="076A3CF4" w:rsidR="00B34584" w:rsidRPr="004A30FF" w:rsidRDefault="00B34584" w:rsidP="00B34584">
      <w:pPr>
        <w:spacing w:line="360" w:lineRule="auto"/>
        <w:jc w:val="center"/>
        <w:rPr>
          <w:rFonts w:ascii="Times New Roman" w:hAnsi="Times New Roman" w:cs="Times New Roman"/>
          <w:b/>
          <w:bCs/>
          <w:sz w:val="24"/>
          <w:szCs w:val="24"/>
        </w:rPr>
      </w:pPr>
      <w:r w:rsidRPr="004A30FF">
        <w:rPr>
          <w:rFonts w:ascii="Times New Roman" w:hAnsi="Times New Roman" w:cs="Times New Roman"/>
          <w:b/>
          <w:bCs/>
          <w:sz w:val="24"/>
          <w:szCs w:val="24"/>
        </w:rPr>
        <w:lastRenderedPageBreak/>
        <w:t>УВОД</w:t>
      </w:r>
    </w:p>
    <w:p w14:paraId="5CADE869" w14:textId="77777777" w:rsidR="00782C76" w:rsidRPr="004A30FF" w:rsidRDefault="00E4183E" w:rsidP="00782C76">
      <w:pPr>
        <w:spacing w:after="0" w:line="360" w:lineRule="auto"/>
        <w:ind w:firstLine="720"/>
        <w:jc w:val="both"/>
        <w:rPr>
          <w:rFonts w:ascii="Times New Roman" w:eastAsia="Times New Roman" w:hAnsi="Times New Roman" w:cs="Times New Roman"/>
          <w:kern w:val="0"/>
          <w:sz w:val="24"/>
          <w:szCs w:val="24"/>
          <w:lang w:eastAsia="en-GB"/>
          <w14:ligatures w14:val="none"/>
        </w:rPr>
      </w:pPr>
      <w:r w:rsidRPr="004A30FF">
        <w:rPr>
          <w:rFonts w:ascii="Times New Roman" w:hAnsi="Times New Roman" w:cs="Times New Roman"/>
          <w:sz w:val="24"/>
          <w:szCs w:val="24"/>
        </w:rPr>
        <w:t xml:space="preserve"> </w:t>
      </w:r>
      <w:r w:rsidR="00782C76" w:rsidRPr="004A30FF">
        <w:rPr>
          <w:rFonts w:ascii="Times New Roman" w:eastAsia="Times New Roman" w:hAnsi="Times New Roman" w:cs="Times New Roman"/>
          <w:kern w:val="0"/>
          <w:sz w:val="24"/>
          <w:szCs w:val="24"/>
          <w:lang w:eastAsia="en-GB"/>
          <w14:ligatures w14:val="none"/>
        </w:rPr>
        <w:t>Годишното счетоводно приключване представлява сложен и последователен процес по обобщаване, систематизиране и логическо преобразуване на информацията, натрупана в хода на текущото счетоводно отчитане, с цел формиране на резултатна счетоводна информация за цялостната дейност на предприятието през отчетния период. Краен носител на тази информация е годишният счетоводен отчет, чрез който се осигурява необходимата информационна основа за различните групи ползватели при вземането на управленски, контролни и финансови решения. По своя характер дейностите, свързани с изготвянето на годишния счетоводен отчет, имат условно постоянен и до голяма степен рутинен характер, тъй като отразяват прехода от текущо към периодично счетоводно отчитане на състоянието и резултатите от дейността на предприятието към 31 декември – датата, към която съгласно чл. 39, ал. 1 от Закона за счетоводството се съставя годишният отчет.</w:t>
      </w:r>
    </w:p>
    <w:p w14:paraId="16B9DBF7" w14:textId="77777777" w:rsidR="00782C76" w:rsidRPr="004A30FF" w:rsidRDefault="00782C76" w:rsidP="00782C76">
      <w:pPr>
        <w:spacing w:after="0" w:line="360" w:lineRule="auto"/>
        <w:ind w:firstLine="720"/>
        <w:jc w:val="both"/>
        <w:rPr>
          <w:rFonts w:ascii="Times New Roman" w:eastAsia="Times New Roman" w:hAnsi="Times New Roman" w:cs="Times New Roman"/>
          <w:kern w:val="0"/>
          <w:sz w:val="24"/>
          <w:szCs w:val="24"/>
          <w:lang w:eastAsia="en-GB"/>
          <w14:ligatures w14:val="none"/>
        </w:rPr>
      </w:pPr>
      <w:r w:rsidRPr="004A30FF">
        <w:rPr>
          <w:rFonts w:ascii="Times New Roman" w:eastAsia="Times New Roman" w:hAnsi="Times New Roman" w:cs="Times New Roman"/>
          <w:kern w:val="0"/>
          <w:sz w:val="24"/>
          <w:szCs w:val="24"/>
          <w:lang w:eastAsia="en-GB"/>
          <w14:ligatures w14:val="none"/>
        </w:rPr>
        <w:t>Независимо от тази относителна повторяемост на счетоводното приключване, в практиката на предприятията от публичния сектор възникват редица специфични въпроси, обусловени както от особеностите на тяхната дейност, така и от динамиката в нормативната уредба, регулираща счетоводството и отчетността. Именно тези особености налагат ежегодно внимателно прецизиране на счетоводните процедури и съобразяване с изискванията на действащото законодателство, така че да бъде изпълнен основният принцип, заложен в чл. 39, ал. 2 от Закона за счетоводството и в НСС 1 „Представяне на финансови отчети“, а именно счетоводният отчет да представя вярно и честно имущественото и финансовото състояние на предприятието, финансовия резултат от дейността и промените в паричните потоци.</w:t>
      </w:r>
    </w:p>
    <w:p w14:paraId="733841B5" w14:textId="77777777" w:rsidR="00782C76" w:rsidRPr="004A30FF" w:rsidRDefault="00782C76" w:rsidP="00782C76">
      <w:pPr>
        <w:spacing w:after="0" w:line="360" w:lineRule="auto"/>
        <w:ind w:firstLine="720"/>
        <w:jc w:val="both"/>
        <w:rPr>
          <w:rFonts w:ascii="Times New Roman" w:eastAsia="Times New Roman" w:hAnsi="Times New Roman" w:cs="Times New Roman"/>
          <w:kern w:val="0"/>
          <w:sz w:val="24"/>
          <w:szCs w:val="24"/>
          <w:lang w:eastAsia="en-GB"/>
          <w14:ligatures w14:val="none"/>
        </w:rPr>
      </w:pPr>
      <w:r w:rsidRPr="004A30FF">
        <w:rPr>
          <w:rFonts w:ascii="Times New Roman" w:eastAsia="Times New Roman" w:hAnsi="Times New Roman" w:cs="Times New Roman"/>
          <w:kern w:val="0"/>
          <w:sz w:val="24"/>
          <w:szCs w:val="24"/>
          <w:lang w:eastAsia="en-GB"/>
          <w14:ligatures w14:val="none"/>
        </w:rPr>
        <w:t>Актуалността на разглежданата проблематика се определя от необходимостта да се изяснят същността, етапите и особеностите на годишното счетоводно приключване в предприятията от публичния сектор, както и да се откроят съществуващите проблеми в нормативното регламентиране и практическото приложение на счетоводните правила. Това е особено важно в контекста на нарастващите изисквания към прозрачността, съпоставимостта и надеждността на отчетната информация в публичната сфера.</w:t>
      </w:r>
    </w:p>
    <w:p w14:paraId="503DB8AF" w14:textId="77777777" w:rsidR="00782C76" w:rsidRPr="004A30FF" w:rsidRDefault="00782C76" w:rsidP="00782C76">
      <w:pPr>
        <w:spacing w:after="0" w:line="360" w:lineRule="auto"/>
        <w:ind w:firstLine="720"/>
        <w:jc w:val="both"/>
        <w:rPr>
          <w:rFonts w:ascii="Times New Roman" w:eastAsia="Times New Roman" w:hAnsi="Times New Roman" w:cs="Times New Roman"/>
          <w:kern w:val="0"/>
          <w:sz w:val="24"/>
          <w:szCs w:val="24"/>
          <w:lang w:eastAsia="en-GB"/>
          <w14:ligatures w14:val="none"/>
        </w:rPr>
      </w:pPr>
      <w:r w:rsidRPr="004A30FF">
        <w:rPr>
          <w:rFonts w:ascii="Times New Roman" w:eastAsia="Times New Roman" w:hAnsi="Times New Roman" w:cs="Times New Roman"/>
          <w:kern w:val="0"/>
          <w:sz w:val="24"/>
          <w:szCs w:val="24"/>
          <w:lang w:eastAsia="en-GB"/>
          <w14:ligatures w14:val="none"/>
        </w:rPr>
        <w:t xml:space="preserve">Основната цел на настоящата дипломна работа е да се анализират проблемите в счетоводното отчитане и необходимостта от стандартизация на счетоводството в </w:t>
      </w:r>
      <w:r w:rsidRPr="004A30FF">
        <w:rPr>
          <w:rFonts w:ascii="Times New Roman" w:eastAsia="Times New Roman" w:hAnsi="Times New Roman" w:cs="Times New Roman"/>
          <w:kern w:val="0"/>
          <w:sz w:val="24"/>
          <w:szCs w:val="24"/>
          <w:lang w:eastAsia="en-GB"/>
          <w14:ligatures w14:val="none"/>
        </w:rPr>
        <w:lastRenderedPageBreak/>
        <w:t>публичния сектор, като се изследват теоретичните постановки и практическите аспекти на годишното счетоводно приключване.</w:t>
      </w:r>
    </w:p>
    <w:p w14:paraId="6AE2FC32" w14:textId="77777777" w:rsidR="00782C76" w:rsidRPr="004A30FF" w:rsidRDefault="00782C76" w:rsidP="00782C76">
      <w:pPr>
        <w:spacing w:after="0" w:line="360" w:lineRule="auto"/>
        <w:ind w:firstLine="720"/>
        <w:jc w:val="both"/>
        <w:rPr>
          <w:rFonts w:ascii="Times New Roman" w:eastAsia="Times New Roman" w:hAnsi="Times New Roman" w:cs="Times New Roman"/>
          <w:kern w:val="0"/>
          <w:sz w:val="24"/>
          <w:szCs w:val="24"/>
          <w:lang w:eastAsia="en-GB"/>
          <w14:ligatures w14:val="none"/>
        </w:rPr>
      </w:pPr>
      <w:r w:rsidRPr="004A30FF">
        <w:rPr>
          <w:rFonts w:ascii="Times New Roman" w:eastAsia="Times New Roman" w:hAnsi="Times New Roman" w:cs="Times New Roman"/>
          <w:kern w:val="0"/>
          <w:sz w:val="24"/>
          <w:szCs w:val="24"/>
          <w:lang w:eastAsia="en-GB"/>
          <w14:ligatures w14:val="none"/>
        </w:rPr>
        <w:t>За постигането на поставената цел се формулират следните изследователски задачи:</w:t>
      </w:r>
    </w:p>
    <w:p w14:paraId="20F1F637" w14:textId="77777777" w:rsidR="00782C76" w:rsidRPr="004A30FF" w:rsidRDefault="00782C76" w:rsidP="00782C76">
      <w:pPr>
        <w:numPr>
          <w:ilvl w:val="0"/>
          <w:numId w:val="25"/>
        </w:numPr>
        <w:spacing w:after="0" w:line="360" w:lineRule="auto"/>
        <w:jc w:val="both"/>
        <w:rPr>
          <w:rFonts w:ascii="Times New Roman" w:eastAsia="Times New Roman" w:hAnsi="Times New Roman" w:cs="Times New Roman"/>
          <w:kern w:val="0"/>
          <w:sz w:val="24"/>
          <w:szCs w:val="24"/>
          <w:lang w:eastAsia="en-GB"/>
          <w14:ligatures w14:val="none"/>
        </w:rPr>
      </w:pPr>
      <w:r w:rsidRPr="004A30FF">
        <w:rPr>
          <w:rFonts w:ascii="Times New Roman" w:eastAsia="Times New Roman" w:hAnsi="Times New Roman" w:cs="Times New Roman"/>
          <w:kern w:val="0"/>
          <w:sz w:val="24"/>
          <w:szCs w:val="24"/>
          <w:lang w:eastAsia="en-GB"/>
          <w14:ligatures w14:val="none"/>
        </w:rPr>
        <w:t>Да се изясни същността и значението на годишното счетоводно приключване като заключителен етап на счетоводния процес.</w:t>
      </w:r>
    </w:p>
    <w:p w14:paraId="7D7F4CC1" w14:textId="77777777" w:rsidR="00782C76" w:rsidRPr="004A30FF" w:rsidRDefault="00782C76" w:rsidP="00782C76">
      <w:pPr>
        <w:numPr>
          <w:ilvl w:val="0"/>
          <w:numId w:val="25"/>
        </w:numPr>
        <w:spacing w:after="0" w:line="360" w:lineRule="auto"/>
        <w:jc w:val="both"/>
        <w:rPr>
          <w:rFonts w:ascii="Times New Roman" w:eastAsia="Times New Roman" w:hAnsi="Times New Roman" w:cs="Times New Roman"/>
          <w:kern w:val="0"/>
          <w:sz w:val="24"/>
          <w:szCs w:val="24"/>
          <w:lang w:eastAsia="en-GB"/>
          <w14:ligatures w14:val="none"/>
        </w:rPr>
      </w:pPr>
      <w:r w:rsidRPr="004A30FF">
        <w:rPr>
          <w:rFonts w:ascii="Times New Roman" w:eastAsia="Times New Roman" w:hAnsi="Times New Roman" w:cs="Times New Roman"/>
          <w:kern w:val="0"/>
          <w:sz w:val="24"/>
          <w:szCs w:val="24"/>
          <w:lang w:eastAsia="en-GB"/>
          <w14:ligatures w14:val="none"/>
        </w:rPr>
        <w:t>Да се разгледат обстойно основните етапи на годишното счетоводно приключване в предприятията от публичния сектор.</w:t>
      </w:r>
    </w:p>
    <w:p w14:paraId="17B091D6" w14:textId="77777777" w:rsidR="00782C76" w:rsidRPr="004A30FF" w:rsidRDefault="00782C76" w:rsidP="00782C76">
      <w:pPr>
        <w:numPr>
          <w:ilvl w:val="0"/>
          <w:numId w:val="25"/>
        </w:numPr>
        <w:spacing w:after="0" w:line="360" w:lineRule="auto"/>
        <w:jc w:val="both"/>
        <w:rPr>
          <w:rFonts w:ascii="Times New Roman" w:eastAsia="Times New Roman" w:hAnsi="Times New Roman" w:cs="Times New Roman"/>
          <w:kern w:val="0"/>
          <w:sz w:val="24"/>
          <w:szCs w:val="24"/>
          <w:lang w:eastAsia="en-GB"/>
          <w14:ligatures w14:val="none"/>
        </w:rPr>
      </w:pPr>
      <w:r w:rsidRPr="004A30FF">
        <w:rPr>
          <w:rFonts w:ascii="Times New Roman" w:eastAsia="Times New Roman" w:hAnsi="Times New Roman" w:cs="Times New Roman"/>
          <w:kern w:val="0"/>
          <w:sz w:val="24"/>
          <w:szCs w:val="24"/>
          <w:lang w:eastAsia="en-GB"/>
          <w14:ligatures w14:val="none"/>
        </w:rPr>
        <w:t>Да се анализират спецификите на счетоводството в предприятията от публичния сектор, произтичащи от техния правен статут, функции и източници на финансиране.</w:t>
      </w:r>
    </w:p>
    <w:p w14:paraId="6BD76CD2" w14:textId="77777777" w:rsidR="00782C76" w:rsidRPr="004A30FF" w:rsidRDefault="00782C76" w:rsidP="00782C76">
      <w:pPr>
        <w:numPr>
          <w:ilvl w:val="0"/>
          <w:numId w:val="25"/>
        </w:numPr>
        <w:spacing w:after="0" w:line="360" w:lineRule="auto"/>
        <w:jc w:val="both"/>
        <w:rPr>
          <w:rFonts w:ascii="Times New Roman" w:eastAsia="Times New Roman" w:hAnsi="Times New Roman" w:cs="Times New Roman"/>
          <w:kern w:val="0"/>
          <w:sz w:val="24"/>
          <w:szCs w:val="24"/>
          <w:lang w:eastAsia="en-GB"/>
          <w14:ligatures w14:val="none"/>
        </w:rPr>
      </w:pPr>
      <w:r w:rsidRPr="004A30FF">
        <w:rPr>
          <w:rFonts w:ascii="Times New Roman" w:eastAsia="Times New Roman" w:hAnsi="Times New Roman" w:cs="Times New Roman"/>
          <w:kern w:val="0"/>
          <w:sz w:val="24"/>
          <w:szCs w:val="24"/>
          <w:lang w:eastAsia="en-GB"/>
          <w14:ligatures w14:val="none"/>
        </w:rPr>
        <w:t>Да се изследват проблемите и отклоненията в нормативното регламентиране на счетоводството в публичния сектор.</w:t>
      </w:r>
    </w:p>
    <w:p w14:paraId="4276A954" w14:textId="77777777" w:rsidR="00782C76" w:rsidRPr="004A30FF" w:rsidRDefault="00782C76" w:rsidP="00782C76">
      <w:pPr>
        <w:numPr>
          <w:ilvl w:val="0"/>
          <w:numId w:val="25"/>
        </w:numPr>
        <w:spacing w:after="0" w:line="360" w:lineRule="auto"/>
        <w:jc w:val="both"/>
        <w:rPr>
          <w:rFonts w:ascii="Times New Roman" w:eastAsia="Times New Roman" w:hAnsi="Times New Roman" w:cs="Times New Roman"/>
          <w:kern w:val="0"/>
          <w:sz w:val="24"/>
          <w:szCs w:val="24"/>
          <w:lang w:eastAsia="en-GB"/>
          <w14:ligatures w14:val="none"/>
        </w:rPr>
      </w:pPr>
      <w:r w:rsidRPr="004A30FF">
        <w:rPr>
          <w:rFonts w:ascii="Times New Roman" w:eastAsia="Times New Roman" w:hAnsi="Times New Roman" w:cs="Times New Roman"/>
          <w:kern w:val="0"/>
          <w:sz w:val="24"/>
          <w:szCs w:val="24"/>
          <w:lang w:eastAsia="en-GB"/>
          <w14:ligatures w14:val="none"/>
        </w:rPr>
        <w:t>Да се оцени необходимостта от стандартизация на счетоводството в предприятията от публичния сектор с оглед подобряване на качеството и съпоставимостта на счетоводната информация.</w:t>
      </w:r>
    </w:p>
    <w:p w14:paraId="5D4ACADD" w14:textId="77777777" w:rsidR="00782C76" w:rsidRPr="004A30FF" w:rsidRDefault="00782C76" w:rsidP="00782C76">
      <w:pPr>
        <w:numPr>
          <w:ilvl w:val="0"/>
          <w:numId w:val="25"/>
        </w:numPr>
        <w:spacing w:after="0" w:line="360" w:lineRule="auto"/>
        <w:jc w:val="both"/>
        <w:rPr>
          <w:rFonts w:ascii="Times New Roman" w:eastAsia="Times New Roman" w:hAnsi="Times New Roman" w:cs="Times New Roman"/>
          <w:kern w:val="0"/>
          <w:sz w:val="24"/>
          <w:szCs w:val="24"/>
          <w:lang w:eastAsia="en-GB"/>
          <w14:ligatures w14:val="none"/>
        </w:rPr>
      </w:pPr>
      <w:r w:rsidRPr="004A30FF">
        <w:rPr>
          <w:rFonts w:ascii="Times New Roman" w:eastAsia="Times New Roman" w:hAnsi="Times New Roman" w:cs="Times New Roman"/>
          <w:kern w:val="0"/>
          <w:sz w:val="24"/>
          <w:szCs w:val="24"/>
          <w:lang w:eastAsia="en-GB"/>
          <w14:ligatures w14:val="none"/>
        </w:rPr>
        <w:t>Да се анализират годишните финансови отчети на ДГ „Осми март“ – гр. Радомир, като конкретен обект на практическо изследване.</w:t>
      </w:r>
    </w:p>
    <w:p w14:paraId="195567D7" w14:textId="77777777" w:rsidR="00782C76" w:rsidRPr="004A30FF" w:rsidRDefault="00782C76" w:rsidP="00782C76">
      <w:pPr>
        <w:numPr>
          <w:ilvl w:val="0"/>
          <w:numId w:val="25"/>
        </w:numPr>
        <w:spacing w:after="0" w:line="360" w:lineRule="auto"/>
        <w:jc w:val="both"/>
        <w:rPr>
          <w:rFonts w:ascii="Times New Roman" w:eastAsia="Times New Roman" w:hAnsi="Times New Roman" w:cs="Times New Roman"/>
          <w:kern w:val="0"/>
          <w:sz w:val="24"/>
          <w:szCs w:val="24"/>
          <w:lang w:eastAsia="en-GB"/>
          <w14:ligatures w14:val="none"/>
        </w:rPr>
      </w:pPr>
      <w:r w:rsidRPr="004A30FF">
        <w:rPr>
          <w:rFonts w:ascii="Times New Roman" w:eastAsia="Times New Roman" w:hAnsi="Times New Roman" w:cs="Times New Roman"/>
          <w:kern w:val="0"/>
          <w:sz w:val="24"/>
          <w:szCs w:val="24"/>
          <w:lang w:eastAsia="en-GB"/>
          <w14:ligatures w14:val="none"/>
        </w:rPr>
        <w:t>Да се направят изводи относно практическите проявления на счетоводното приключване и отчетността в изследваното предприятие.</w:t>
      </w:r>
    </w:p>
    <w:p w14:paraId="7C7D57A0" w14:textId="77777777" w:rsidR="00782C76" w:rsidRPr="004A30FF" w:rsidRDefault="00782C76" w:rsidP="00782C76">
      <w:pPr>
        <w:spacing w:after="0" w:line="360" w:lineRule="auto"/>
        <w:ind w:firstLine="720"/>
        <w:jc w:val="both"/>
        <w:rPr>
          <w:rFonts w:ascii="Times New Roman" w:eastAsia="Times New Roman" w:hAnsi="Times New Roman" w:cs="Times New Roman"/>
          <w:kern w:val="0"/>
          <w:sz w:val="24"/>
          <w:szCs w:val="24"/>
          <w:lang w:eastAsia="en-GB"/>
          <w14:ligatures w14:val="none"/>
        </w:rPr>
      </w:pPr>
      <w:r w:rsidRPr="004A30FF">
        <w:rPr>
          <w:rFonts w:ascii="Times New Roman" w:eastAsia="Times New Roman" w:hAnsi="Times New Roman" w:cs="Times New Roman"/>
          <w:kern w:val="0"/>
          <w:sz w:val="24"/>
          <w:szCs w:val="24"/>
          <w:lang w:eastAsia="en-GB"/>
          <w14:ligatures w14:val="none"/>
        </w:rPr>
        <w:t>Изследователската теза, която се защитава в дипломната работа, е, че годишното счетоводно приключване в предприятията от публичния сектор притежава съществени специфики, обусловени от особеностите на тяхната дейност и действащата нормативна рамка, а съществуващите непълноти и несъответствия в регламентацията пораждат необходимост от по-ясна и последователна стандартизация на счетоводството, която да гарантира по-висока степен на достоверност, съпоставимост и прозрачност на отчетната информация.</w:t>
      </w:r>
    </w:p>
    <w:p w14:paraId="6F97A1FD" w14:textId="77777777" w:rsidR="00782C76" w:rsidRPr="004A30FF" w:rsidRDefault="00782C76" w:rsidP="00782C76">
      <w:pPr>
        <w:spacing w:after="0" w:line="360" w:lineRule="auto"/>
        <w:ind w:firstLine="720"/>
        <w:jc w:val="both"/>
        <w:rPr>
          <w:rFonts w:ascii="Times New Roman" w:eastAsia="Times New Roman" w:hAnsi="Times New Roman" w:cs="Times New Roman"/>
          <w:kern w:val="0"/>
          <w:sz w:val="24"/>
          <w:szCs w:val="24"/>
          <w:lang w:eastAsia="en-GB"/>
          <w14:ligatures w14:val="none"/>
        </w:rPr>
      </w:pPr>
      <w:r w:rsidRPr="004A30FF">
        <w:rPr>
          <w:rFonts w:ascii="Times New Roman" w:eastAsia="Times New Roman" w:hAnsi="Times New Roman" w:cs="Times New Roman"/>
          <w:kern w:val="0"/>
          <w:sz w:val="24"/>
          <w:szCs w:val="24"/>
          <w:lang w:eastAsia="en-GB"/>
          <w14:ligatures w14:val="none"/>
        </w:rPr>
        <w:t>Обект на изследването е ДГ „Осми март“ – гр. Радомир, разглеждана чрез нейните годишни финансови отчети и практиката по счетоводното ѝ приключване. Предмет на изследването е годишното счетоводно приключване в предприятията от публичния сектор, като акцентът е поставен върху неговите етапи, нормативна обусловеност, специфики, проблеми при практическото му осъществяване и необходимостта от стандартизация.</w:t>
      </w:r>
    </w:p>
    <w:p w14:paraId="272E5355" w14:textId="77777777" w:rsidR="00782C76" w:rsidRPr="004A30FF" w:rsidRDefault="00782C76" w:rsidP="00782C76">
      <w:pPr>
        <w:spacing w:after="0" w:line="360" w:lineRule="auto"/>
        <w:ind w:firstLine="720"/>
        <w:jc w:val="both"/>
        <w:rPr>
          <w:rFonts w:ascii="Times New Roman" w:eastAsia="Times New Roman" w:hAnsi="Times New Roman" w:cs="Times New Roman"/>
          <w:kern w:val="0"/>
          <w:sz w:val="24"/>
          <w:szCs w:val="24"/>
          <w:lang w:eastAsia="en-GB"/>
          <w14:ligatures w14:val="none"/>
        </w:rPr>
      </w:pPr>
      <w:r w:rsidRPr="004A30FF">
        <w:rPr>
          <w:rFonts w:ascii="Times New Roman" w:eastAsia="Times New Roman" w:hAnsi="Times New Roman" w:cs="Times New Roman"/>
          <w:kern w:val="0"/>
          <w:sz w:val="24"/>
          <w:szCs w:val="24"/>
          <w:lang w:eastAsia="en-GB"/>
          <w14:ligatures w14:val="none"/>
        </w:rPr>
        <w:lastRenderedPageBreak/>
        <w:t xml:space="preserve">За реализиране на поставените цел и задачи в изследването са използвани няколко взаимно допълващи се метода. Приложен е нормативен анализ за изследване на действащата правна и счетоводна уредба, уреждаща счетоводството и отчетността в публичния сектор. Използван е сравнителен метод с цел установяване на особеностите и различията в организацията на счетоводното приключване и в регламентирането на отчетността. Чрез аналитичен метод са разгледани съдържанието, структурата и показателите на годишните финансови отчети. Приложен е и казусен подход, чрез който теоретичните постановки се съпоставят с практиката на конкретно изследвания обект – ДГ „Осми март“ – гр. Радомир. </w:t>
      </w:r>
    </w:p>
    <w:p w14:paraId="373FB76D" w14:textId="77777777" w:rsidR="00782C76" w:rsidRPr="004A30FF" w:rsidRDefault="00782C76" w:rsidP="00782C76">
      <w:pPr>
        <w:spacing w:after="0" w:line="360" w:lineRule="auto"/>
        <w:ind w:firstLine="720"/>
        <w:jc w:val="both"/>
        <w:rPr>
          <w:rFonts w:ascii="Times New Roman" w:eastAsia="Times New Roman" w:hAnsi="Times New Roman" w:cs="Times New Roman"/>
          <w:kern w:val="0"/>
          <w:sz w:val="24"/>
          <w:szCs w:val="24"/>
          <w:lang w:eastAsia="en-GB"/>
          <w14:ligatures w14:val="none"/>
        </w:rPr>
      </w:pPr>
      <w:r w:rsidRPr="004A30FF">
        <w:rPr>
          <w:rFonts w:ascii="Times New Roman" w:eastAsia="Times New Roman" w:hAnsi="Times New Roman" w:cs="Times New Roman"/>
          <w:kern w:val="0"/>
          <w:sz w:val="24"/>
          <w:szCs w:val="24"/>
          <w:lang w:eastAsia="en-GB"/>
          <w14:ligatures w14:val="none"/>
        </w:rPr>
        <w:t>Обхватът на изследването е ограничен до анализ на годишните финансови отчети на ДГ „Осми март“ – гр. Радомир за 2023 и 2024 г., като вниманието е насочено към счетоводното приключване в рамките на тези два отчетни периода. Това позволява да се проследят конкретни практически аспекти на отчетния процес в сравнително кратък, но актуален времеви интервал. В същото време следва да се отчете, че направените изводи са обвързани с особеностите на конкретния обект и с наличната отчетна информация за посочения период. Поради това резултатите от изследването не могат да бъдат обобщаващи за всички предприятия от публичния сектор, а следва да се разглеждат като основа за изводи, приложими преди всичко към сходни организации и условия на функциониране.</w:t>
      </w:r>
    </w:p>
    <w:p w14:paraId="1B68D7ED" w14:textId="226C9862" w:rsidR="0010365C" w:rsidRPr="004A30FF" w:rsidRDefault="0010365C" w:rsidP="00D0398C">
      <w:pPr>
        <w:spacing w:line="360" w:lineRule="auto"/>
        <w:jc w:val="both"/>
        <w:rPr>
          <w:rFonts w:ascii="Times New Roman" w:hAnsi="Times New Roman" w:cs="Times New Roman"/>
          <w:sz w:val="24"/>
          <w:szCs w:val="24"/>
        </w:rPr>
      </w:pPr>
    </w:p>
    <w:p w14:paraId="4D4CE943" w14:textId="77777777" w:rsidR="00D0398C" w:rsidRPr="004A30FF" w:rsidRDefault="00D0398C">
      <w:pPr>
        <w:rPr>
          <w:rFonts w:ascii="Times New Roman" w:hAnsi="Times New Roman" w:cs="Times New Roman"/>
          <w:sz w:val="24"/>
          <w:szCs w:val="24"/>
        </w:rPr>
      </w:pPr>
      <w:r w:rsidRPr="004A30FF">
        <w:rPr>
          <w:rFonts w:ascii="Times New Roman" w:hAnsi="Times New Roman" w:cs="Times New Roman"/>
          <w:sz w:val="24"/>
          <w:szCs w:val="24"/>
        </w:rPr>
        <w:br w:type="page"/>
      </w:r>
    </w:p>
    <w:p w14:paraId="4A1545D0" w14:textId="51914690" w:rsidR="0010365C" w:rsidRPr="004A30FF" w:rsidRDefault="00D0398C" w:rsidP="00D0398C">
      <w:pPr>
        <w:spacing w:line="360" w:lineRule="auto"/>
        <w:ind w:firstLine="270"/>
        <w:jc w:val="center"/>
        <w:rPr>
          <w:rFonts w:ascii="Times New Roman" w:hAnsi="Times New Roman" w:cs="Times New Roman"/>
          <w:b/>
          <w:bCs/>
          <w:sz w:val="24"/>
          <w:szCs w:val="24"/>
        </w:rPr>
      </w:pPr>
      <w:r w:rsidRPr="004A30FF">
        <w:rPr>
          <w:rFonts w:ascii="Times New Roman" w:hAnsi="Times New Roman" w:cs="Times New Roman"/>
          <w:b/>
          <w:bCs/>
          <w:sz w:val="24"/>
          <w:szCs w:val="24"/>
        </w:rPr>
        <w:lastRenderedPageBreak/>
        <w:t>ПЪРВА ГЛАВА: ХАРАКТЕРИСТИКА НА ДЕЙНОСТТА И СЧЕТОВОДСТВОТО НА ПРЕДПРИЯТИЯТА ОТ ПУБЛИЧНИЯ СЕКТОР</w:t>
      </w:r>
    </w:p>
    <w:p w14:paraId="1258970C" w14:textId="0884A4F7" w:rsidR="00F22FC7" w:rsidRPr="004A30FF" w:rsidRDefault="00B34584" w:rsidP="00B10A2A">
      <w:pPr>
        <w:pStyle w:val="ListParagraph"/>
        <w:numPr>
          <w:ilvl w:val="0"/>
          <w:numId w:val="12"/>
        </w:numPr>
        <w:spacing w:line="360" w:lineRule="auto"/>
        <w:jc w:val="center"/>
        <w:rPr>
          <w:rFonts w:ascii="Times New Roman" w:hAnsi="Times New Roman" w:cs="Times New Roman"/>
          <w:b/>
          <w:bCs/>
          <w:sz w:val="24"/>
          <w:szCs w:val="24"/>
        </w:rPr>
      </w:pPr>
      <w:r w:rsidRPr="004A30FF">
        <w:rPr>
          <w:rFonts w:ascii="Times New Roman" w:hAnsi="Times New Roman" w:cs="Times New Roman"/>
          <w:b/>
          <w:bCs/>
          <w:sz w:val="24"/>
          <w:szCs w:val="24"/>
        </w:rPr>
        <w:t>Организация и методология на счето</w:t>
      </w:r>
      <w:r w:rsidR="001B46B9" w:rsidRPr="004A30FF">
        <w:rPr>
          <w:rFonts w:ascii="Times New Roman" w:hAnsi="Times New Roman" w:cs="Times New Roman"/>
          <w:b/>
          <w:bCs/>
          <w:sz w:val="24"/>
          <w:szCs w:val="24"/>
        </w:rPr>
        <w:t>в</w:t>
      </w:r>
      <w:r w:rsidRPr="004A30FF">
        <w:rPr>
          <w:rFonts w:ascii="Times New Roman" w:hAnsi="Times New Roman" w:cs="Times New Roman"/>
          <w:b/>
          <w:bCs/>
          <w:sz w:val="24"/>
          <w:szCs w:val="24"/>
        </w:rPr>
        <w:t>оството в публичния сектор</w:t>
      </w:r>
    </w:p>
    <w:p w14:paraId="2D2230B5" w14:textId="05BBD61B" w:rsidR="00F224C1" w:rsidRPr="004A30FF" w:rsidRDefault="000C22DA" w:rsidP="00F224C1">
      <w:pPr>
        <w:spacing w:line="360" w:lineRule="auto"/>
        <w:jc w:val="both"/>
        <w:rPr>
          <w:rFonts w:ascii="Times New Roman" w:hAnsi="Times New Roman" w:cs="Times New Roman"/>
          <w:sz w:val="24"/>
          <w:szCs w:val="24"/>
        </w:rPr>
      </w:pPr>
      <w:r w:rsidRPr="004A30FF">
        <w:rPr>
          <w:rFonts w:ascii="Times New Roman" w:hAnsi="Times New Roman" w:cs="Times New Roman"/>
          <w:sz w:val="24"/>
          <w:szCs w:val="24"/>
        </w:rPr>
        <w:t xml:space="preserve">  </w:t>
      </w:r>
      <w:r w:rsidR="00F0132D" w:rsidRPr="004A30FF">
        <w:rPr>
          <w:rFonts w:ascii="Times New Roman" w:hAnsi="Times New Roman" w:cs="Times New Roman"/>
          <w:sz w:val="24"/>
          <w:szCs w:val="24"/>
        </w:rPr>
        <w:t xml:space="preserve">  </w:t>
      </w:r>
      <w:r w:rsidR="00FC2138" w:rsidRPr="004A30FF">
        <w:rPr>
          <w:rFonts w:ascii="Times New Roman" w:hAnsi="Times New Roman" w:cs="Times New Roman"/>
          <w:sz w:val="24"/>
          <w:szCs w:val="24"/>
        </w:rPr>
        <w:tab/>
      </w:r>
      <w:r w:rsidR="00F224C1" w:rsidRPr="004A30FF">
        <w:rPr>
          <w:rFonts w:ascii="Times New Roman" w:hAnsi="Times New Roman" w:cs="Times New Roman"/>
          <w:sz w:val="24"/>
          <w:szCs w:val="24"/>
        </w:rPr>
        <w:t>Публичният сектор се определя по различен начин в научната литература и нормативната уредба, но в обобщен вид може да се разглежда като съвкупност от държавни и общински институции, както и свързаните с тях структури, чрез които държавата осъществява своите основни функции</w:t>
      </w:r>
      <w:r w:rsidR="00F224C1" w:rsidRPr="004A30FF">
        <w:rPr>
          <w:rStyle w:val="FootnoteReference"/>
          <w:rFonts w:ascii="Times New Roman" w:hAnsi="Times New Roman" w:cs="Times New Roman"/>
          <w:sz w:val="24"/>
          <w:szCs w:val="24"/>
        </w:rPr>
        <w:footnoteReference w:id="1"/>
      </w:r>
      <w:r w:rsidR="00F224C1" w:rsidRPr="004A30FF">
        <w:rPr>
          <w:rFonts w:ascii="Times New Roman" w:hAnsi="Times New Roman" w:cs="Times New Roman"/>
          <w:sz w:val="24"/>
          <w:szCs w:val="24"/>
        </w:rPr>
        <w:t>. В по-тесен смисъл той се разбира като онази част от икономиката, която създава и предоставя публични блага и услуги, от които обществото се нуждае, но които частният сектор не може или няма икономически интерес да осигурява</w:t>
      </w:r>
      <w:r w:rsidR="00F224C1" w:rsidRPr="004A30FF">
        <w:rPr>
          <w:rStyle w:val="FootnoteReference"/>
          <w:rFonts w:ascii="Times New Roman" w:hAnsi="Times New Roman" w:cs="Times New Roman"/>
          <w:sz w:val="24"/>
          <w:szCs w:val="24"/>
        </w:rPr>
        <w:footnoteReference w:id="2"/>
      </w:r>
      <w:r w:rsidR="00F224C1" w:rsidRPr="004A30FF">
        <w:rPr>
          <w:rFonts w:ascii="Times New Roman" w:hAnsi="Times New Roman" w:cs="Times New Roman"/>
          <w:sz w:val="24"/>
          <w:szCs w:val="24"/>
        </w:rPr>
        <w:t>.</w:t>
      </w:r>
    </w:p>
    <w:p w14:paraId="13B36207" w14:textId="09BB2313" w:rsidR="00F224C1" w:rsidRPr="004A30FF" w:rsidRDefault="00F224C1" w:rsidP="00F224C1">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Като основни характеристики на публичния сектор могат да се посочат неговата обвързаност с държавната и местната власт, ролята му в реализирането на стопански, административни и социални функции, както и зависимостта му от публично финансиране, формирано предимно чрез данъчно облагане. Към него се отнасят бюджетни предприятия, държавни и общински органи, техните структурни звена, както и други организации, чиито средства и дейност са включени в публичните финанси. Съществен белег на публичния сектор е и това, че той служи за осигуряване на обществени потребности като сигурност, образование, здравеопазване, социално осигуряване, инфраструктура, култура и други дейности от обществен интерес</w:t>
      </w:r>
      <w:r w:rsidRPr="004A30FF">
        <w:rPr>
          <w:rStyle w:val="FootnoteReference"/>
          <w:rFonts w:ascii="Times New Roman" w:hAnsi="Times New Roman" w:cs="Times New Roman"/>
          <w:sz w:val="24"/>
          <w:szCs w:val="24"/>
        </w:rPr>
        <w:footnoteReference w:id="3"/>
      </w:r>
      <w:r w:rsidRPr="004A30FF">
        <w:rPr>
          <w:rFonts w:ascii="Times New Roman" w:hAnsi="Times New Roman" w:cs="Times New Roman"/>
          <w:sz w:val="24"/>
          <w:szCs w:val="24"/>
        </w:rPr>
        <w:t>.</w:t>
      </w:r>
    </w:p>
    <w:p w14:paraId="16944465" w14:textId="0147E644" w:rsidR="00FC2138" w:rsidRPr="004A30FF" w:rsidRDefault="00FC2138" w:rsidP="00F224C1">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Счетоводството в публичния сектор може да бъде разглеждано като фундаментална система за регистриране, контрол, анализ и прогнозиране на дейността на бюджетните организации</w:t>
      </w:r>
      <w:r w:rsidRPr="004A30FF">
        <w:rPr>
          <w:rStyle w:val="FootnoteReference"/>
          <w:rFonts w:ascii="Times New Roman" w:hAnsi="Times New Roman" w:cs="Times New Roman"/>
          <w:sz w:val="24"/>
          <w:szCs w:val="24"/>
        </w:rPr>
        <w:footnoteReference w:id="4"/>
      </w:r>
      <w:r w:rsidRPr="004A30FF">
        <w:rPr>
          <w:rFonts w:ascii="Times New Roman" w:hAnsi="Times New Roman" w:cs="Times New Roman"/>
          <w:sz w:val="24"/>
          <w:szCs w:val="24"/>
        </w:rPr>
        <w:t xml:space="preserve">. Именно поради това то заема съществено място в управлението на публичния сектор, тъй като осигурява необходимата информационна основа за вземане на управленски решения в рамките на бюджетните единици. В този смисъл счетоводството следва да </w:t>
      </w:r>
      <w:r w:rsidRPr="004A30FF">
        <w:rPr>
          <w:rFonts w:ascii="Times New Roman" w:hAnsi="Times New Roman" w:cs="Times New Roman"/>
          <w:sz w:val="24"/>
          <w:szCs w:val="24"/>
        </w:rPr>
        <w:lastRenderedPageBreak/>
        <w:t>функционира като цялостно изградена, организационно завършена и вътрешно съгласувана информационна и контролна система.</w:t>
      </w:r>
    </w:p>
    <w:p w14:paraId="51108C0A" w14:textId="3B500BFB" w:rsidR="00FC2138" w:rsidRPr="004A30FF" w:rsidRDefault="00FC2138" w:rsidP="00FC2138">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В качеството си на такава система счетоводството в публичния сектор осъществява регистриране, оценяване, анализиране и контролиране на активите и пасивите на съответното предприятие, както и на стопанските процеси и операции, които формират съдържанието на техния кръгооборот. Чрез него се отразяват видът, характерът и стойностните изменения в активите и пасивите към определен момент, което създава възможност за проследяване на финансовото състояние и динамиката в дейността на организацията</w:t>
      </w:r>
      <w:r w:rsidR="00F224C1" w:rsidRPr="004A30FF">
        <w:rPr>
          <w:rStyle w:val="FootnoteReference"/>
          <w:rFonts w:ascii="Times New Roman" w:hAnsi="Times New Roman" w:cs="Times New Roman"/>
          <w:sz w:val="24"/>
          <w:szCs w:val="24"/>
        </w:rPr>
        <w:footnoteReference w:id="5"/>
      </w:r>
      <w:r w:rsidRPr="004A30FF">
        <w:rPr>
          <w:rFonts w:ascii="Times New Roman" w:hAnsi="Times New Roman" w:cs="Times New Roman"/>
          <w:sz w:val="24"/>
          <w:szCs w:val="24"/>
        </w:rPr>
        <w:t>.</w:t>
      </w:r>
    </w:p>
    <w:p w14:paraId="02D94210" w14:textId="77777777" w:rsidR="00FC2138" w:rsidRPr="004A30FF" w:rsidRDefault="00FC2138" w:rsidP="00FC2138">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Съществено значение имат както всеобхватният характер на счетоводната система, така и принципите, върху които се основава нейното функциониране. Те са пряко свързани с процесите по съставяне и изпълнение на държавния бюджет, с гарантирането на финансова дисциплина и с правилното провеждане на фискалната политика, осъществявана от правителството. В този контекст счетоводството в публичния сектор се утвърждава не само като средство за отчетност, но и като ключов инструмент за финансово управление и контрол.</w:t>
      </w:r>
    </w:p>
    <w:p w14:paraId="4FCB3E3D" w14:textId="546ABDD2" w:rsidR="00F224C1" w:rsidRPr="004A30FF" w:rsidRDefault="00F224C1" w:rsidP="00F224C1">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Счетоводството в предприятията от публичния сектор е тясно свързано с управлението, тъй като възниква, развива се и функционира в отговор на неговите потребности от специализирана информация. То не е само техническа дейност по регистриране на стопански операции, а съществена управленска подсистема, която осигурява данни за планиране, наблюдение, оценка и вземане на решения. Поради това към създаваната счетоводна информация се поставят високи изисквания за точност, навременност, полезност, аналитичност и икономическа обоснованост</w:t>
      </w:r>
      <w:r w:rsidR="0067228E" w:rsidRPr="004A30FF">
        <w:rPr>
          <w:rStyle w:val="FootnoteReference"/>
          <w:rFonts w:ascii="Times New Roman" w:hAnsi="Times New Roman" w:cs="Times New Roman"/>
          <w:sz w:val="24"/>
          <w:szCs w:val="24"/>
        </w:rPr>
        <w:footnoteReference w:id="6"/>
      </w:r>
      <w:r w:rsidRPr="004A30FF">
        <w:rPr>
          <w:rFonts w:ascii="Times New Roman" w:hAnsi="Times New Roman" w:cs="Times New Roman"/>
          <w:sz w:val="24"/>
          <w:szCs w:val="24"/>
        </w:rPr>
        <w:t>.</w:t>
      </w:r>
    </w:p>
    <w:p w14:paraId="431F8EF0" w14:textId="77777777" w:rsidR="00F224C1" w:rsidRPr="004A30FF" w:rsidRDefault="00F224C1" w:rsidP="00F224C1">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В публичния сектор счетоводството изпълнява преди всичко информационна функция, като предоставя данни както за дейността на отделните бюджетни организации, така и за функционирането на сектора като цяло. Особено значение има информацията за </w:t>
      </w:r>
      <w:r w:rsidRPr="004A30FF">
        <w:rPr>
          <w:rFonts w:ascii="Times New Roman" w:hAnsi="Times New Roman" w:cs="Times New Roman"/>
          <w:sz w:val="24"/>
          <w:szCs w:val="24"/>
        </w:rPr>
        <w:lastRenderedPageBreak/>
        <w:t>приходите и разходите, включително както за планираните, така и за фактически реализираните стойности. Това позволява да се проследява изпълнението на държавния и общинските бюджети, да се извършва сравнение между планирани и отчетени показатели и при необходимост да се предприемат корекции в бюджетните параметри.</w:t>
      </w:r>
    </w:p>
    <w:p w14:paraId="2CBB72CB" w14:textId="4191A612" w:rsidR="00F224C1" w:rsidRPr="004A30FF" w:rsidRDefault="00F224C1" w:rsidP="00F224C1">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Наред с информационната, счетоводството осъществява и важна контролна функция. Чрез него се следи за законосъобразното, целесъобразното и ефективното използване на бюджетните средства, както и за опазването и правилното използване на активите. В този контекст се проявяват трите основни форми на контрол – предварителен, текущ и последващ, които съответно предотвратяват неправомерни действия, наблюдават законосъобразността на текущите операции и позволяват последваща оценка на резултатите и слабостите в дейността</w:t>
      </w:r>
      <w:r w:rsidR="0067228E" w:rsidRPr="004A30FF">
        <w:rPr>
          <w:rStyle w:val="FootnoteReference"/>
          <w:rFonts w:ascii="Times New Roman" w:hAnsi="Times New Roman" w:cs="Times New Roman"/>
          <w:sz w:val="24"/>
          <w:szCs w:val="24"/>
        </w:rPr>
        <w:footnoteReference w:id="7"/>
      </w:r>
      <w:r w:rsidRPr="004A30FF">
        <w:rPr>
          <w:rFonts w:ascii="Times New Roman" w:hAnsi="Times New Roman" w:cs="Times New Roman"/>
          <w:sz w:val="24"/>
          <w:szCs w:val="24"/>
        </w:rPr>
        <w:t>.</w:t>
      </w:r>
    </w:p>
    <w:p w14:paraId="2E2F94E9" w14:textId="5068ACD1" w:rsidR="00F224C1" w:rsidRPr="004A30FF" w:rsidRDefault="00F224C1" w:rsidP="00F224C1">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Счетоводството има и аналитична функция, тъй като информацията, която създава, служи за анализ на финансово-стопанската дейност и за оценка на изпълнението на възложените функции. Чрез този анализ може да се установи степента на усвояване на бюджетните средства, наличието на неизползвани ресурси или превишение на разходите, което е показателно за проблеми в изпълнението или за нарушения на финансовата дисциплина</w:t>
      </w:r>
      <w:r w:rsidR="0067228E" w:rsidRPr="004A30FF">
        <w:rPr>
          <w:rStyle w:val="FootnoteReference"/>
          <w:rFonts w:ascii="Times New Roman" w:hAnsi="Times New Roman" w:cs="Times New Roman"/>
          <w:sz w:val="24"/>
          <w:szCs w:val="24"/>
        </w:rPr>
        <w:footnoteReference w:id="8"/>
      </w:r>
      <w:r w:rsidRPr="004A30FF">
        <w:rPr>
          <w:rFonts w:ascii="Times New Roman" w:hAnsi="Times New Roman" w:cs="Times New Roman"/>
          <w:sz w:val="24"/>
          <w:szCs w:val="24"/>
        </w:rPr>
        <w:t xml:space="preserve">. </w:t>
      </w:r>
    </w:p>
    <w:p w14:paraId="200E84AD" w14:textId="1A62909B" w:rsidR="0067228E" w:rsidRPr="004A30FF" w:rsidRDefault="0067228E" w:rsidP="0067228E">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Счетоводството в предприятията от публичния сектор се отличава със специфики, произтичащи от особеностите на тяхното финансиране, правен статут и място в системата на публичните финанси. Една от най-съществените особености е, че отчетността се организира в три обособени отчетни групи – „Бюджети“, „Извънбюджетни сметки и фондове“ и „Други сметки и дейности“. По този начин счетоводното отчитане се съобразява с източниците на средства и с характера на дейностите, осъществявани от съответното предприятие</w:t>
      </w:r>
      <w:r w:rsidRPr="004A30FF">
        <w:rPr>
          <w:rStyle w:val="FootnoteReference"/>
          <w:rFonts w:ascii="Times New Roman" w:hAnsi="Times New Roman" w:cs="Times New Roman"/>
          <w:sz w:val="24"/>
          <w:szCs w:val="24"/>
        </w:rPr>
        <w:footnoteReference w:id="9"/>
      </w:r>
      <w:r w:rsidRPr="004A30FF">
        <w:rPr>
          <w:rFonts w:ascii="Times New Roman" w:hAnsi="Times New Roman" w:cs="Times New Roman"/>
          <w:sz w:val="24"/>
          <w:szCs w:val="24"/>
        </w:rPr>
        <w:t>.</w:t>
      </w:r>
    </w:p>
    <w:p w14:paraId="6804A268" w14:textId="4E183637" w:rsidR="0067228E" w:rsidRPr="004A30FF" w:rsidRDefault="0067228E" w:rsidP="0067228E">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lastRenderedPageBreak/>
        <w:t>Друга важна особеност е наличието на висока степен на нормативна унификация. Предприятията от публичния сектор прилагат задължителен сметкоплан, специални счетоводни стандарти за публичния сектор, унифицирани форми на документи и утвърдени образци на счетоводни регистри. Освен това планирането, предоставянето, разходването и отчитането на средствата се извършват по строго регламентиран ред съгласно Единната бюджетна класификация, което осигурява съпоставимост и контрол върху бюджетното изпълнение</w:t>
      </w:r>
      <w:r w:rsidRPr="004A30FF">
        <w:rPr>
          <w:rStyle w:val="FootnoteReference"/>
          <w:rFonts w:ascii="Times New Roman" w:hAnsi="Times New Roman" w:cs="Times New Roman"/>
          <w:sz w:val="24"/>
          <w:szCs w:val="24"/>
        </w:rPr>
        <w:footnoteReference w:id="10"/>
      </w:r>
      <w:r w:rsidRPr="004A30FF">
        <w:rPr>
          <w:rFonts w:ascii="Times New Roman" w:hAnsi="Times New Roman" w:cs="Times New Roman"/>
          <w:sz w:val="24"/>
          <w:szCs w:val="24"/>
        </w:rPr>
        <w:t>.</w:t>
      </w:r>
    </w:p>
    <w:p w14:paraId="14D76D84" w14:textId="12671AC1" w:rsidR="0067228E" w:rsidRPr="004A30FF" w:rsidRDefault="0067228E" w:rsidP="0067228E">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Специфични са и методическите правила за оценяване и отчитане. В публичния сектор редица счетоводни подходи, характерни за небюджетните предприятия, не се прилагат или се прилагат по различен начин. Така например за определени активи не се начисляват амортизации, не се формират преоценъчни резерви, някои активи се отчитат задбалансово, а отделни приходи и разходи се признават по специален ред.</w:t>
      </w:r>
      <w:r w:rsidRPr="004A30FF">
        <w:rPr>
          <w:rStyle w:val="FootnoteReference"/>
          <w:rFonts w:ascii="Times New Roman" w:hAnsi="Times New Roman" w:cs="Times New Roman"/>
          <w:sz w:val="24"/>
          <w:szCs w:val="24"/>
        </w:rPr>
        <w:footnoteReference w:id="11"/>
      </w:r>
      <w:r w:rsidRPr="004A30FF">
        <w:rPr>
          <w:rFonts w:ascii="Times New Roman" w:hAnsi="Times New Roman" w:cs="Times New Roman"/>
          <w:sz w:val="24"/>
          <w:szCs w:val="24"/>
        </w:rPr>
        <w:t xml:space="preserve"> Това показва, че счетоводната политика в публичния сектор е подчинена не толкова на пазарната логика, колкото на изискванията за законосъобразност, проследимост и целево използване на публичните ресурси.</w:t>
      </w:r>
    </w:p>
    <w:p w14:paraId="27910C7D" w14:textId="77777777" w:rsidR="0067228E" w:rsidRPr="004A30FF" w:rsidRDefault="0067228E" w:rsidP="0067228E">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Особености се наблюдават и при отчетността и консолидирането на данните. Формата, съдържанието, сроковете и редът за изготвяне на годишните и междинните отчети се определят от министъра на финансите и са задължителни за всички бюджетни предприятия. Консолидацията се извършва централизирано и по специфичен ред, като обхваща само определени субекти от публичния сектор и се осъществява както по йерархично ниво, така и по отделните отчетни групи. Всичко това обуславя специфичен модел на счетоводна организация, който се различава съществено от този в частния сектор.</w:t>
      </w:r>
    </w:p>
    <w:p w14:paraId="723BA08A" w14:textId="0151F8E2" w:rsidR="00116243" w:rsidRPr="004A30FF" w:rsidRDefault="00116243" w:rsidP="0067228E">
      <w:pPr>
        <w:spacing w:line="360" w:lineRule="auto"/>
        <w:ind w:firstLine="720"/>
        <w:jc w:val="both"/>
        <w:rPr>
          <w:rFonts w:ascii="Times New Roman" w:hAnsi="Times New Roman" w:cs="Times New Roman"/>
          <w:b/>
          <w:bCs/>
          <w:sz w:val="24"/>
          <w:szCs w:val="24"/>
        </w:rPr>
      </w:pPr>
      <w:r w:rsidRPr="004A30FF">
        <w:rPr>
          <w:rFonts w:ascii="Times New Roman" w:hAnsi="Times New Roman" w:cs="Times New Roman"/>
          <w:b/>
          <w:bCs/>
          <w:sz w:val="24"/>
          <w:szCs w:val="24"/>
        </w:rPr>
        <w:t>2. Нормативна уредба на счетоводството в публичния сектор</w:t>
      </w:r>
    </w:p>
    <w:p w14:paraId="1678ADD6" w14:textId="08632227" w:rsidR="0067228E" w:rsidRPr="004A30FF" w:rsidRDefault="0067228E" w:rsidP="0067228E">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Счетоводството и отчетността в публичния сектор в България се основават както на общите принципи и правила на националното счетоводно законодателство, така и на концептуалните постановки на международните счетоводни стандарти. Наред с това тази </w:t>
      </w:r>
      <w:r w:rsidRPr="004A30FF">
        <w:rPr>
          <w:rFonts w:ascii="Times New Roman" w:hAnsi="Times New Roman" w:cs="Times New Roman"/>
          <w:sz w:val="24"/>
          <w:szCs w:val="24"/>
        </w:rPr>
        <w:lastRenderedPageBreak/>
        <w:t>система е съобразена и с изискванията на европейската и международната практика, свързани с отчетността, статистиката и бюджетирането в публичния сектор</w:t>
      </w:r>
      <w:r w:rsidR="0080231B" w:rsidRPr="004A30FF">
        <w:rPr>
          <w:rStyle w:val="FootnoteReference"/>
          <w:rFonts w:ascii="Times New Roman" w:hAnsi="Times New Roman" w:cs="Times New Roman"/>
          <w:sz w:val="24"/>
          <w:szCs w:val="24"/>
        </w:rPr>
        <w:footnoteReference w:id="12"/>
      </w:r>
      <w:r w:rsidRPr="004A30FF">
        <w:rPr>
          <w:rFonts w:ascii="Times New Roman" w:hAnsi="Times New Roman" w:cs="Times New Roman"/>
          <w:sz w:val="24"/>
          <w:szCs w:val="24"/>
        </w:rPr>
        <w:t>.</w:t>
      </w:r>
    </w:p>
    <w:p w14:paraId="2EB19886" w14:textId="77777777" w:rsidR="0067228E" w:rsidRPr="004A30FF" w:rsidRDefault="0067228E" w:rsidP="0067228E">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Особено значение имат изискванията на Европейския съюз, Методическото ръководство за държавна финансова статистика на Международния валутен фонд и Международните счетоводни стандарти за публичния сектор. Тези регламенти са важни, тъй като България, като член на ЕС и МВФ, трябва да поддържа отчетна система, която позволява надеждно отчитане на показатели като бюджетен дефицит, публичен дълг и други ключови параметри на публичните финанси.</w:t>
      </w:r>
    </w:p>
    <w:p w14:paraId="3966634B" w14:textId="6FF3A4D1" w:rsidR="00ED1CA0" w:rsidRPr="004A30FF" w:rsidRDefault="00ED1CA0" w:rsidP="0067228E">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Централно място в тази международна рамка заемат Международните счетоводни стандарти за публичния сектор (IPSAS)</w:t>
      </w:r>
      <w:r w:rsidRPr="004A30FF">
        <w:rPr>
          <w:rStyle w:val="FootnoteReference"/>
          <w:rFonts w:ascii="Times New Roman" w:hAnsi="Times New Roman" w:cs="Times New Roman"/>
          <w:sz w:val="24"/>
          <w:szCs w:val="24"/>
        </w:rPr>
        <w:footnoteReference w:id="13"/>
      </w:r>
      <w:r w:rsidRPr="004A30FF">
        <w:rPr>
          <w:rFonts w:ascii="Times New Roman" w:hAnsi="Times New Roman" w:cs="Times New Roman"/>
          <w:sz w:val="24"/>
          <w:szCs w:val="24"/>
        </w:rPr>
        <w:t>. Те представляват единствения глобално признат набор от стандарти, предназначен специално за публичния сектор, и са разработени на основата на Международните стандарти за финансово отчитане, като са адаптирани към особеностите на публичните финанси. Тяхното съдържание обхваща всички ключови аспекти на счетоводния процес – признаване, оценяване, представяне и оповестяване на активи, пасиви, приходи и разходи, като се отчита спецификата на необменните операции, бюджетното финансиране и публичната отчетност.</w:t>
      </w:r>
    </w:p>
    <w:p w14:paraId="125B247E" w14:textId="24AD1E53" w:rsidR="00ED1CA0" w:rsidRPr="004A30FF" w:rsidRDefault="00ED1CA0" w:rsidP="00ED1CA0">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В основата на системата на IPSAS стои Концептуална рамка за финансово отчитане в публичния сектор</w:t>
      </w:r>
      <w:r w:rsidRPr="004A30FF">
        <w:rPr>
          <w:rStyle w:val="FootnoteReference"/>
          <w:rFonts w:ascii="Times New Roman" w:hAnsi="Times New Roman" w:cs="Times New Roman"/>
          <w:sz w:val="24"/>
          <w:szCs w:val="24"/>
        </w:rPr>
        <w:footnoteReference w:id="14"/>
      </w:r>
      <w:r w:rsidRPr="004A30FF">
        <w:rPr>
          <w:rFonts w:ascii="Times New Roman" w:hAnsi="Times New Roman" w:cs="Times New Roman"/>
          <w:sz w:val="24"/>
          <w:szCs w:val="24"/>
        </w:rPr>
        <w:t xml:space="preserve">, която дефинира целите на финансовото отчитане, качествените характеристики на информацията и основните елементи на отчетите. Тази рамка има фундаментално значение, тъй като служи като методологична база както за разработването на стандартите, така и за формирането на счетоводна политика в практиката. Тя поставя акцент върху отчетността пред обществото, прозрачността и предоставянето на </w:t>
      </w:r>
      <w:r w:rsidRPr="004A30FF">
        <w:rPr>
          <w:rFonts w:ascii="Times New Roman" w:hAnsi="Times New Roman" w:cs="Times New Roman"/>
          <w:sz w:val="24"/>
          <w:szCs w:val="24"/>
        </w:rPr>
        <w:lastRenderedPageBreak/>
        <w:t>информация, необходима за вземане на решения и упражняване на контрол върху публичните ресурси.</w:t>
      </w:r>
    </w:p>
    <w:p w14:paraId="4D93C353" w14:textId="5BCB4650" w:rsidR="00ED1CA0" w:rsidRPr="004A30FF" w:rsidRDefault="00ED1CA0" w:rsidP="00ED1CA0">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Системата на IPSAS включва два основни подхода към отчитането – на касова и на начислителна основа, като съвременната тенденция е насочена към пълно прилагане на начислителния принцип</w:t>
      </w:r>
      <w:r w:rsidR="00FC1CEF" w:rsidRPr="004A30FF">
        <w:rPr>
          <w:rStyle w:val="FootnoteReference"/>
          <w:rFonts w:ascii="Times New Roman" w:hAnsi="Times New Roman" w:cs="Times New Roman"/>
          <w:sz w:val="24"/>
          <w:szCs w:val="24"/>
        </w:rPr>
        <w:footnoteReference w:id="15"/>
      </w:r>
      <w:r w:rsidRPr="004A30FF">
        <w:rPr>
          <w:rFonts w:ascii="Times New Roman" w:hAnsi="Times New Roman" w:cs="Times New Roman"/>
          <w:sz w:val="24"/>
          <w:szCs w:val="24"/>
        </w:rPr>
        <w:t xml:space="preserve">. Именно този подход се разглежда като ключов за модернизирането на публичните финанси, тъй като позволява пълно обхващане на икономическите събития, включително бъдещи задължения, условни ангажименти и дългосрочни активи. В международната практика начислителното отчитане се приема като предпоставка за по-високо качество, достоверност и съпоставимост на финансовата информация. </w:t>
      </w:r>
    </w:p>
    <w:p w14:paraId="580018E9" w14:textId="77777777" w:rsidR="00FC1CEF" w:rsidRPr="004A30FF" w:rsidRDefault="00FC1CEF" w:rsidP="00FC1CEF">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В рамките на Международните счетоводни стандарти за публичния сектор (IPSAS) съществува група от ключови стандарти, които имат фундаментално значение за практическото прилагане на счетоводството в публичния сектор. Те обхващат основните елементи на финансовото отчитане – представянето на отчетите, движението на паричните средства, отчитането на активите и пасивите, както и признаването на приходите и разходите, като по този начин формират ядрото на счетоводната система.</w:t>
      </w:r>
    </w:p>
    <w:p w14:paraId="16C87D63" w14:textId="41D3E837" w:rsidR="00FC1CEF" w:rsidRPr="004A30FF" w:rsidRDefault="00FC1CEF" w:rsidP="00FC1CEF">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Централно място заема IPSAS 1 „Представяне на финансови отчети“</w:t>
      </w:r>
      <w:r w:rsidRPr="004A30FF">
        <w:rPr>
          <w:rStyle w:val="FootnoteReference"/>
          <w:rFonts w:ascii="Times New Roman" w:hAnsi="Times New Roman" w:cs="Times New Roman"/>
          <w:sz w:val="24"/>
          <w:szCs w:val="24"/>
        </w:rPr>
        <w:footnoteReference w:id="16"/>
      </w:r>
      <w:r w:rsidRPr="004A30FF">
        <w:rPr>
          <w:rFonts w:ascii="Times New Roman" w:hAnsi="Times New Roman" w:cs="Times New Roman"/>
          <w:sz w:val="24"/>
          <w:szCs w:val="24"/>
        </w:rPr>
        <w:t>, който определя общите изисквания към структурата, съдържанието и принципите на изготвяне на финансовите отчети. Този стандарт въвежда изискването за вярно и честно представяне, като регламентира основните компоненти на финансовите отчети – отчет за финансовото състояние, отчет за финансовото представяне, отчет за промените в нетните активи/собствения капитал, отчет за паричните потоци и пояснителни приложения. Освен това стандартът изисква оповестяване на счетоводната политика, използваните оценки и съществените обстоятелства, което създава условия за по-добра прозрачност и съпоставимост.</w:t>
      </w:r>
    </w:p>
    <w:p w14:paraId="247EF12B" w14:textId="08782349" w:rsidR="00FC1CEF" w:rsidRPr="004A30FF" w:rsidRDefault="00FC1CEF" w:rsidP="00FC1CEF">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lastRenderedPageBreak/>
        <w:t>IPSAS 2 „Отчет за паричните потоци“</w:t>
      </w:r>
      <w:r w:rsidRPr="004A30FF">
        <w:rPr>
          <w:rStyle w:val="FootnoteReference"/>
          <w:rFonts w:ascii="Times New Roman" w:hAnsi="Times New Roman" w:cs="Times New Roman"/>
          <w:sz w:val="24"/>
          <w:szCs w:val="24"/>
        </w:rPr>
        <w:footnoteReference w:id="17"/>
      </w:r>
      <w:r w:rsidRPr="004A30FF">
        <w:rPr>
          <w:rFonts w:ascii="Times New Roman" w:hAnsi="Times New Roman" w:cs="Times New Roman"/>
          <w:sz w:val="24"/>
          <w:szCs w:val="24"/>
        </w:rPr>
        <w:t xml:space="preserve"> допълва тази рамка, като регламентира представянето на информация за постъпленията и плащанията на парични средства. Чрез този стандарт се осигурява възможност да се анализира ликвидността на предприятието, способността му да генерира парични потоци и ефективността при използването на публичните ресурси. Отчетът за паричните потоци се структурира по дейности – оперативна, инвестиционна и финансова, което улеснява анализа на източниците и направленията на паричните средства.</w:t>
      </w:r>
    </w:p>
    <w:p w14:paraId="34F6CCEC" w14:textId="4FCC62A7" w:rsidR="00FC1CEF" w:rsidRPr="004A30FF" w:rsidRDefault="00FC1CEF" w:rsidP="00FC1CEF">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Особено съществено значение за публичния сектор има IPSAS 17 „Имоти, машини и съоръжения“</w:t>
      </w:r>
      <w:r w:rsidRPr="004A30FF">
        <w:rPr>
          <w:rStyle w:val="FootnoteReference"/>
          <w:rFonts w:ascii="Times New Roman" w:hAnsi="Times New Roman" w:cs="Times New Roman"/>
          <w:sz w:val="24"/>
          <w:szCs w:val="24"/>
        </w:rPr>
        <w:footnoteReference w:id="18"/>
      </w:r>
      <w:r w:rsidRPr="004A30FF">
        <w:rPr>
          <w:rFonts w:ascii="Times New Roman" w:hAnsi="Times New Roman" w:cs="Times New Roman"/>
          <w:sz w:val="24"/>
          <w:szCs w:val="24"/>
        </w:rPr>
        <w:t>, който урежда признаването, първоначалната и последващата оценка, амортизацията и отписването на дълготрайните материални активи. Този стандарт е ключов, тъй като в публичния сектор значителна част от ресурсите е съсредоточена в инфраструктурни активи, сгради, оборудване и други дълготрайни ресурси. IPSAS 17 въвежда критерии за признаване на активите, както и възможност за прилагане на модел на историческа стойност или модел на преоценка, което позволява по-гъвкаво и реалистично отразяване на стойността на активите.</w:t>
      </w:r>
    </w:p>
    <w:p w14:paraId="7B204C74" w14:textId="0688DE61" w:rsidR="00FC1CEF" w:rsidRPr="004A30FF" w:rsidRDefault="00FC1CEF" w:rsidP="00FC1CEF">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В тясна връзка с това стои IPSAS 21 „Обезценка на непарични активи“</w:t>
      </w:r>
      <w:r w:rsidRPr="004A30FF">
        <w:rPr>
          <w:rStyle w:val="FootnoteReference"/>
          <w:rFonts w:ascii="Times New Roman" w:hAnsi="Times New Roman" w:cs="Times New Roman"/>
          <w:sz w:val="24"/>
          <w:szCs w:val="24"/>
        </w:rPr>
        <w:footnoteReference w:id="19"/>
      </w:r>
      <w:r w:rsidRPr="004A30FF">
        <w:rPr>
          <w:rFonts w:ascii="Times New Roman" w:hAnsi="Times New Roman" w:cs="Times New Roman"/>
          <w:sz w:val="24"/>
          <w:szCs w:val="24"/>
        </w:rPr>
        <w:t xml:space="preserve"> и IPSAS 26 „Обезценка на активи, генериращи парични потоци“</w:t>
      </w:r>
      <w:r w:rsidRPr="004A30FF">
        <w:rPr>
          <w:rStyle w:val="FootnoteReference"/>
          <w:rFonts w:ascii="Times New Roman" w:hAnsi="Times New Roman" w:cs="Times New Roman"/>
          <w:sz w:val="24"/>
          <w:szCs w:val="24"/>
        </w:rPr>
        <w:footnoteReference w:id="20"/>
      </w:r>
      <w:r w:rsidRPr="004A30FF">
        <w:rPr>
          <w:rFonts w:ascii="Times New Roman" w:hAnsi="Times New Roman" w:cs="Times New Roman"/>
          <w:sz w:val="24"/>
          <w:szCs w:val="24"/>
        </w:rPr>
        <w:t>. Тези стандарти регламентират начина, по който се установява и отчита намалението в стойността на активите, когато тяхната възстановима стойност е по-ниска от балансовата. Разграничението между активи, които генерират парични потоци, и такива, които не генерират (типично за публичния сектор), е особено важно, тъй като определя различен подход при оценката на обезценката. Чрез тези стандарти се гарантира, че активите не са надценени и че отчетната информация отразява реалното им състояние.</w:t>
      </w:r>
    </w:p>
    <w:p w14:paraId="2121EC5D" w14:textId="42D396B0" w:rsidR="00FC1CEF" w:rsidRPr="004A30FF" w:rsidRDefault="00FC1CEF" w:rsidP="00FC1CEF">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lastRenderedPageBreak/>
        <w:t>По отношение на приходите ключова роля има IPSAS 9 „Приходи от обменни сделки“</w:t>
      </w:r>
      <w:r w:rsidRPr="004A30FF">
        <w:rPr>
          <w:rStyle w:val="FootnoteReference"/>
          <w:rFonts w:ascii="Times New Roman" w:hAnsi="Times New Roman" w:cs="Times New Roman"/>
          <w:sz w:val="24"/>
          <w:szCs w:val="24"/>
        </w:rPr>
        <w:footnoteReference w:id="21"/>
      </w:r>
      <w:r w:rsidRPr="004A30FF">
        <w:rPr>
          <w:rFonts w:ascii="Times New Roman" w:hAnsi="Times New Roman" w:cs="Times New Roman"/>
          <w:sz w:val="24"/>
          <w:szCs w:val="24"/>
        </w:rPr>
        <w:t xml:space="preserve"> и IPSAS 23 „Приходи от необменни сделки (данъци и трансфери)“</w:t>
      </w:r>
      <w:r w:rsidRPr="004A30FF">
        <w:rPr>
          <w:rStyle w:val="FootnoteReference"/>
          <w:rFonts w:ascii="Times New Roman" w:hAnsi="Times New Roman" w:cs="Times New Roman"/>
          <w:sz w:val="24"/>
          <w:szCs w:val="24"/>
        </w:rPr>
        <w:footnoteReference w:id="22"/>
      </w:r>
      <w:r w:rsidRPr="004A30FF">
        <w:rPr>
          <w:rFonts w:ascii="Times New Roman" w:hAnsi="Times New Roman" w:cs="Times New Roman"/>
          <w:sz w:val="24"/>
          <w:szCs w:val="24"/>
        </w:rPr>
        <w:t>. Първият стандарт се прилага за приходи, възникващи при пазарни отношения, при които съществува пряка възмездност, докато IPSAS 23 е от изключително значение за публичния сектор, тъй като регламентира отчитането на приходи от данъци, субсидии, дарения и други трансфери. Този стандарт въвежда специфични правила за признаване на приходите в зависимост от наличието на условия и ограничения, което позволява по-точно отразяване на финансовите потоци в публичната сфера.</w:t>
      </w:r>
    </w:p>
    <w:p w14:paraId="2D7566C1" w14:textId="66E7A71C" w:rsidR="00FC1CEF" w:rsidRPr="004A30FF" w:rsidRDefault="00FC1CEF" w:rsidP="00FC1CEF">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Важен стандарт в контекста на бюджетната отчетност е IPSAS 24 „Представяне на бюджетна информация във финансовите отчети“</w:t>
      </w:r>
      <w:r w:rsidRPr="004A30FF">
        <w:rPr>
          <w:rStyle w:val="FootnoteReference"/>
          <w:rFonts w:ascii="Times New Roman" w:hAnsi="Times New Roman" w:cs="Times New Roman"/>
          <w:sz w:val="24"/>
          <w:szCs w:val="24"/>
        </w:rPr>
        <w:footnoteReference w:id="23"/>
      </w:r>
      <w:r w:rsidRPr="004A30FF">
        <w:rPr>
          <w:rFonts w:ascii="Times New Roman" w:hAnsi="Times New Roman" w:cs="Times New Roman"/>
          <w:sz w:val="24"/>
          <w:szCs w:val="24"/>
        </w:rPr>
        <w:t>. Той изисква предприятията от публичния сектор да представят сравнение между одобрения бюджет и фактическото изпълнение, като по този начин се осигурява връзка между счетоводната отчетност и бюджетния процес. Това има съществено значение за отчетността и контрола, тъй като позволява да се оцени степента на изпълнение на бюджета и ефективността на управлението на публичните средства.</w:t>
      </w:r>
    </w:p>
    <w:p w14:paraId="0BF3D215" w14:textId="17F1A1AE" w:rsidR="00FC1CEF" w:rsidRPr="004A30FF" w:rsidRDefault="00FC1CEF" w:rsidP="00FC1CEF">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Следва да се отбележи и значението на IPSAS 19 „Провизии, условни задължения и условни активи“</w:t>
      </w:r>
      <w:r w:rsidRPr="004A30FF">
        <w:rPr>
          <w:rStyle w:val="FootnoteReference"/>
          <w:rFonts w:ascii="Times New Roman" w:hAnsi="Times New Roman" w:cs="Times New Roman"/>
          <w:sz w:val="24"/>
          <w:szCs w:val="24"/>
        </w:rPr>
        <w:footnoteReference w:id="24"/>
      </w:r>
      <w:r w:rsidRPr="004A30FF">
        <w:rPr>
          <w:rFonts w:ascii="Times New Roman" w:hAnsi="Times New Roman" w:cs="Times New Roman"/>
          <w:sz w:val="24"/>
          <w:szCs w:val="24"/>
        </w:rPr>
        <w:t>, който урежда признаването и оповестяването на бъдещи задължения и рискове. Този стандарт е особено важен за публичния сектор, където често възникват ангажименти с дългосрочен характер, свързани със социални политики, гаранции или съдебни спорове.</w:t>
      </w:r>
    </w:p>
    <w:p w14:paraId="23CF2C8C" w14:textId="4A15CFDB" w:rsidR="00FC1CEF" w:rsidRPr="004A30FF" w:rsidRDefault="00FC1CEF" w:rsidP="00FC1CEF">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Разгледаните стандарти формират основата на практическото приложение на IPSAS, като осигуряват цялостна рамка за надеждно и прозрачно финансово отчитане. Чрез тях се гарантира, че финансовите отчети на предприятията от публичния сектор съдържат пълна, съпоставима и полезна информация за финансовото състояние, резултатите от дейността и </w:t>
      </w:r>
      <w:r w:rsidRPr="004A30FF">
        <w:rPr>
          <w:rFonts w:ascii="Times New Roman" w:hAnsi="Times New Roman" w:cs="Times New Roman"/>
          <w:sz w:val="24"/>
          <w:szCs w:val="24"/>
        </w:rPr>
        <w:lastRenderedPageBreak/>
        <w:t>изпълнението на бюджета, което е от съществено значение за ефективното управление и обществената отчетност.</w:t>
      </w:r>
    </w:p>
    <w:p w14:paraId="3130A213" w14:textId="12271FD1" w:rsidR="00ED1CA0" w:rsidRPr="004A30FF" w:rsidRDefault="00ED1CA0" w:rsidP="00ED1CA0">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Наред с IPSAS, важна роля в международната рамка играе Government Finance Statistics Manual 2014 на Международния валутен фонд</w:t>
      </w:r>
      <w:r w:rsidR="00862BB9" w:rsidRPr="004A30FF">
        <w:rPr>
          <w:rStyle w:val="FootnoteReference"/>
          <w:rFonts w:ascii="Times New Roman" w:hAnsi="Times New Roman" w:cs="Times New Roman"/>
          <w:sz w:val="24"/>
          <w:szCs w:val="24"/>
        </w:rPr>
        <w:footnoteReference w:id="25"/>
      </w:r>
      <w:r w:rsidRPr="004A30FF">
        <w:rPr>
          <w:rFonts w:ascii="Times New Roman" w:hAnsi="Times New Roman" w:cs="Times New Roman"/>
          <w:sz w:val="24"/>
          <w:szCs w:val="24"/>
        </w:rPr>
        <w:t xml:space="preserve">, който осигурява статистическа основа за отчитане на публичните финанси. Той е тясно свързан със счетоводството, тъй като използва сходни принципи, включително начислителния метод, и служи за трансформиране на счетоводната информация в макроикономически показатели. </w:t>
      </w:r>
    </w:p>
    <w:p w14:paraId="37FD645B" w14:textId="77777777" w:rsidR="00862BB9" w:rsidRPr="004A30FF" w:rsidRDefault="00862BB9" w:rsidP="00862BB9">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Методическото ръководство за държавна финансова статистика </w:t>
      </w:r>
      <w:r w:rsidRPr="004A30FF">
        <w:rPr>
          <w:rFonts w:ascii="Times New Roman" w:hAnsi="Times New Roman" w:cs="Times New Roman"/>
          <w:i/>
          <w:iCs/>
          <w:sz w:val="24"/>
          <w:szCs w:val="24"/>
        </w:rPr>
        <w:t>Government Finance Statistics Manual 2014</w:t>
      </w:r>
      <w:r w:rsidRPr="004A30FF">
        <w:rPr>
          <w:rFonts w:ascii="Times New Roman" w:hAnsi="Times New Roman" w:cs="Times New Roman"/>
          <w:sz w:val="24"/>
          <w:szCs w:val="24"/>
        </w:rPr>
        <w:t xml:space="preserve"> на Международния валутен фонд към настоящия момент представлява действащата международна рамка за статистическо отчитане на публичните финанси. То се използва широко от държавите, включително и от страните членки на Европейския съюз, като основа за изготвяне, анализ и представяне на данни за бюджетния дефицит, публичния дълг и други ключови фискални показатели. Ръководството е съгласувано със Системата на националните сметки и осигурява методологическа основа за постигане на съпоставимост и последователност на статистическата информация в международен план.</w:t>
      </w:r>
    </w:p>
    <w:p w14:paraId="0EFFCF8D" w14:textId="77777777" w:rsidR="00862BB9" w:rsidRPr="004A30FF" w:rsidRDefault="00862BB9" w:rsidP="00862BB9">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Наред с това следва да се отбележи, че </w:t>
      </w:r>
      <w:r w:rsidRPr="004A30FF">
        <w:rPr>
          <w:rFonts w:ascii="Times New Roman" w:hAnsi="Times New Roman" w:cs="Times New Roman"/>
          <w:i/>
          <w:iCs/>
          <w:sz w:val="24"/>
          <w:szCs w:val="24"/>
        </w:rPr>
        <w:t>Government Finance Statistics Manual 2014</w:t>
      </w:r>
      <w:r w:rsidRPr="004A30FF">
        <w:rPr>
          <w:rFonts w:ascii="Times New Roman" w:hAnsi="Times New Roman" w:cs="Times New Roman"/>
          <w:sz w:val="24"/>
          <w:szCs w:val="24"/>
        </w:rPr>
        <w:t xml:space="preserve"> вече е обект на процес на актуализация, иницииран от Международния валутен фонд, с оглед необходимостта от адаптиране към съвременните икономически реалности и към развитието на други международни стандарти. Очаква се бъдеща ревизирана версия на ръководството, която ще отразява новите изисквания и ще осигури още по-висока степен на съгласуваност с актуализираните макроикономически рамки. В този смисъл GFSM 2014 може да се разглежда като действащ, но преходен стандарт, който продължава да има съществено значение за практиката, докато бъде заменен от негово актуализирано издание.</w:t>
      </w:r>
    </w:p>
    <w:p w14:paraId="01E733DD" w14:textId="1C3B9F13" w:rsidR="009A0121" w:rsidRPr="004A30FF" w:rsidRDefault="009A0121" w:rsidP="009A0121">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Изискванията на Европейския съюз към отчетността, статистиката и бюджетирането в публичния сектор се основават на прилагането на единна методологична рамка, която осигурява съпоставимост, надеждност и прозрачност на финансовата информация между </w:t>
      </w:r>
      <w:r w:rsidRPr="004A30FF">
        <w:rPr>
          <w:rFonts w:ascii="Times New Roman" w:hAnsi="Times New Roman" w:cs="Times New Roman"/>
          <w:sz w:val="24"/>
          <w:szCs w:val="24"/>
        </w:rPr>
        <w:lastRenderedPageBreak/>
        <w:t>държавите членки. Основен инструмент в тази насока е Системата на националните сметки (SNA), както и нейната европейска адаптация – Европейската система от национални и регионални сметки (ESA), която въвежда задължителни правила за статистическо и счетоводно отчитан</w:t>
      </w:r>
      <w:r w:rsidR="00862BB9" w:rsidRPr="004A30FF">
        <w:rPr>
          <w:rFonts w:ascii="Times New Roman" w:hAnsi="Times New Roman" w:cs="Times New Roman"/>
          <w:sz w:val="24"/>
          <w:szCs w:val="24"/>
        </w:rPr>
        <w:t>е</w:t>
      </w:r>
      <w:r w:rsidR="007B7E56" w:rsidRPr="004A30FF">
        <w:rPr>
          <w:rStyle w:val="FootnoteReference"/>
          <w:rFonts w:ascii="Times New Roman" w:hAnsi="Times New Roman" w:cs="Times New Roman"/>
          <w:sz w:val="24"/>
          <w:szCs w:val="24"/>
        </w:rPr>
        <w:footnoteReference w:id="26"/>
      </w:r>
      <w:r w:rsidRPr="004A30FF">
        <w:rPr>
          <w:rFonts w:ascii="Times New Roman" w:hAnsi="Times New Roman" w:cs="Times New Roman"/>
          <w:sz w:val="24"/>
          <w:szCs w:val="24"/>
        </w:rPr>
        <w:t>. Тази рамка изисква данните за публичния сектор да бъдат изготвяни на начислена основа, да обхващат всички институционални единици в сектор „Държавно управление“ и да позволяват проследяване на ключови показатели като бюджетен дефицит и държавен дълг.</w:t>
      </w:r>
    </w:p>
    <w:p w14:paraId="200A1221" w14:textId="77777777" w:rsidR="00F300C0" w:rsidRPr="004A30FF" w:rsidRDefault="009A0121" w:rsidP="00F300C0">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Съществено изискване е държавите членки да предоставят редовна, навременна и методологически съгласувана информация, включително данни както на касова, така и на начислена основа, както и таблици за преход между двата метода. Тази информация служи за целите на фискалното наблюдение, координацията на икономическите политики и оценката на финансовата стабилност в рамките на Европейския съюз. В този контекст счетоводството изпълнява посредническа функция, като осигурява първичните данни за статистическите системи.</w:t>
      </w:r>
      <w:r w:rsidR="00F300C0" w:rsidRPr="004A30FF">
        <w:rPr>
          <w:rFonts w:ascii="Times New Roman" w:hAnsi="Times New Roman" w:cs="Times New Roman"/>
          <w:sz w:val="24"/>
          <w:szCs w:val="24"/>
        </w:rPr>
        <w:tab/>
      </w:r>
    </w:p>
    <w:p w14:paraId="04383020" w14:textId="53680D10" w:rsidR="009A0121" w:rsidRPr="004A30FF" w:rsidRDefault="00F300C0" w:rsidP="00F300C0">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Понастоящем </w:t>
      </w:r>
      <w:r w:rsidR="009A0121" w:rsidRPr="004A30FF">
        <w:rPr>
          <w:rFonts w:ascii="Times New Roman" w:hAnsi="Times New Roman" w:cs="Times New Roman"/>
          <w:sz w:val="24"/>
          <w:szCs w:val="24"/>
        </w:rPr>
        <w:t>тези изисквания са допълнително развити чрез въвеждането на актуализираната рамка ESA 2010, която замества ESA 95 и поставя още по-строги изисквания за качество, прозрачност и детайлност на отчетната информация. Наред с това Европейската комисия развива инициативата за EPSAS (Европейски счетоводни стандарти за публичния сектор), чиято цел е хармонизиране на счетоводството в публичния сектор на държавите членки на база на начислителния принцип и доближаване до международните стандарти</w:t>
      </w:r>
      <w:r w:rsidR="007B7E56" w:rsidRPr="004A30FF">
        <w:rPr>
          <w:rStyle w:val="FootnoteReference"/>
          <w:rFonts w:ascii="Times New Roman" w:hAnsi="Times New Roman" w:cs="Times New Roman"/>
          <w:sz w:val="24"/>
          <w:szCs w:val="24"/>
        </w:rPr>
        <w:footnoteReference w:id="27"/>
      </w:r>
      <w:r w:rsidR="009A0121" w:rsidRPr="004A30FF">
        <w:rPr>
          <w:rFonts w:ascii="Times New Roman" w:hAnsi="Times New Roman" w:cs="Times New Roman"/>
          <w:sz w:val="24"/>
          <w:szCs w:val="24"/>
        </w:rPr>
        <w:t>. Тези съвременни тенденции показват засилваща се интеграция между счетоводството и статистиката и нарастващи изисквания към качеството и съпоставимостта на публичната финансова информация.</w:t>
      </w:r>
    </w:p>
    <w:p w14:paraId="1AA81734" w14:textId="5DE2740E" w:rsidR="0067228E" w:rsidRPr="004A30FF" w:rsidRDefault="0067228E" w:rsidP="0067228E">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Нормативното регламентиране на счетоводството в публичния сектор в България е изградено върху два основни законодателни акта – Закона за счетоводствот</w:t>
      </w:r>
      <w:r w:rsidRPr="004A30FF">
        <w:rPr>
          <w:rStyle w:val="FootnoteReference"/>
          <w:rFonts w:ascii="Times New Roman" w:hAnsi="Times New Roman" w:cs="Times New Roman"/>
          <w:sz w:val="24"/>
          <w:szCs w:val="24"/>
        </w:rPr>
        <w:footnoteReference w:id="28"/>
      </w:r>
      <w:r w:rsidRPr="004A30FF">
        <w:rPr>
          <w:rFonts w:ascii="Times New Roman" w:hAnsi="Times New Roman" w:cs="Times New Roman"/>
          <w:sz w:val="24"/>
          <w:szCs w:val="24"/>
        </w:rPr>
        <w:t xml:space="preserve">о и Закона за </w:t>
      </w:r>
      <w:r w:rsidRPr="004A30FF">
        <w:rPr>
          <w:rFonts w:ascii="Times New Roman" w:hAnsi="Times New Roman" w:cs="Times New Roman"/>
          <w:sz w:val="24"/>
          <w:szCs w:val="24"/>
        </w:rPr>
        <w:lastRenderedPageBreak/>
        <w:t>публичните финанси</w:t>
      </w:r>
      <w:r w:rsidRPr="004A30FF">
        <w:rPr>
          <w:rStyle w:val="FootnoteReference"/>
          <w:rFonts w:ascii="Times New Roman" w:hAnsi="Times New Roman" w:cs="Times New Roman"/>
          <w:sz w:val="24"/>
          <w:szCs w:val="24"/>
        </w:rPr>
        <w:footnoteReference w:id="29"/>
      </w:r>
      <w:r w:rsidRPr="004A30FF">
        <w:rPr>
          <w:rFonts w:ascii="Times New Roman" w:hAnsi="Times New Roman" w:cs="Times New Roman"/>
          <w:sz w:val="24"/>
          <w:szCs w:val="24"/>
        </w:rPr>
        <w:t>. Тази двойна нормативна опора показва, че счетоводството на бюджетните предприятия не се разглежда единствено като техническа система за отчитане, а като съществен елемент от цялостното управление, контрол и наблюдение на публичните ресурси. Именно поради това законодателят е уредил въпросите на бюджетното счетоводство както в общия закон, регулиращ счетоводството, така и в специалния закон, посветен на публичните финанси.</w:t>
      </w:r>
    </w:p>
    <w:p w14:paraId="3D8ED313" w14:textId="7F3CE321" w:rsidR="0067228E" w:rsidRPr="004A30FF" w:rsidRDefault="0067228E" w:rsidP="0067228E">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Особено показателно е пълното съвпадение между разпоредбата на чл. 164, ал. 1 от Закона за публичните финанси и чл. 5а, ал. 1 от Закона за счетоводството. Чрез възпроизвеждането на една и съща разпоредба в двата закона се подчертава значимостта на тази материя и се гарантира, че нейната уредба ще бъде еднакво разбирана както в контекста на счетоводното законодателство, така и в рамките на публичнофинансовото управление.</w:t>
      </w:r>
    </w:p>
    <w:p w14:paraId="2B4447AF" w14:textId="77777777" w:rsidR="0067228E" w:rsidRPr="004A30FF" w:rsidRDefault="0067228E" w:rsidP="0067228E">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Същественото в тази разпоредба е, че министърът на финансите е органът, на когото е възложено правомощието да утвърждава счетоводните стандарти и сметкоплана за бюджетните предприятия. По този начин се осигурява централизирано и унифицирано регулиране на счетоводната практика в публичния сектор. Това решение е логично, тъй като дейността на бюджетните предприятия е пряко свързана с разходването на публични средства, изпълнението на бюджета и поддържането на финансова дисциплина. Следователно е необходимо да съществува единен подход към отчитането, който да осигурява съпоставимост, прозрачност и контролируемост на отчетната информация.</w:t>
      </w:r>
    </w:p>
    <w:p w14:paraId="757EDEDC" w14:textId="77777777" w:rsidR="0067228E" w:rsidRPr="004A30FF" w:rsidRDefault="0067228E" w:rsidP="0067228E">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Разпоредбата едновременно с това ясно показва, че счетоводната уредба на бюджетните предприятия не се формира изолирано в рамките на националното право, а е поставена в зависимост от няколко групи изисквания. На първо място, тя трябва да съответства на изискванията на Европейския съюз относно отчетността, статистиката и бюджетирането на публичния сектор. Това е особено важно, защото България като държава членка следва да предоставя надеждна, съпоставима и методологически съгласувана информация за състоянието на публичните финанси. На второ място, уредбата трябва да бъде съобразена със счетоводната рамка, принципите и концепциите на Методическото ръководство за държавна финансова статистика на Международния валутен фонд, което </w:t>
      </w:r>
      <w:r w:rsidRPr="004A30FF">
        <w:rPr>
          <w:rFonts w:ascii="Times New Roman" w:hAnsi="Times New Roman" w:cs="Times New Roman"/>
          <w:sz w:val="24"/>
          <w:szCs w:val="24"/>
        </w:rPr>
        <w:lastRenderedPageBreak/>
        <w:t>осигурява връзката между счетоводното отчитане и макроикономическата статистика. На трето място, поставя се изискване за съобразяване с Международните счетоводни стандарти за публичния сектор, което показва стремеж към доближаване до международно признати принципи и добри практики в тази област.</w:t>
      </w:r>
    </w:p>
    <w:p w14:paraId="1F389968" w14:textId="77777777" w:rsidR="0067228E" w:rsidRPr="004A30FF" w:rsidRDefault="0067228E" w:rsidP="0067228E">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Наред с международните и европейските източници, разпоредбата изрично подчертава и необходимостта от съответствие с изискванията на българското законодателство относно бюджетирането, отчитането на изпълнението на консолидираната фискална програма, както и управлението и контрола на средствата и разходите на бюджетните предприятия. </w:t>
      </w:r>
    </w:p>
    <w:p w14:paraId="6E3525D8" w14:textId="77777777" w:rsidR="0067228E" w:rsidRPr="004A30FF" w:rsidRDefault="0067228E" w:rsidP="0067228E">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На тази основа министърът на финансите утвърждава счетоводни стандарти и сметкоплан, които се прилагат от предприятията от публичния сектор. По този начин се осигурява единна законодателна и методическа рамка, която подпомага съгласуваността на отчетните данни и улеснява управлението, контрола и анализа на публичните средства.</w:t>
      </w:r>
    </w:p>
    <w:p w14:paraId="7C8170D9" w14:textId="4B7E1050" w:rsidR="00754F43" w:rsidRPr="004A30FF" w:rsidRDefault="0067228E" w:rsidP="00F300C0">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Тази нормативна рамка има важно практическо значение, защото съдейства за по-добро хармонизиране на информацията за публичния сектор с останалите макроикономически показатели и повишава прозрачността, съпоставимостта и ефективността в управлението на бюджетната сфера.</w:t>
      </w:r>
    </w:p>
    <w:p w14:paraId="728FB8F6" w14:textId="77777777" w:rsidR="00F300C0" w:rsidRPr="004A30FF" w:rsidRDefault="00F300C0" w:rsidP="00F300C0">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С приемането на ДДС № 20 от 14.12.2004 г. на Министерството на финансите в българската практика се утвърждава нормативна основа за прилагане на национални счетоводни стандарти в публичния сектор. Чрез този акт се поставя началото на по-ясно структуриране на счетоводното отчитане в бюджетните предприятия, като в основата на въведените правила са заложени редица фундаментални принципи, познати от международната счетоводна практика. По този начин се цели не само уеднаквяване на отчетните подходи, но и повишаване на качеството, надеждността и съпоставимостта на счетоводната информация, създавана в публичния сектор.</w:t>
      </w:r>
    </w:p>
    <w:p w14:paraId="0EB7AEFB" w14:textId="77777777" w:rsidR="00F300C0" w:rsidRPr="004A30FF" w:rsidRDefault="00F300C0" w:rsidP="00F300C0">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Сред водещите постановки е принципът на действащото предприятие, според който финансовите отчети се изготвят при предположението, че предприятието ще продължи да функционира в обозримо бъдеще и няма намерение или необходимост съществено да ограничава обема на дейността си. В контекста на бюджетните предприятия този принцип </w:t>
      </w:r>
      <w:r w:rsidRPr="004A30FF">
        <w:rPr>
          <w:rFonts w:ascii="Times New Roman" w:hAnsi="Times New Roman" w:cs="Times New Roman"/>
          <w:sz w:val="24"/>
          <w:szCs w:val="24"/>
        </w:rPr>
        <w:lastRenderedPageBreak/>
        <w:t>има особена значимост, тъй като предполага стабилност на институционалната дейност и приемственост при изпълнението на обществените функции, възложени на съответната организация.</w:t>
      </w:r>
    </w:p>
    <w:p w14:paraId="37C07F2B" w14:textId="77777777" w:rsidR="00F300C0" w:rsidRPr="004A30FF" w:rsidRDefault="00F300C0" w:rsidP="00F300C0">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Съществено място заема и принципът на предимството на съдържанието пред формата. Неговата роля се изразява в това, че стопанските операции и събития следва да бъдат отразявани съобразно тяхната действителна икономическа същност, а не единствено според юридическата им форма. Това е особено важно в публичния сектор, където редица процеси имат сложен правен и финансов характер и където формалното тълкуване невинаги би довело до вярно представяне на икономическите ефекти от дадена операция. Връзка с това има и принципът на документалната обоснованост, който изисква всяка стопанска операция да бъде надлежно документирана. Именно чрез наличието на първични и вторични счетоводни документи се гарантира доказуемост, проследимост и контролируемост на извършените действия.</w:t>
      </w:r>
    </w:p>
    <w:p w14:paraId="6EDB5FFF" w14:textId="77777777" w:rsidR="00F300C0" w:rsidRPr="004A30FF" w:rsidRDefault="00F300C0" w:rsidP="00F300C0">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Особено значение за правилното формиране на финансовия резултат има принципът на съпоставимост между приходите и разходите. Неговото приложение предполага разходите, извършени през даден отчетен период, да бъдат съотнесени към приходите, реализирани през същия период, така че отчетната информация да отразява реално икономическите процеси. С този принцип е тясно свързан и принципът на текущото начисляване, според който стопанските операции се признават в момента на тяхното възникване, независимо от фактическото постъпване или плащане на паричните средства. Това позволява по-пълно и обективно отразяване на активите, пасивите, приходите и разходите и осигурява по-висока аналитична стойност на отчетите.</w:t>
      </w:r>
    </w:p>
    <w:p w14:paraId="70FEAF7F" w14:textId="77777777" w:rsidR="00F300C0" w:rsidRPr="004A30FF" w:rsidRDefault="00F300C0" w:rsidP="00F300C0">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Принципът на вярното и честно представяне изисква финансовите отчети да отразяват обективно, безпристрастно и разбираемо имущественото и финансовото състояние на предприятието, резултатите от неговата дейност и движението на ресурсите. Този принцип е в основата на доверието към счетоводната информация, тъй като именно чрез него се гарантира, че отчетите не са само формално изготвени, а действително представят реалното състояние на отчетната единица. В близка връзка с него стои и изискването за достоверно представяне, което предполага отчитане на всички съществени рискове, загуби и обстоятелства, които могат да окажат влияние върху финансовото </w:t>
      </w:r>
      <w:r w:rsidRPr="004A30FF">
        <w:rPr>
          <w:rFonts w:ascii="Times New Roman" w:hAnsi="Times New Roman" w:cs="Times New Roman"/>
          <w:sz w:val="24"/>
          <w:szCs w:val="24"/>
        </w:rPr>
        <w:lastRenderedPageBreak/>
        <w:t>състояние и резултатите от дейността. По този начин се намалява вероятността от изкривяване на информацията и се създават условия за по-реалистична оценка на отчетните показатели.</w:t>
      </w:r>
    </w:p>
    <w:p w14:paraId="759F90B2" w14:textId="77777777" w:rsidR="00F300C0" w:rsidRPr="004A30FF" w:rsidRDefault="00F300C0" w:rsidP="00F300C0">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Принципът на съществеността е насочен към полезността на счетоводната информация за нейните ползватели. В съответствие с него във финансовите отчети следва да се включва онази информация, която е значима за икономическите решения, контрола и анализа, докато несъществените данни не бива да затрудняват възприемането на същественото съдържание. От особено значение е и принципът на независимост на отделните отчетни периоди, който постановява всеки отчетен период да се разглежда самостоятелно, независимо от неговата връзка с предходни или бъдещи периоди. Това е предпоставка за точно разграничаване на приходите и разходите по време и за коректно формиране на отчетните резултати.</w:t>
      </w:r>
    </w:p>
    <w:p w14:paraId="057EFCB8" w14:textId="77777777" w:rsidR="00F300C0" w:rsidRPr="004A30FF" w:rsidRDefault="00F300C0" w:rsidP="00F300C0">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Важна роля в системата на счетоводните принципи има и принципът на историческата цена. Съгласно него активите, пасивите и другите отчетни обекти първоначално се оценяват по стойността, по която са придобити или са възникнали. Този подход осигурява обективност и проверимост на отчетните стойности, тъй като се основава на реално осъществени сделки и документално установими факти. От своя страна принципът на стойностната връзка между начален и краен баланс изисква данните от края на един отчетен период да бъдат правилно пренесени като начални данни за следващия период. По този начин се гарантира приемственост в отчетността и последователност в счетоводния процес.</w:t>
      </w:r>
    </w:p>
    <w:p w14:paraId="73B1E2A7" w14:textId="77777777" w:rsidR="00F300C0" w:rsidRPr="004A30FF" w:rsidRDefault="00F300C0" w:rsidP="00F300C0">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Счетоводната система в публичния сектор се основава също и на принципа на възможното запазване на счетоводната политика. Неговото значение е свързано със стремежа към устойчиво прилагане на едни и същи счетоводни методи и подходи в различните отчетни периоди, освен ако промяна не се налага от нормативни изисквания или от необходимостта да се постигне по-достоверно представяне. Именно последователността в счетоводната политика създава условия за съпоставимост на данните във времето и за по-надежден анализ на тенденциите в развитието на предприятието. В този смисъл следва да се разглежда и принципът на отказ от компенсиране, според който активите и пасивите, както и приходите и разходите, не следва да се прихващат взаимно, освен в изрично </w:t>
      </w:r>
      <w:r w:rsidRPr="004A30FF">
        <w:rPr>
          <w:rFonts w:ascii="Times New Roman" w:hAnsi="Times New Roman" w:cs="Times New Roman"/>
          <w:sz w:val="24"/>
          <w:szCs w:val="24"/>
        </w:rPr>
        <w:lastRenderedPageBreak/>
        <w:t>предвидени от стандартите случаи. Това изискване има за цел да осигури по-голяма прозрачност и да не допуска прикриване на съществени елементи от финансовото състояние или финансовия резултат.</w:t>
      </w:r>
    </w:p>
    <w:p w14:paraId="1B357A58" w14:textId="0340EA64" w:rsidR="008459D5" w:rsidRPr="004A30FF" w:rsidRDefault="008459D5" w:rsidP="00F300C0">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ИЗВОДИ ПО ПЪРВА ГЛАВА</w:t>
      </w:r>
    </w:p>
    <w:p w14:paraId="3E9CB754" w14:textId="77777777" w:rsidR="008459D5" w:rsidRPr="004A30FF" w:rsidRDefault="008459D5" w:rsidP="008459D5">
      <w:pPr>
        <w:pStyle w:val="ListParagraph"/>
        <w:numPr>
          <w:ilvl w:val="0"/>
          <w:numId w:val="26"/>
        </w:numPr>
        <w:spacing w:line="360" w:lineRule="auto"/>
        <w:jc w:val="both"/>
        <w:rPr>
          <w:rFonts w:ascii="Times New Roman" w:hAnsi="Times New Roman" w:cs="Times New Roman"/>
          <w:sz w:val="24"/>
          <w:szCs w:val="24"/>
        </w:rPr>
      </w:pPr>
      <w:r w:rsidRPr="004A30FF">
        <w:rPr>
          <w:rFonts w:ascii="Times New Roman" w:hAnsi="Times New Roman" w:cs="Times New Roman"/>
          <w:sz w:val="24"/>
          <w:szCs w:val="24"/>
        </w:rPr>
        <w:t>Счетоводството в публичния сектор се характеризира със специфична организация, обусловена от особеностите на бюджетното финансиране и функциите на публичните институции. То се реализира чрез обособени отчетни групи, прилагане на задължителен сметкоплан, унифицирани документи и строго регламентирани процедури за планиране и отчитане. Методологията му се отличава с приоритет на контрола, целесъобразното използване на средствата и отчитането на бюджетното изпълнение, като се използват както касов, така и начислителен подход.</w:t>
      </w:r>
    </w:p>
    <w:p w14:paraId="1627E913" w14:textId="1AF1858A" w:rsidR="008459D5" w:rsidRPr="004A30FF" w:rsidRDefault="008459D5" w:rsidP="008459D5">
      <w:pPr>
        <w:pStyle w:val="ListParagraph"/>
        <w:numPr>
          <w:ilvl w:val="0"/>
          <w:numId w:val="26"/>
        </w:numPr>
        <w:spacing w:line="360" w:lineRule="auto"/>
        <w:jc w:val="both"/>
        <w:rPr>
          <w:rFonts w:ascii="Times New Roman" w:hAnsi="Times New Roman" w:cs="Times New Roman"/>
          <w:sz w:val="24"/>
          <w:szCs w:val="24"/>
        </w:rPr>
      </w:pPr>
      <w:r w:rsidRPr="004A30FF">
        <w:rPr>
          <w:rFonts w:ascii="Times New Roman" w:hAnsi="Times New Roman" w:cs="Times New Roman"/>
          <w:sz w:val="24"/>
          <w:szCs w:val="24"/>
        </w:rPr>
        <w:t>Нормативната уредба на счетоводството в публичния сектор в България се основава на Закона за счетоводството и Закона за публичните финанси, като конкретните стандарти и правила се утвърждават от министъра на финансите. Тази уредба е съобразена както с националните изисквания за бюджетно управление и контрол, така и с международните и европейските стандарти, включително IPSAS, ESA и GFSM. По този начин се осигурява съпоставимост, прозрачност и надеждност на финансовата информация в публичния сектор.</w:t>
      </w:r>
    </w:p>
    <w:p w14:paraId="22806B68" w14:textId="77777777" w:rsidR="008459D5" w:rsidRPr="004A30FF" w:rsidRDefault="008459D5" w:rsidP="00F300C0">
      <w:pPr>
        <w:spacing w:line="360" w:lineRule="auto"/>
        <w:ind w:firstLine="720"/>
        <w:jc w:val="both"/>
        <w:rPr>
          <w:rFonts w:ascii="Times New Roman" w:hAnsi="Times New Roman" w:cs="Times New Roman"/>
          <w:sz w:val="24"/>
          <w:szCs w:val="24"/>
        </w:rPr>
      </w:pPr>
    </w:p>
    <w:p w14:paraId="216FCB46" w14:textId="77777777" w:rsidR="00116243" w:rsidRPr="004A30FF" w:rsidRDefault="00116243" w:rsidP="00F300C0">
      <w:pPr>
        <w:spacing w:line="360" w:lineRule="auto"/>
        <w:ind w:firstLine="720"/>
        <w:jc w:val="both"/>
        <w:rPr>
          <w:rFonts w:ascii="Times New Roman" w:hAnsi="Times New Roman" w:cs="Times New Roman"/>
          <w:sz w:val="24"/>
          <w:szCs w:val="24"/>
        </w:rPr>
      </w:pPr>
    </w:p>
    <w:p w14:paraId="3D5EF1E8" w14:textId="77777777" w:rsidR="00116243" w:rsidRPr="004A30FF" w:rsidRDefault="00116243">
      <w:pPr>
        <w:rPr>
          <w:rFonts w:ascii="Times New Roman" w:hAnsi="Times New Roman" w:cs="Times New Roman"/>
          <w:b/>
          <w:bCs/>
          <w:sz w:val="24"/>
          <w:szCs w:val="24"/>
        </w:rPr>
      </w:pPr>
      <w:r w:rsidRPr="004A30FF">
        <w:rPr>
          <w:rFonts w:ascii="Times New Roman" w:hAnsi="Times New Roman" w:cs="Times New Roman"/>
          <w:b/>
          <w:bCs/>
          <w:sz w:val="24"/>
          <w:szCs w:val="24"/>
        </w:rPr>
        <w:br w:type="page"/>
      </w:r>
    </w:p>
    <w:p w14:paraId="702576B4" w14:textId="301C00FF" w:rsidR="007C0AF9" w:rsidRPr="004A30FF" w:rsidRDefault="00116243" w:rsidP="00116243">
      <w:pPr>
        <w:spacing w:line="360" w:lineRule="auto"/>
        <w:ind w:firstLine="720"/>
        <w:jc w:val="both"/>
        <w:rPr>
          <w:rFonts w:ascii="Times New Roman" w:hAnsi="Times New Roman" w:cs="Times New Roman"/>
          <w:b/>
          <w:bCs/>
          <w:sz w:val="24"/>
          <w:szCs w:val="24"/>
        </w:rPr>
      </w:pPr>
      <w:r w:rsidRPr="004A30FF">
        <w:rPr>
          <w:rFonts w:ascii="Times New Roman" w:hAnsi="Times New Roman" w:cs="Times New Roman"/>
          <w:b/>
          <w:bCs/>
          <w:sz w:val="24"/>
          <w:szCs w:val="24"/>
        </w:rPr>
        <w:lastRenderedPageBreak/>
        <w:t xml:space="preserve">ВТОРА ГЛАВА. </w:t>
      </w:r>
      <w:r w:rsidR="007C0AF9" w:rsidRPr="004A30FF">
        <w:rPr>
          <w:rFonts w:ascii="Times New Roman" w:hAnsi="Times New Roman" w:cs="Times New Roman"/>
          <w:b/>
          <w:bCs/>
          <w:sz w:val="24"/>
          <w:szCs w:val="24"/>
        </w:rPr>
        <w:t>ГОДИШНО СЧЕТОВОДНО ПРИКЛЮЧВАНЕ В ПРЕДПРИЯТИЯТА ОТ ПУБЛИЧНИЯ СЕКТОР</w:t>
      </w:r>
    </w:p>
    <w:p w14:paraId="449E84E0" w14:textId="52854299" w:rsidR="00B7776F" w:rsidRPr="004A30FF" w:rsidRDefault="008B1945" w:rsidP="008B1945">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Годишното счетоводно приключване може да бъде разглеждано в най-общ план като съвкупност от взаимносвързани методи, процедури и документално оформени действия, чрез които информацията, натрупана в процеса на текущото счетоводно отчитане, се обработва, систематизира, обобщава и представя в структуриран вид</w:t>
      </w:r>
      <w:r w:rsidRPr="004A30FF">
        <w:rPr>
          <w:rStyle w:val="FootnoteReference"/>
          <w:rFonts w:ascii="Times New Roman" w:hAnsi="Times New Roman" w:cs="Times New Roman"/>
          <w:sz w:val="24"/>
          <w:szCs w:val="24"/>
        </w:rPr>
        <w:footnoteReference w:id="30"/>
      </w:r>
      <w:r w:rsidRPr="004A30FF">
        <w:rPr>
          <w:rFonts w:ascii="Times New Roman" w:hAnsi="Times New Roman" w:cs="Times New Roman"/>
          <w:sz w:val="24"/>
          <w:szCs w:val="24"/>
        </w:rPr>
        <w:t>. В резултат на този процес се формират отчетни показатели и информационни масиви, които осигуряват вярна и цялостна представа за имущественото и финансовото състояние на предприятието, както и за резултатите от неговата дейност през съответния отчетен период.</w:t>
      </w:r>
    </w:p>
    <w:p w14:paraId="5066090B" w14:textId="77777777" w:rsidR="008B1945" w:rsidRPr="004A30FF" w:rsidRDefault="008B1945" w:rsidP="008B1945">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Предприятията от публичния сектор изготвят годишен финансов отчет в съответствие с разпоредбите на Закона за счетоводството, както и съобразно издаваните от Министерството на финансите заповеди, указания и писма, които уреждат неговите съставни елементи, форма, съдържание и реда за осъществяване на годишното счетоводно приключване. По този начин процесът на отчетност в публичния сектор се поставя в рамките на строго регламентирана нормативна и методическа среда, насочена към постигане на единно и съпоставимо представяне на финансовата информация.</w:t>
      </w:r>
    </w:p>
    <w:p w14:paraId="7575CEDF" w14:textId="77777777" w:rsidR="008B1945" w:rsidRPr="004A30FF" w:rsidRDefault="008B1945" w:rsidP="008B1945">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Годишният финансов отчет се съставя към 31 декември на съответния отчетен период и има за цел да представи вярно и честно имущественото и финансовото състояние на предприятието, изпълнението на бюджетните и извънбюджетните сметки, както и измененията в паричните потоци. Съдържащата се в него информация обхваща както текущата, така и предходната отчетна година, което създава възможност за проследяване на динамиката в дейността и за извършване на сравнителен анализ между отделните периоди.</w:t>
      </w:r>
    </w:p>
    <w:p w14:paraId="438E4616" w14:textId="77777777" w:rsidR="008B1945" w:rsidRPr="004A30FF" w:rsidRDefault="008B1945" w:rsidP="008B1945">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За предприятията от публичния сектор формата, съдържанието и съставните части на годишния финансов отчет се утвърждават със заповед на министъра на финансите. В неговия обхват се включват балансът, отчетът за приходите и разходите, отчетът за касовото изпълнение на бюджета, сметките за средствата от Европейския съюз и сметките за чужди средства, както и приложенията към отчета. В съвкупност тези елементи осигуряват </w:t>
      </w:r>
      <w:r w:rsidRPr="004A30FF">
        <w:rPr>
          <w:rFonts w:ascii="Times New Roman" w:hAnsi="Times New Roman" w:cs="Times New Roman"/>
          <w:sz w:val="24"/>
          <w:szCs w:val="24"/>
        </w:rPr>
        <w:lastRenderedPageBreak/>
        <w:t>цялостна, систематизирана и нормативно съобразена информация за финансовото състояние и отчетната дейност на предприятието от публичния сектор.</w:t>
      </w:r>
    </w:p>
    <w:p w14:paraId="3C5AFAB1" w14:textId="471D5D9E" w:rsidR="007C0AF9" w:rsidRPr="004A30FF" w:rsidRDefault="007C0AF9" w:rsidP="00F70812">
      <w:pPr>
        <w:pStyle w:val="ListParagraph"/>
        <w:numPr>
          <w:ilvl w:val="0"/>
          <w:numId w:val="17"/>
        </w:numPr>
        <w:spacing w:line="360" w:lineRule="auto"/>
        <w:jc w:val="both"/>
        <w:rPr>
          <w:rFonts w:ascii="Times New Roman" w:hAnsi="Times New Roman" w:cs="Times New Roman"/>
          <w:b/>
          <w:bCs/>
          <w:sz w:val="24"/>
          <w:szCs w:val="24"/>
        </w:rPr>
      </w:pPr>
      <w:r w:rsidRPr="004A30FF">
        <w:rPr>
          <w:rFonts w:ascii="Times New Roman" w:hAnsi="Times New Roman" w:cs="Times New Roman"/>
          <w:b/>
          <w:bCs/>
          <w:sz w:val="24"/>
          <w:szCs w:val="24"/>
        </w:rPr>
        <w:t>Инвентаризация на активите и пасивите в предприятията от публичния сектор</w:t>
      </w:r>
    </w:p>
    <w:p w14:paraId="60BF9CBB" w14:textId="619BED54" w:rsidR="008B1945" w:rsidRPr="004A30FF" w:rsidRDefault="008B1945" w:rsidP="008B1945">
      <w:pPr>
        <w:spacing w:line="360" w:lineRule="auto"/>
        <w:ind w:firstLine="360"/>
        <w:jc w:val="both"/>
        <w:rPr>
          <w:rFonts w:ascii="Times New Roman" w:hAnsi="Times New Roman" w:cs="Times New Roman"/>
          <w:sz w:val="24"/>
          <w:szCs w:val="24"/>
        </w:rPr>
      </w:pPr>
      <w:r w:rsidRPr="004A30FF">
        <w:rPr>
          <w:rFonts w:ascii="Times New Roman" w:hAnsi="Times New Roman" w:cs="Times New Roman"/>
          <w:sz w:val="24"/>
          <w:szCs w:val="24"/>
        </w:rPr>
        <w:t>Инвентаризацията в най-общ смисъл може да бъде разглеждана като систематизиран процес на предварителна организация, фактическа проверка и документално установяване на натуралните и стойностните характеристики на активите и пасивите на предприятието към точно определен момент. Чрез прилагането на различни способи за проверка се осъществява съпоставка между фактически установеното състояние и данните, отразени в счетоводните регистри, което позволява да бъдат установени евентуални разлики, несъответствия или отклонения</w:t>
      </w:r>
      <w:r w:rsidRPr="004A30FF">
        <w:rPr>
          <w:rStyle w:val="FootnoteReference"/>
          <w:rFonts w:ascii="Times New Roman" w:hAnsi="Times New Roman" w:cs="Times New Roman"/>
          <w:sz w:val="24"/>
          <w:szCs w:val="24"/>
        </w:rPr>
        <w:footnoteReference w:id="31"/>
      </w:r>
      <w:r w:rsidRPr="004A30FF">
        <w:rPr>
          <w:rFonts w:ascii="Times New Roman" w:hAnsi="Times New Roman" w:cs="Times New Roman"/>
          <w:sz w:val="24"/>
          <w:szCs w:val="24"/>
        </w:rPr>
        <w:t>.</w:t>
      </w:r>
    </w:p>
    <w:p w14:paraId="5C05A0FE" w14:textId="579C3AC4" w:rsidR="008B1945" w:rsidRPr="004A30FF" w:rsidRDefault="008B1945" w:rsidP="008B1945">
      <w:pPr>
        <w:spacing w:line="360" w:lineRule="auto"/>
        <w:ind w:firstLine="360"/>
        <w:jc w:val="both"/>
        <w:rPr>
          <w:rFonts w:ascii="Times New Roman" w:hAnsi="Times New Roman" w:cs="Times New Roman"/>
          <w:sz w:val="24"/>
          <w:szCs w:val="24"/>
        </w:rPr>
      </w:pPr>
      <w:r w:rsidRPr="004A30FF">
        <w:rPr>
          <w:rFonts w:ascii="Times New Roman" w:hAnsi="Times New Roman" w:cs="Times New Roman"/>
          <w:sz w:val="24"/>
          <w:szCs w:val="24"/>
        </w:rPr>
        <w:t>Инвентаризацията обхваща всички активи и пасиви на предприятието и представлява задължителен елемент от процеса на годишното счетоводно приключване. Нейното провеждане следва определена организационна и методическа последователност</w:t>
      </w:r>
      <w:r w:rsidRPr="004A30FF">
        <w:rPr>
          <w:rStyle w:val="FootnoteReference"/>
          <w:rFonts w:ascii="Times New Roman" w:hAnsi="Times New Roman" w:cs="Times New Roman"/>
          <w:sz w:val="24"/>
          <w:szCs w:val="24"/>
        </w:rPr>
        <w:footnoteReference w:id="32"/>
      </w:r>
      <w:r w:rsidRPr="004A30FF">
        <w:rPr>
          <w:rFonts w:ascii="Times New Roman" w:hAnsi="Times New Roman" w:cs="Times New Roman"/>
          <w:sz w:val="24"/>
          <w:szCs w:val="24"/>
        </w:rPr>
        <w:t>. На първо място се издава заповед за извършване на инвентаризация, подписана от ръководителя на бюджетното предприятие. С тази заповед се определят сроковете за провеждането ѝ, обхватът на проверката, както и лицата, които носят отговорност за нейното осъществяване. След това резултатите от фактическата проверка се документират в инвентаризационен опис и сравнителна ведомост, като на тази основа се създава и необходимата счетоводна информация за отразяване на установените резултати.</w:t>
      </w:r>
    </w:p>
    <w:p w14:paraId="5EFE2190" w14:textId="77777777" w:rsidR="008B1945" w:rsidRPr="004A30FF" w:rsidRDefault="008B1945" w:rsidP="008B1945">
      <w:pPr>
        <w:spacing w:line="360" w:lineRule="auto"/>
        <w:ind w:firstLine="360"/>
        <w:jc w:val="both"/>
        <w:rPr>
          <w:rFonts w:ascii="Times New Roman" w:hAnsi="Times New Roman" w:cs="Times New Roman"/>
          <w:sz w:val="24"/>
          <w:szCs w:val="24"/>
        </w:rPr>
      </w:pPr>
      <w:r w:rsidRPr="004A30FF">
        <w:rPr>
          <w:rFonts w:ascii="Times New Roman" w:hAnsi="Times New Roman" w:cs="Times New Roman"/>
          <w:sz w:val="24"/>
          <w:szCs w:val="24"/>
        </w:rPr>
        <w:t xml:space="preserve">В резултат на проведената инвентаризация е възможно да бъдат установени различни състояния. Когато е налице пълно съответствие между фактическата наличност на активите и пасивите и данните, отразени в счетоводните регистри, не възниква необходимост от съставяне на счетоводна статия, тъй като не се констатират отклонения. Когато обаче фактическата наличност на активите надвишава отчетената по счетоводни данни стойност, се установява излишък. В този случай следва да се създаде счетоводна информация за заприходяване на актива, като насрещно се отчете увеличение на нетните активи от други </w:t>
      </w:r>
      <w:r w:rsidRPr="004A30FF">
        <w:rPr>
          <w:rFonts w:ascii="Times New Roman" w:hAnsi="Times New Roman" w:cs="Times New Roman"/>
          <w:sz w:val="24"/>
          <w:szCs w:val="24"/>
        </w:rPr>
        <w:lastRenderedPageBreak/>
        <w:t>събития. Оценяването на незаприходения актив се извършва по неговата справедлива стойност към момента на установяване на излишъка.</w:t>
      </w:r>
    </w:p>
    <w:p w14:paraId="565A83BA" w14:textId="77777777" w:rsidR="008B1945" w:rsidRPr="004A30FF" w:rsidRDefault="008B1945" w:rsidP="008B1945">
      <w:pPr>
        <w:spacing w:line="360" w:lineRule="auto"/>
        <w:ind w:firstLine="360"/>
        <w:jc w:val="both"/>
        <w:rPr>
          <w:rFonts w:ascii="Times New Roman" w:hAnsi="Times New Roman" w:cs="Times New Roman"/>
          <w:sz w:val="24"/>
          <w:szCs w:val="24"/>
        </w:rPr>
      </w:pPr>
      <w:r w:rsidRPr="004A30FF">
        <w:rPr>
          <w:rFonts w:ascii="Times New Roman" w:hAnsi="Times New Roman" w:cs="Times New Roman"/>
          <w:sz w:val="24"/>
          <w:szCs w:val="24"/>
        </w:rPr>
        <w:t>Обратната хипотеза е налице тогава, когато фактическата наличност е по-ниска от счетоводно отчетената, което означава, че е установена липса. Тази липса може да бъде с установена вина на материалноотговорното лице или без такава вина. Когато не е доказана вина, липсата се отчита като намаление на нетните активи от други събития, като се отписва съответният актив или се признава неотчетен пасив. Ако липсващият актив е амортизируем, освен балансовата му стойност следва да бъде отписана и начислената до момента амортизация. По този начин счетоводното отразяване обхваща цялостния ефект от отпадането на актива от патримониума на предприятието.</w:t>
      </w:r>
    </w:p>
    <w:p w14:paraId="697C5E6B" w14:textId="77777777" w:rsidR="008B1945" w:rsidRPr="004A30FF" w:rsidRDefault="008B1945" w:rsidP="008B1945">
      <w:pPr>
        <w:spacing w:line="360" w:lineRule="auto"/>
        <w:ind w:firstLine="360"/>
        <w:jc w:val="both"/>
        <w:rPr>
          <w:rFonts w:ascii="Times New Roman" w:hAnsi="Times New Roman" w:cs="Times New Roman"/>
          <w:sz w:val="24"/>
          <w:szCs w:val="24"/>
        </w:rPr>
      </w:pPr>
      <w:r w:rsidRPr="004A30FF">
        <w:rPr>
          <w:rFonts w:ascii="Times New Roman" w:hAnsi="Times New Roman" w:cs="Times New Roman"/>
          <w:sz w:val="24"/>
          <w:szCs w:val="24"/>
        </w:rPr>
        <w:t>Когато за установената липса е доказана вина на материалноотговорното лице, се съставя акт за начет. В този случай счетоводното третиране има двоен характер. От една страна, липсващият актив се отписва по реда, приложим и при липса без вина. От друга страна, възниква вземане от виновното лице, което се отчита като вземане от работници, служители и друг персонал или като вземане от подотчетни лица, в зависимост от конкретния случай. Размерът на начета се определя по по-високата стойност между отчетната и пазарната цена на липсващия актив, а насрещно се отчита приход от неустойки, начети и обезщетения.</w:t>
      </w:r>
    </w:p>
    <w:p w14:paraId="633F25A1" w14:textId="77777777" w:rsidR="008B1945" w:rsidRPr="004A30FF" w:rsidRDefault="008B1945" w:rsidP="008B1945">
      <w:pPr>
        <w:spacing w:line="360" w:lineRule="auto"/>
        <w:ind w:firstLine="360"/>
        <w:jc w:val="both"/>
        <w:rPr>
          <w:rFonts w:ascii="Times New Roman" w:hAnsi="Times New Roman" w:cs="Times New Roman"/>
          <w:sz w:val="24"/>
          <w:szCs w:val="24"/>
        </w:rPr>
      </w:pPr>
      <w:r w:rsidRPr="004A30FF">
        <w:rPr>
          <w:rFonts w:ascii="Times New Roman" w:hAnsi="Times New Roman" w:cs="Times New Roman"/>
          <w:sz w:val="24"/>
          <w:szCs w:val="24"/>
        </w:rPr>
        <w:t>Особено място в инвентаризационния процес заема проверката на разчетните отношения, тоест на вземанията и задълженията. Тя се извършва чрез потвърждаване на техния размер към 31 декември на отчетната година посредством писма за потвърждение, подписани от съответните контрагенти. Тази процедура позволява да се установят неотчетени вземания или задължения, както и разлики между счетоводните данни на предприятието и данните на насрещната страна. При установяване на неотчетено вземане се съставя счетоводна статия за признаване на съответното вземане, като насрещно се отчита увеличение на нетните активи от други събития или съответен приход. Когато е отчетено по-голямо вземане от действителното, разликата се отразява като намаление на нетните активи от други събития. Аналогично, при неотчетен пасив се признава задължение срещу намаление на нетните активи, а при отчетен пасив в по-голям размер от реалния се извършва корекция чрез увеличение на нетните активи от други събития.</w:t>
      </w:r>
    </w:p>
    <w:p w14:paraId="08938DDF" w14:textId="77777777" w:rsidR="008B1945" w:rsidRPr="004A30FF" w:rsidRDefault="008B1945" w:rsidP="008B1945">
      <w:pPr>
        <w:spacing w:line="360" w:lineRule="auto"/>
        <w:ind w:firstLine="360"/>
        <w:jc w:val="both"/>
        <w:rPr>
          <w:rFonts w:ascii="Times New Roman" w:hAnsi="Times New Roman" w:cs="Times New Roman"/>
          <w:sz w:val="24"/>
          <w:szCs w:val="24"/>
        </w:rPr>
      </w:pPr>
      <w:r w:rsidRPr="004A30FF">
        <w:rPr>
          <w:rFonts w:ascii="Times New Roman" w:hAnsi="Times New Roman" w:cs="Times New Roman"/>
          <w:sz w:val="24"/>
          <w:szCs w:val="24"/>
        </w:rPr>
        <w:lastRenderedPageBreak/>
        <w:t>Счетоводните сметки от подгрупа 699 „Намаление на нетните активи от други събития“ и подгрупа 799 „Увеличение на нетните активи от други събития“, чрез които се отразяват резултатите от инвентаризацията, се приключват в кореспонденция със сметка 1201 „Изменение на нетните активи за периода“. Във финансовия отчет тези стойности намират отражение в отчета за приходите и разходите, съответно в групите „Прираст на нетните активи от други събития“ и „Намаление на нетните активи от други събития“. По този начин резултатите от инвентаризацията се включват в общата система на отчетността и оказват влияние върху представянето на финансовото състояние и измененията в нетните активи на бюджетното предприятие.</w:t>
      </w:r>
    </w:p>
    <w:p w14:paraId="6C3215A6" w14:textId="4BE7D1B0" w:rsidR="008B1945" w:rsidRPr="004A30FF" w:rsidRDefault="008B1945" w:rsidP="008B1945">
      <w:pPr>
        <w:spacing w:line="360" w:lineRule="auto"/>
        <w:ind w:firstLine="360"/>
        <w:jc w:val="both"/>
        <w:rPr>
          <w:rFonts w:ascii="Times New Roman" w:hAnsi="Times New Roman" w:cs="Times New Roman"/>
          <w:sz w:val="24"/>
          <w:szCs w:val="24"/>
        </w:rPr>
      </w:pPr>
      <w:r w:rsidRPr="004A30FF">
        <w:rPr>
          <w:rFonts w:ascii="Times New Roman" w:hAnsi="Times New Roman" w:cs="Times New Roman"/>
          <w:sz w:val="24"/>
          <w:szCs w:val="24"/>
        </w:rPr>
        <w:t>В бюджетните предприятия инвентаризацията на активите и пасивите се извършва в нормативно определени срокове, които се различават в зависимост от вида и характера на отчетните обекти</w:t>
      </w:r>
      <w:r w:rsidRPr="004A30FF">
        <w:rPr>
          <w:rStyle w:val="FootnoteReference"/>
          <w:rFonts w:ascii="Times New Roman" w:hAnsi="Times New Roman" w:cs="Times New Roman"/>
          <w:sz w:val="24"/>
          <w:szCs w:val="24"/>
        </w:rPr>
        <w:footnoteReference w:id="33"/>
      </w:r>
      <w:r w:rsidRPr="004A30FF">
        <w:rPr>
          <w:rFonts w:ascii="Times New Roman" w:hAnsi="Times New Roman" w:cs="Times New Roman"/>
          <w:sz w:val="24"/>
          <w:szCs w:val="24"/>
        </w:rPr>
        <w:t>. Дълготрайните материални и нематериални активи подлежат на инвентаризация най-малко веднъж на три години, докато библиотечните книги се инвентаризират най-малко веднъж на пет години. По отношение на активите в употреба, които са били изписани като разход, е установено изискване за инвентаризация най-малко веднъж на две години. Материалните запаси, както и всички останали активи и пасиви, следва да бъдат инвентаризирани най-малко веднъж годишно.</w:t>
      </w:r>
    </w:p>
    <w:p w14:paraId="58757092" w14:textId="77777777" w:rsidR="008B1945" w:rsidRPr="004A30FF" w:rsidRDefault="008B1945" w:rsidP="008B1945">
      <w:pPr>
        <w:spacing w:line="360" w:lineRule="auto"/>
        <w:ind w:firstLine="360"/>
        <w:jc w:val="both"/>
        <w:rPr>
          <w:rFonts w:ascii="Times New Roman" w:hAnsi="Times New Roman" w:cs="Times New Roman"/>
          <w:sz w:val="24"/>
          <w:szCs w:val="24"/>
        </w:rPr>
      </w:pPr>
      <w:r w:rsidRPr="004A30FF">
        <w:rPr>
          <w:rFonts w:ascii="Times New Roman" w:hAnsi="Times New Roman" w:cs="Times New Roman"/>
          <w:sz w:val="24"/>
          <w:szCs w:val="24"/>
        </w:rPr>
        <w:t>Посочените срокове определят минималната периодичност за извършване на инвентаризация, като те имат за цел да осигурят своевременно установяване на фактическото състояние на имуществото и задълженията на бюджетното предприятие. Наред с това, в зависимост от спецификата на дейността, обема на активите и необходимостта от засилен вътрешен контрол, ръководството на съответната бюджетна организация може да вземе решение за прилагане на по-кратки инвентаризационни срокове. По този начин се създава възможност за по-висока степен на контрол, точност и надеждност на счетоводната информация.</w:t>
      </w:r>
    </w:p>
    <w:p w14:paraId="7DADD691" w14:textId="0B60C5EA" w:rsidR="00F70812" w:rsidRPr="004A30FF" w:rsidRDefault="00F70812" w:rsidP="00096383">
      <w:pPr>
        <w:pStyle w:val="ListParagraph"/>
        <w:numPr>
          <w:ilvl w:val="0"/>
          <w:numId w:val="17"/>
        </w:numPr>
        <w:spacing w:line="360" w:lineRule="auto"/>
        <w:jc w:val="both"/>
        <w:rPr>
          <w:rFonts w:ascii="Times New Roman" w:hAnsi="Times New Roman" w:cs="Times New Roman"/>
          <w:sz w:val="24"/>
          <w:szCs w:val="24"/>
        </w:rPr>
      </w:pPr>
      <w:r w:rsidRPr="004A30FF">
        <w:rPr>
          <w:rFonts w:ascii="Times New Roman" w:hAnsi="Times New Roman" w:cs="Times New Roman"/>
          <w:b/>
          <w:bCs/>
          <w:sz w:val="24"/>
          <w:szCs w:val="24"/>
        </w:rPr>
        <w:t xml:space="preserve">Последваща оценка  на активите и пасивите в предприятията от публичния сектор </w:t>
      </w:r>
    </w:p>
    <w:p w14:paraId="79602CDC" w14:textId="63AEA71F" w:rsidR="00096383" w:rsidRPr="004A30FF" w:rsidRDefault="00096383" w:rsidP="00096383">
      <w:pPr>
        <w:spacing w:line="360" w:lineRule="auto"/>
        <w:ind w:firstLine="360"/>
        <w:jc w:val="both"/>
        <w:rPr>
          <w:rFonts w:ascii="Times New Roman" w:hAnsi="Times New Roman" w:cs="Times New Roman"/>
          <w:sz w:val="24"/>
          <w:szCs w:val="24"/>
        </w:rPr>
      </w:pPr>
      <w:r w:rsidRPr="004A30FF">
        <w:rPr>
          <w:rFonts w:ascii="Times New Roman" w:hAnsi="Times New Roman" w:cs="Times New Roman"/>
          <w:sz w:val="24"/>
          <w:szCs w:val="24"/>
        </w:rPr>
        <w:lastRenderedPageBreak/>
        <w:t>Последващата оценка на активите и пасивите в предприятията от публичния сектор представлява съществен елемент от процеса на финансово отчитане и годишно счетоводно приключване. Чрез нея се осигурява периодично преразглеждане на балансовата стойност на отделни отчетни обекти с цел тя да отразява по възможно най-достоверен начин тяхното състояние към датата на съставяне на финансовия отчет. Значението на този процес се свързва пряко с необходимостта от спазване на принципа за вярно и честно представяне на имущественото и финансовото състояние на предприятието, както и на принципа на предпазливостта при счетоводното отчитане</w:t>
      </w:r>
      <w:r w:rsidRPr="004A30FF">
        <w:rPr>
          <w:rStyle w:val="FootnoteReference"/>
          <w:rFonts w:ascii="Times New Roman" w:hAnsi="Times New Roman" w:cs="Times New Roman"/>
          <w:sz w:val="24"/>
          <w:szCs w:val="24"/>
        </w:rPr>
        <w:footnoteReference w:id="34"/>
      </w:r>
      <w:r w:rsidRPr="004A30FF">
        <w:rPr>
          <w:rFonts w:ascii="Times New Roman" w:hAnsi="Times New Roman" w:cs="Times New Roman"/>
          <w:sz w:val="24"/>
          <w:szCs w:val="24"/>
        </w:rPr>
        <w:t>.</w:t>
      </w:r>
    </w:p>
    <w:p w14:paraId="79A5F804" w14:textId="77777777" w:rsidR="00096383" w:rsidRPr="004A30FF" w:rsidRDefault="00096383" w:rsidP="00096383">
      <w:pPr>
        <w:spacing w:line="360" w:lineRule="auto"/>
        <w:ind w:firstLine="360"/>
        <w:jc w:val="both"/>
        <w:rPr>
          <w:rFonts w:ascii="Times New Roman" w:hAnsi="Times New Roman" w:cs="Times New Roman"/>
          <w:sz w:val="24"/>
          <w:szCs w:val="24"/>
        </w:rPr>
      </w:pPr>
      <w:r w:rsidRPr="004A30FF">
        <w:rPr>
          <w:rFonts w:ascii="Times New Roman" w:hAnsi="Times New Roman" w:cs="Times New Roman"/>
          <w:sz w:val="24"/>
          <w:szCs w:val="24"/>
        </w:rPr>
        <w:t>Преоценката на активите и пасивите се разглежда като следващ етап от годишното счетоводно приключване в предприятията от публичния сектор. Тя се извършва по отношение на валутните активи и пасиви, които подлежат на оценяване по курса на Българската народна банка към 31 декември на отчетната година, на материалните запаси, когато тяхната отчетна стойност надвишава справедливата им цена към датата на баланса, както и на други активи, включително дълготрайни материални, нематериални и финансови активи. Основната цел на тази оценка е да се постигне по-реалистично и обективно представяне на активите и пасивите в счетоводния баланс.</w:t>
      </w:r>
    </w:p>
    <w:p w14:paraId="6F28BAA5" w14:textId="77777777" w:rsidR="00096383" w:rsidRPr="004A30FF" w:rsidRDefault="00096383" w:rsidP="00096383">
      <w:pPr>
        <w:spacing w:line="360" w:lineRule="auto"/>
        <w:ind w:firstLine="360"/>
        <w:jc w:val="both"/>
        <w:rPr>
          <w:rFonts w:ascii="Times New Roman" w:hAnsi="Times New Roman" w:cs="Times New Roman"/>
          <w:sz w:val="24"/>
          <w:szCs w:val="24"/>
        </w:rPr>
      </w:pPr>
      <w:r w:rsidRPr="004A30FF">
        <w:rPr>
          <w:rFonts w:ascii="Times New Roman" w:hAnsi="Times New Roman" w:cs="Times New Roman"/>
          <w:sz w:val="24"/>
          <w:szCs w:val="24"/>
        </w:rPr>
        <w:t>Създаването на счетоводна информация за преоценките в бюджетните предприятия има специфичен характер и се осъществява чрез счетоводните сметки от група 780 „Увеличение/намаление на нетните активи от преоценка“ по сметкоплана на бюджетните организации. По тези сметки дебитните обороти отразяват отрицателни преоценки, а кредитните обороти – положителни преоценки. Следователно група 780 изпълнява ролята на основен счетоводен инструмент за отразяване на ефектите от промените в стойността на активите и пасивите.</w:t>
      </w:r>
    </w:p>
    <w:p w14:paraId="088D3C43" w14:textId="77777777" w:rsidR="00096383" w:rsidRPr="004A30FF" w:rsidRDefault="00096383" w:rsidP="00096383">
      <w:pPr>
        <w:spacing w:line="360" w:lineRule="auto"/>
        <w:ind w:firstLine="360"/>
        <w:jc w:val="both"/>
        <w:rPr>
          <w:rFonts w:ascii="Times New Roman" w:hAnsi="Times New Roman" w:cs="Times New Roman"/>
          <w:sz w:val="24"/>
          <w:szCs w:val="24"/>
        </w:rPr>
      </w:pPr>
      <w:r w:rsidRPr="004A30FF">
        <w:rPr>
          <w:rFonts w:ascii="Times New Roman" w:hAnsi="Times New Roman" w:cs="Times New Roman"/>
          <w:sz w:val="24"/>
          <w:szCs w:val="24"/>
        </w:rPr>
        <w:t xml:space="preserve">Когато отчетната стойност на даден актив е по-висока от неговата пазарна или справедлива стойност, е налице необходимост от обезценка. В този случай се съставя счетоводна статия, при която се дебитира съответна сметка от подгрупа 780 „Увеличение/намаление на нетните активи от преоценка“, а се кредитират съответните </w:t>
      </w:r>
      <w:r w:rsidRPr="004A30FF">
        <w:rPr>
          <w:rFonts w:ascii="Times New Roman" w:hAnsi="Times New Roman" w:cs="Times New Roman"/>
          <w:sz w:val="24"/>
          <w:szCs w:val="24"/>
        </w:rPr>
        <w:lastRenderedPageBreak/>
        <w:t>сметки за активи. Това могат да бъдат сметки от раздел 2 „Сметки за дълготрайни материални и нематериални активи“, сметки от раздел 3 „Сметки за материални запаси и конфискувани наличности“, сметки от раздел 4 „Сметки за разчети“, когато се отнася за вземания във валута, както и сметки от група 50 „Парични средства“, когато се касае за валутни парични наличности. Размерът на счетоводната статия се определя от разликата между отчетната стойност и по-ниската пазарна цена или, при валутни позиции, от разликата между отчетната стойност и стойността, формирана по курса на БНБ към 31 декември.</w:t>
      </w:r>
    </w:p>
    <w:p w14:paraId="2D4D949B" w14:textId="77777777" w:rsidR="00096383" w:rsidRPr="004A30FF" w:rsidRDefault="00096383" w:rsidP="00096383">
      <w:pPr>
        <w:spacing w:line="360" w:lineRule="auto"/>
        <w:ind w:firstLine="360"/>
        <w:jc w:val="both"/>
        <w:rPr>
          <w:rFonts w:ascii="Times New Roman" w:hAnsi="Times New Roman" w:cs="Times New Roman"/>
          <w:sz w:val="24"/>
          <w:szCs w:val="24"/>
        </w:rPr>
      </w:pPr>
      <w:r w:rsidRPr="004A30FF">
        <w:rPr>
          <w:rFonts w:ascii="Times New Roman" w:hAnsi="Times New Roman" w:cs="Times New Roman"/>
          <w:sz w:val="24"/>
          <w:szCs w:val="24"/>
        </w:rPr>
        <w:t>Положителната преоценка на активите възниква тогава, когато курсът на Българската народна банка към 31 декември е по-висок от курса, по който са били отчетени съответните валутни вземания или валутни парични средства, както и когато прилагането на подхода за оценяване по справедлива стойност води до по-висока стойност от отчетната. В този случай се дебитират съответните активни сметки, а именно сметки от раздел 2 „Сметки за дълготрайни материални и нематериални активи“, сметки от раздел 3 „Сметки за материални запаси и конфискувани наличности“, сметки от раздел 4 „Сметки за разчети“ за вземания във валута и сметки от група 50 „Парични средства“ за валутни парични средства, като насрещно се кредитира сметка от подгрупа 780 „Увеличение/намаление на нетните активи от преоценка“. По този начин се отчита увеличението в стойността на съответния актив и отражението му върху нетните активи на предприятието.</w:t>
      </w:r>
    </w:p>
    <w:p w14:paraId="144AD5FA" w14:textId="77777777" w:rsidR="00096383" w:rsidRPr="004A30FF" w:rsidRDefault="00096383" w:rsidP="00096383">
      <w:pPr>
        <w:spacing w:line="360" w:lineRule="auto"/>
        <w:ind w:firstLine="360"/>
        <w:jc w:val="both"/>
        <w:rPr>
          <w:rFonts w:ascii="Times New Roman" w:hAnsi="Times New Roman" w:cs="Times New Roman"/>
          <w:sz w:val="24"/>
          <w:szCs w:val="24"/>
        </w:rPr>
      </w:pPr>
      <w:r w:rsidRPr="004A30FF">
        <w:rPr>
          <w:rFonts w:ascii="Times New Roman" w:hAnsi="Times New Roman" w:cs="Times New Roman"/>
          <w:sz w:val="24"/>
          <w:szCs w:val="24"/>
        </w:rPr>
        <w:t>Преоценката на пасивите е свързана предимно с промени в договорно обусловените стойности и с настъпили изменения във валутните курсове по задължения, деноминирани в чуждестранна валута. Когато стойността на дадено задължение намалява към 31 декември на отчетния период, възниква положителна преоценка на пасива. В този случай се дебитира сметката, по която се отчита съответното задължение, а се кредитира сметка 7807 „Преоценки на пасиви“. Обратно, когато стойността на задължението се увеличава, е налице отрицателна преоценка, при която се дебитира сметка 7807 „Преоценки на пасиви“, а се кредитира съответната сметка за отчитане на задължението. Този счетоводен подход позволява коректното отразяване на действителния размер на пасивите към датата на баланса.</w:t>
      </w:r>
    </w:p>
    <w:p w14:paraId="15FF9F3B" w14:textId="77777777" w:rsidR="00096383" w:rsidRPr="004A30FF" w:rsidRDefault="00096383" w:rsidP="00096383">
      <w:pPr>
        <w:spacing w:line="360" w:lineRule="auto"/>
        <w:ind w:firstLine="360"/>
        <w:jc w:val="both"/>
        <w:rPr>
          <w:rFonts w:ascii="Times New Roman" w:hAnsi="Times New Roman" w:cs="Times New Roman"/>
          <w:sz w:val="24"/>
          <w:szCs w:val="24"/>
        </w:rPr>
      </w:pPr>
      <w:r w:rsidRPr="004A30FF">
        <w:rPr>
          <w:rFonts w:ascii="Times New Roman" w:hAnsi="Times New Roman" w:cs="Times New Roman"/>
          <w:sz w:val="24"/>
          <w:szCs w:val="24"/>
        </w:rPr>
        <w:lastRenderedPageBreak/>
        <w:t>Особено внимание следва да се обърне на валутните активи и пасиви, които в края на отчетния период задължително се преоценяват по курса на Българската народна банка за съответната валута към 31 декември. Това изискване произтича от счетоводното законодателство и има за цел да осигури актуално и обективно представяне на валутните позиции в годишния финансов отчет. По този начин се избягва запазването на исторически стойности, които не отразяват реалното финансово състояние на предприятието към края на отчетния период.</w:t>
      </w:r>
    </w:p>
    <w:p w14:paraId="0A8C51E2" w14:textId="77777777" w:rsidR="00096383" w:rsidRPr="004A30FF" w:rsidRDefault="00096383" w:rsidP="00096383">
      <w:pPr>
        <w:spacing w:line="360" w:lineRule="auto"/>
        <w:ind w:firstLine="360"/>
        <w:jc w:val="both"/>
        <w:rPr>
          <w:rFonts w:ascii="Times New Roman" w:hAnsi="Times New Roman" w:cs="Times New Roman"/>
          <w:sz w:val="24"/>
          <w:szCs w:val="24"/>
        </w:rPr>
      </w:pPr>
      <w:r w:rsidRPr="004A30FF">
        <w:rPr>
          <w:rFonts w:ascii="Times New Roman" w:hAnsi="Times New Roman" w:cs="Times New Roman"/>
          <w:sz w:val="24"/>
          <w:szCs w:val="24"/>
        </w:rPr>
        <w:t>В края на отчетния период счетоводните сметки от подгрупа 780 „Увеличение/намаление на нетните активи от преоценка“, включително и сметка 7807 „Преоценки на пасиви“, се приключват в кореспонденция със сметка 1201 „Изменение на нетните активи за периода“. По този начин резултатите от положителните и отрицателните преоценки се отнасят към общото изменение на нетните активи за периода. Във финансовия отчет тези стойности се представят в Отчета за приходите и разходите в група „Промяна в нетните активи от преоценки (нето)“, с което се осигурява пълно и систематизирано представяне на ефекта от последващата оценка върху финансовото състояние на бюджетното предприятие.</w:t>
      </w:r>
    </w:p>
    <w:p w14:paraId="110D83E5" w14:textId="2C9255D6" w:rsidR="00F70812" w:rsidRPr="004A30FF" w:rsidRDefault="00F70812" w:rsidP="0065690F">
      <w:pPr>
        <w:pStyle w:val="ListParagraph"/>
        <w:numPr>
          <w:ilvl w:val="0"/>
          <w:numId w:val="17"/>
        </w:numPr>
        <w:spacing w:line="360" w:lineRule="auto"/>
        <w:jc w:val="both"/>
        <w:rPr>
          <w:rFonts w:ascii="Times New Roman" w:hAnsi="Times New Roman" w:cs="Times New Roman"/>
          <w:sz w:val="24"/>
          <w:szCs w:val="24"/>
        </w:rPr>
      </w:pPr>
      <w:r w:rsidRPr="004A30FF">
        <w:rPr>
          <w:rFonts w:ascii="Times New Roman" w:hAnsi="Times New Roman" w:cs="Times New Roman"/>
          <w:b/>
          <w:bCs/>
          <w:sz w:val="24"/>
          <w:szCs w:val="24"/>
        </w:rPr>
        <w:t>Признаване на разходите и приходите за бъдещи периоди през текущия отчетен период в предприятията от публичния сектор</w:t>
      </w:r>
    </w:p>
    <w:p w14:paraId="2891A96A" w14:textId="6604B37E" w:rsidR="00B556D3" w:rsidRPr="004A30FF" w:rsidRDefault="00B556D3" w:rsidP="00B556D3">
      <w:pPr>
        <w:spacing w:line="360" w:lineRule="auto"/>
        <w:ind w:firstLine="360"/>
        <w:jc w:val="both"/>
        <w:rPr>
          <w:rFonts w:ascii="Times New Roman" w:hAnsi="Times New Roman" w:cs="Times New Roman"/>
          <w:sz w:val="24"/>
          <w:szCs w:val="24"/>
        </w:rPr>
      </w:pPr>
      <w:r w:rsidRPr="004A30FF">
        <w:rPr>
          <w:rFonts w:ascii="Times New Roman" w:hAnsi="Times New Roman" w:cs="Times New Roman"/>
          <w:sz w:val="24"/>
          <w:szCs w:val="24"/>
        </w:rPr>
        <w:t>Специфична особеност на счетоводството в бюджетните предприятия е начинът, по който се отчитат приходите и разходите, отнасящи се до бъдещи отчетни периоди</w:t>
      </w:r>
      <w:r w:rsidRPr="004A30FF">
        <w:rPr>
          <w:rStyle w:val="FootnoteReference"/>
          <w:rFonts w:ascii="Times New Roman" w:hAnsi="Times New Roman" w:cs="Times New Roman"/>
          <w:sz w:val="24"/>
          <w:szCs w:val="24"/>
        </w:rPr>
        <w:footnoteReference w:id="35"/>
      </w:r>
      <w:r w:rsidRPr="004A30FF">
        <w:rPr>
          <w:rFonts w:ascii="Times New Roman" w:hAnsi="Times New Roman" w:cs="Times New Roman"/>
          <w:sz w:val="24"/>
          <w:szCs w:val="24"/>
        </w:rPr>
        <w:t>. При възникването си тези суми не се признават непосредствено като текущи приходи или текущи разходи, а се отразяват като разчети, като разходите се третират като бъдещо вземане, а приходите – като бъдещо задължение. Този подход е обусловен от необходимостта да се спази принципът за точното разпределение на приходите и разходите между отделните отчетни периоди. Поради това е целесъобразно още при първоначалното им начисляване да се изготвя погасителен план, който да осигури правилното им разпределяне по месеци и тяхното последователно признаване като текущи елементи на финансовия резултат.</w:t>
      </w:r>
    </w:p>
    <w:p w14:paraId="771CFECD" w14:textId="77777777" w:rsidR="00B556D3" w:rsidRPr="004A30FF" w:rsidRDefault="00B556D3" w:rsidP="00B556D3">
      <w:pPr>
        <w:spacing w:line="360" w:lineRule="auto"/>
        <w:ind w:firstLine="360"/>
        <w:jc w:val="both"/>
        <w:rPr>
          <w:rFonts w:ascii="Times New Roman" w:hAnsi="Times New Roman" w:cs="Times New Roman"/>
          <w:sz w:val="24"/>
          <w:szCs w:val="24"/>
        </w:rPr>
      </w:pPr>
      <w:r w:rsidRPr="004A30FF">
        <w:rPr>
          <w:rFonts w:ascii="Times New Roman" w:hAnsi="Times New Roman" w:cs="Times New Roman"/>
          <w:sz w:val="24"/>
          <w:szCs w:val="24"/>
        </w:rPr>
        <w:lastRenderedPageBreak/>
        <w:t>Към 31 декември на отчетния период се извършва признаване на онази част от разходите и приходите за бъдещи периоди, която се отнася до текущата година. Когато се признават разходи за бъдещи периоди като текущи, се съставя счетоводна статия, при която се дебитира съответна сметка от раздел 6 „Сметки за разходи“, а се кредитира съответна сметка от раздел 4 „Сметки за разчети – вземания и задължения“. Когато се признават приходи за бъдещи периоди като текущи, се дебитира съответна сметка от раздел 4 „Сметки за разчети – вземания и задължения“, а се кредитира съответна сметка от раздел 7 „Сметки за приходи, трансфери и преоценки“. Чрез този счетоводен подход се осигурява пълно и точно отразяване на приходите и разходите за текущия отчетен период и се гарантира правилното формиране на отчетния финансов резултат.</w:t>
      </w:r>
    </w:p>
    <w:p w14:paraId="1747B29C" w14:textId="6307AB05" w:rsidR="00B05579" w:rsidRPr="004A30FF" w:rsidRDefault="00B05579" w:rsidP="00B556D3">
      <w:pPr>
        <w:spacing w:line="360" w:lineRule="auto"/>
        <w:ind w:firstLine="360"/>
        <w:jc w:val="both"/>
        <w:rPr>
          <w:rFonts w:ascii="Times New Roman" w:hAnsi="Times New Roman" w:cs="Times New Roman"/>
          <w:b/>
          <w:bCs/>
          <w:sz w:val="24"/>
          <w:szCs w:val="24"/>
        </w:rPr>
      </w:pPr>
      <w:r w:rsidRPr="004A30FF">
        <w:rPr>
          <w:rFonts w:ascii="Times New Roman" w:hAnsi="Times New Roman" w:cs="Times New Roman"/>
          <w:b/>
          <w:bCs/>
          <w:sz w:val="24"/>
          <w:szCs w:val="24"/>
        </w:rPr>
        <w:t>4. Начисляване на провизии за неползван годишен платен отпуск на персонала в предприятията от публичния сектор</w:t>
      </w:r>
    </w:p>
    <w:p w14:paraId="2E6800A0" w14:textId="77777777" w:rsidR="00B556D3" w:rsidRPr="004A30FF" w:rsidRDefault="00B556D3" w:rsidP="00B556D3">
      <w:pPr>
        <w:spacing w:line="360" w:lineRule="auto"/>
        <w:ind w:firstLine="360"/>
        <w:jc w:val="both"/>
        <w:rPr>
          <w:rFonts w:ascii="Times New Roman" w:hAnsi="Times New Roman" w:cs="Times New Roman"/>
          <w:sz w:val="24"/>
          <w:szCs w:val="24"/>
        </w:rPr>
      </w:pPr>
      <w:r w:rsidRPr="004A30FF">
        <w:rPr>
          <w:rFonts w:ascii="Times New Roman" w:hAnsi="Times New Roman" w:cs="Times New Roman"/>
          <w:sz w:val="24"/>
          <w:szCs w:val="24"/>
        </w:rPr>
        <w:t>Отделен и съществен етап от годишното счетоводно приключване в предприятията от публичния сектор е начисляването на провизии. Провизиите представляват специфичен обект на счетоводно отчитане, тъй като се разглеждат като задължения с неопределен размер или срочност. Тяхното признаване в края на отчетния период е израз на принципа на предпазливостта и цели да осигури по-достоверно представяне на бъдещите задължения и очаквани икономически неблагоприятни ефекти. Едно от най-характерните проявления на провизиите в бюджетните предприятия е начисляването на провизии за неизползван годишен платен отпуск на персонала.</w:t>
      </w:r>
    </w:p>
    <w:p w14:paraId="66ECC13B" w14:textId="77777777" w:rsidR="00B556D3" w:rsidRPr="004A30FF" w:rsidRDefault="00B556D3" w:rsidP="00B556D3">
      <w:pPr>
        <w:spacing w:line="360" w:lineRule="auto"/>
        <w:ind w:firstLine="360"/>
        <w:jc w:val="both"/>
        <w:rPr>
          <w:rFonts w:ascii="Times New Roman" w:hAnsi="Times New Roman" w:cs="Times New Roman"/>
          <w:sz w:val="24"/>
          <w:szCs w:val="24"/>
        </w:rPr>
      </w:pPr>
      <w:r w:rsidRPr="004A30FF">
        <w:rPr>
          <w:rFonts w:ascii="Times New Roman" w:hAnsi="Times New Roman" w:cs="Times New Roman"/>
          <w:sz w:val="24"/>
          <w:szCs w:val="24"/>
        </w:rPr>
        <w:t xml:space="preserve">Отчитането на провизиите за неизползван платен отпуск е организирано чрез специално предвидени сметки в сметкоплана на бюджетните организации, а именно сметка 6047 „Разходи за провизии за персонал“, сметка 6048 „Сторнирани разходи за провизии за персонал“ и сметка 4230 „Провизии за бъдещи плащания към персонала“. При начисляване на провизията за неизползван годишен платен отпуск се дебитира сметка 6047 „Разходи за провизии за персонал“, а се кредитира сметка 4230 „Провизии за бъдещи плащания към персонала“, като аналитично се посочва неизползваният годишен платен отпуск. Стойността на тази провизия обикновено се определя въз основа на трудовото възнаграждение за месец декември или ноември на текущата година за съответния служител. В началото на следващия отчетен период вече начислената провизия се отписва, </w:t>
      </w:r>
      <w:r w:rsidRPr="004A30FF">
        <w:rPr>
          <w:rFonts w:ascii="Times New Roman" w:hAnsi="Times New Roman" w:cs="Times New Roman"/>
          <w:sz w:val="24"/>
          <w:szCs w:val="24"/>
        </w:rPr>
        <w:lastRenderedPageBreak/>
        <w:t>като се дебитира сметка 4230 „Провизии за бъдещи плащания към персонала“ с аналитична сметка за неизползван годишен платен отпуск, а се кредитира сметка 6048 „Сторнирани разходи за провизии за персонал“.</w:t>
      </w:r>
    </w:p>
    <w:p w14:paraId="23BDDCBC" w14:textId="77777777" w:rsidR="00B556D3" w:rsidRPr="004A30FF" w:rsidRDefault="00B556D3" w:rsidP="00B556D3">
      <w:pPr>
        <w:spacing w:line="360" w:lineRule="auto"/>
        <w:ind w:firstLine="360"/>
        <w:jc w:val="both"/>
        <w:rPr>
          <w:rFonts w:ascii="Times New Roman" w:hAnsi="Times New Roman" w:cs="Times New Roman"/>
          <w:sz w:val="24"/>
          <w:szCs w:val="24"/>
        </w:rPr>
      </w:pPr>
      <w:r w:rsidRPr="004A30FF">
        <w:rPr>
          <w:rFonts w:ascii="Times New Roman" w:hAnsi="Times New Roman" w:cs="Times New Roman"/>
          <w:sz w:val="24"/>
          <w:szCs w:val="24"/>
        </w:rPr>
        <w:t>Към 31 декември на отчетния период в бюджетните предприятия се начисляват и провизии за вземания и за задължения. И в тази насока сметкопланът предвижда специално обособени счетоводни сметки, чрез които се осигурява надеждно отразяване на тези обекти. За провизиите за вземания се използват сметки от подгрупа 671 „Разходи за провизии за вземания“, подгрупа 491 „Провизии за вземания“, подгрупа 539 „Провизии за предоставени заеми и временна финансова помощ в страната“ и подгрупа 589 „Провизии за предоставени заеми в чужбина“. Когато се установят несъбираеми или трудно събираеми вземания, се начислява разход за провизия, като се дебитира съответна сметка от подгрупа 671 „Разходи за провизии за вземания“, а се кредитира съответна сметка от подгрупа 491 „Провизии за вземания“, или съответна сметка от подгрупа 539 „Провизии за предоставени заеми и временна финансова помощ в страната“, или съответна сметка от подгрупа 589 „Провизии за предоставени заеми в чужбина“ в зависимост от характера на вземането.</w:t>
      </w:r>
    </w:p>
    <w:p w14:paraId="45C9EC24" w14:textId="77777777" w:rsidR="00B556D3" w:rsidRPr="004A30FF" w:rsidRDefault="00B556D3" w:rsidP="00B556D3">
      <w:pPr>
        <w:spacing w:line="360" w:lineRule="auto"/>
        <w:ind w:firstLine="360"/>
        <w:jc w:val="both"/>
        <w:rPr>
          <w:rFonts w:ascii="Times New Roman" w:hAnsi="Times New Roman" w:cs="Times New Roman"/>
          <w:sz w:val="24"/>
          <w:szCs w:val="24"/>
        </w:rPr>
      </w:pPr>
      <w:r w:rsidRPr="004A30FF">
        <w:rPr>
          <w:rFonts w:ascii="Times New Roman" w:hAnsi="Times New Roman" w:cs="Times New Roman"/>
          <w:sz w:val="24"/>
          <w:szCs w:val="24"/>
        </w:rPr>
        <w:t>Що се отнася до провизиите за задължения, за тяхното счетоводно отчитане са предвидени сметка 6791 „Разходи за провизии за други задължения“, сметка 6799 „Сторнирани провизии за други задължения“ и сметка 4940 „Провизии за други задължения“. Когато се начислява провизия за задължение, което представлява текущ разход за отчетния период, се дебитира сметка 6791 „Разходи за провизии за други задължения“, а се кредитира сметка 4940 „Провизии за други задължения“. В края на отчетния период се извършва анализ на размера на вече начислените провизии по конкретните задължения, тъй като под въздействието на ценови, валутни, времеви и други фактори тяхната стойност може да се увеличи или намали. При увеличаване на стойността на провизията за задължения отново се съставя същата счетоводна статия, а именно дебитиране на сметка 6791 „Разходи за провизии за други задължения“ и кредитиране на сметка 4940 „Провизии за други задължения“. Когато стойността на провизираното задължение намалее, се извършва сторниране, при което се дебитира сметка 4940 „Провизии за други задължения“, а се кредитира сметка 6799 „Сторнирани провизии за други задължения“.</w:t>
      </w:r>
    </w:p>
    <w:p w14:paraId="6E7504BB" w14:textId="77777777" w:rsidR="00B556D3" w:rsidRPr="004A30FF" w:rsidRDefault="00B556D3" w:rsidP="00B556D3">
      <w:pPr>
        <w:spacing w:line="360" w:lineRule="auto"/>
        <w:ind w:firstLine="360"/>
        <w:jc w:val="both"/>
        <w:rPr>
          <w:rFonts w:ascii="Times New Roman" w:hAnsi="Times New Roman" w:cs="Times New Roman"/>
          <w:sz w:val="24"/>
          <w:szCs w:val="24"/>
        </w:rPr>
      </w:pPr>
      <w:r w:rsidRPr="004A30FF">
        <w:rPr>
          <w:rFonts w:ascii="Times New Roman" w:hAnsi="Times New Roman" w:cs="Times New Roman"/>
          <w:sz w:val="24"/>
          <w:szCs w:val="24"/>
        </w:rPr>
        <w:lastRenderedPageBreak/>
        <w:t>Счетоводните сметки от подгрупа 671 „Разходи за провизии за вземания“ и от подгрупа 679 „Разходи за провизии за други задължения – нето“, чрез които се отчитат разходите за провизии на вземания и задължения, се приключват в кореспонденция със сметка 1201 „Изменение на нетните активи за периода“. Във финансовия отчет тези суми намират отражение в отчета за приходите и разходите в групата на текущите нелихвени разходи. По този начин начисляването и последващото коригиране на провизиите се включват в общата система на годишното счетоводно приключване и допринасят за по-пълното, предпазливо и достоверно представяне на финансовото състояние на предприятията от публичния сектор.</w:t>
      </w:r>
    </w:p>
    <w:p w14:paraId="12FA2035" w14:textId="24AE29B4" w:rsidR="00F70812" w:rsidRPr="004A30FF" w:rsidRDefault="00887E63" w:rsidP="0065690F">
      <w:pPr>
        <w:spacing w:line="360" w:lineRule="auto"/>
        <w:ind w:firstLine="720"/>
        <w:jc w:val="both"/>
        <w:rPr>
          <w:rFonts w:ascii="Times New Roman" w:hAnsi="Times New Roman" w:cs="Times New Roman"/>
          <w:b/>
          <w:bCs/>
          <w:sz w:val="24"/>
          <w:szCs w:val="24"/>
        </w:rPr>
      </w:pPr>
      <w:r w:rsidRPr="004A30FF">
        <w:rPr>
          <w:rFonts w:ascii="Times New Roman" w:hAnsi="Times New Roman" w:cs="Times New Roman"/>
          <w:b/>
          <w:bCs/>
          <w:sz w:val="24"/>
          <w:szCs w:val="24"/>
        </w:rPr>
        <w:t xml:space="preserve">5. </w:t>
      </w:r>
      <w:r w:rsidR="00F70812" w:rsidRPr="004A30FF">
        <w:rPr>
          <w:rFonts w:ascii="Times New Roman" w:hAnsi="Times New Roman" w:cs="Times New Roman"/>
          <w:b/>
          <w:bCs/>
          <w:sz w:val="24"/>
          <w:szCs w:val="24"/>
        </w:rPr>
        <w:t xml:space="preserve">Отразяване на събития, настъпили между датата на счетоводния баланс и датата на изготвянето му в предприятията от публичния сектор </w:t>
      </w:r>
    </w:p>
    <w:p w14:paraId="20460A6A" w14:textId="3A06457C" w:rsidR="00DF21FF" w:rsidRPr="004A30FF" w:rsidRDefault="00DF21FF" w:rsidP="00DF21FF">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Предприятията изготвят годишния си финансов отчет в срок до 31 март на следващата година. Това обуславя възможността в периода между 31 декември на отчетната година и 31 март на следващата година да настъпят стопански операции и събития, които имат значение за счетоводното отчитане и представянето на финансовото състояние. В счетоводната теория и практика тези събития се разграничават като коригиращи и некоригиращи в зависимост от това дали към края на отчетния период е съществувала информация за тяхното възникване</w:t>
      </w:r>
      <w:r w:rsidRPr="004A30FF">
        <w:rPr>
          <w:rStyle w:val="FootnoteReference"/>
          <w:rFonts w:ascii="Times New Roman" w:hAnsi="Times New Roman" w:cs="Times New Roman"/>
          <w:sz w:val="24"/>
          <w:szCs w:val="24"/>
        </w:rPr>
        <w:footnoteReference w:id="36"/>
      </w:r>
      <w:r w:rsidRPr="004A30FF">
        <w:rPr>
          <w:rFonts w:ascii="Times New Roman" w:hAnsi="Times New Roman" w:cs="Times New Roman"/>
          <w:sz w:val="24"/>
          <w:szCs w:val="24"/>
        </w:rPr>
        <w:t>.</w:t>
      </w:r>
    </w:p>
    <w:p w14:paraId="3A0A3F07" w14:textId="77777777" w:rsidR="00DF21FF" w:rsidRPr="004A30FF" w:rsidRDefault="00DF21FF" w:rsidP="00DF21FF">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Коригиращите събития представляват такива стопански операции и обстоятелства, за които към отчетния период е съществувала информация или основание да бъдат отчетени, но тяхното конкретно проявление или документално потвърждение настъпва в периода между 1 януари и 31 март на следващата година. Некоригиращите събития, от своя страна, са онези стопански операции, които възникват в същия интервал след края на отчетната година, но за които не е съществувала информация към 31 декември. Поради това те не водят до корекция на отчетните данни за приключилия период, а се отнасят към следващия отчетен период.</w:t>
      </w:r>
    </w:p>
    <w:p w14:paraId="3620C410" w14:textId="77777777" w:rsidR="00DF21FF" w:rsidRPr="004A30FF" w:rsidRDefault="00DF21FF" w:rsidP="00DF21FF">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Специфичен случай в бюджетните предприятия са приходите и разходите за текущия отчетен период, за които първичните счетоводни документи се получават през месец януари </w:t>
      </w:r>
      <w:r w:rsidRPr="004A30FF">
        <w:rPr>
          <w:rFonts w:ascii="Times New Roman" w:hAnsi="Times New Roman" w:cs="Times New Roman"/>
          <w:sz w:val="24"/>
          <w:szCs w:val="24"/>
        </w:rPr>
        <w:lastRenderedPageBreak/>
        <w:t>на следващата година. Тези обстоятелства не се третират като събития, настъпили между датата на счетоводния баланс и датата на неговото изготвяне. Типични примери в тази насока са разходите за електроенергия, телефонни услуги, отопление и други подобни услуги, потребени през месец декември, но фактурирани и документирани през януари на следващата година. За тях е установен специфичен ред на счетоводно отчитане, при който се използват сметки от подгрупа 496 „Корективни вземания“ и подгрупа 497 „Корективни задължения“.</w:t>
      </w:r>
    </w:p>
    <w:p w14:paraId="220E6F75" w14:textId="77777777" w:rsidR="00DF21FF" w:rsidRPr="004A30FF" w:rsidRDefault="00DF21FF" w:rsidP="00DF21FF">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Когато към 31 декември следва да бъдат начислени разходи, отнасящи се за текущия отчетен период, но първичните счетоводни документи за тях ще бъдат получени през първите месеци на следващата година, се съставя счетоводна статия, при която се дебитира съответна сметка от група 60 „Разходи по икономически елементи“, а се кредитира съответна сметка от подгрупа 497 „Корективни задължения“. Ако бюджетното предприятие е регистрирано по Закона за данък върху добавената стойност, допълнително се дебитира и счетоводна сметка 4961 „Коректив за вземания от местни лица“ със стойността на данъка върху добавената стойност, за който е налице право на данъчен кредит. Чрез този счетоводен подход разходите се включват в годишния финансов отчет за отчетната година, докато задълженията остават за уреждане през следващата година.</w:t>
      </w:r>
    </w:p>
    <w:p w14:paraId="1ED6A696" w14:textId="77777777" w:rsidR="00DF21FF" w:rsidRPr="004A30FF" w:rsidRDefault="00DF21FF" w:rsidP="00DF21FF">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В началото на следващия отчетен период начисленият коректив по задължения се трансформира в задължение за текущия период. В практиката се прилага и алтернативен подход, при който към 1 януари на новия отчетен период първоначално съставената счетоводна статия се сторнира, след което се отчита обичайно задължение и съответният разход съобразно полученото първично счетоводно основание. И в двата случая целта е да се осигури правилно времево отнасяне на разходите към периода, за който се отнасят, и в същото време да се запази коректността на счетоводното отчитане през следващата година.</w:t>
      </w:r>
    </w:p>
    <w:p w14:paraId="2BC17C1F" w14:textId="77777777" w:rsidR="00DF21FF" w:rsidRPr="004A30FF" w:rsidRDefault="00DF21FF" w:rsidP="00DF21FF">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Аналогичен е подходът и при начисляването на приходи, които се отнасят за текущия отчетен период, но чиито първични счетоводни документи се получават през първите месеци на следващата година. В този случай към 31 декември се съставя счетоводна статия, с която се дебитира съответна сметка от подгрупа 496 „Корективи за вземания“, а се кредитира съответна сметка от раздел 7 „Сметки за приходи, трансфери и преоценки“. Ако бюджетното предприятие е регистрирано по Закона за данък върху добавената стойност, </w:t>
      </w:r>
      <w:r w:rsidRPr="004A30FF">
        <w:rPr>
          <w:rFonts w:ascii="Times New Roman" w:hAnsi="Times New Roman" w:cs="Times New Roman"/>
          <w:sz w:val="24"/>
          <w:szCs w:val="24"/>
        </w:rPr>
        <w:lastRenderedPageBreak/>
        <w:t>допълнително се кредитира и счетоводна сметка 4971 „Коректив за задължения към доставчици – местни лица“ със стойността на данъка върху добавената стойност, отнасящ се до продажбите. По този начин приходите се включват в годишния финансов отчет за отчетната година, докато вземанията остават за събиране през следващата година, когато бъде получен съответният първичен счетоводен документ.</w:t>
      </w:r>
    </w:p>
    <w:p w14:paraId="38C36A82" w14:textId="77777777" w:rsidR="00DF21FF" w:rsidRPr="004A30FF" w:rsidRDefault="00DF21FF" w:rsidP="00DF21FF">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В началото на следващата година начисленият коректив по вземания се трансформира във вземане за текущия отчетен период. Възможно е да се приложи и вариант, при който към 1 януари на новата година първоначално съставената счетоводна статия се сторнира, след което се извършва начисляване на обичайно вземане и съответстващ му приход въз основа на първичния счетоводен документ. По този начин се осигурява едновременно спазване на принципа за независимост на отчетните периоди и вярно представяне на приходите и вземанията в годишния финансов отчет на бюджетното предприятие.</w:t>
      </w:r>
    </w:p>
    <w:p w14:paraId="5DECBE04" w14:textId="7327F6CF" w:rsidR="00222DE3" w:rsidRPr="004A30FF" w:rsidRDefault="00B05579" w:rsidP="00DF21FF">
      <w:pPr>
        <w:spacing w:line="360" w:lineRule="auto"/>
        <w:ind w:firstLine="720"/>
        <w:jc w:val="both"/>
        <w:rPr>
          <w:rFonts w:ascii="Times New Roman" w:hAnsi="Times New Roman" w:cs="Times New Roman"/>
          <w:sz w:val="24"/>
          <w:szCs w:val="24"/>
        </w:rPr>
      </w:pPr>
      <w:r w:rsidRPr="004A30FF">
        <w:rPr>
          <w:rFonts w:ascii="Times New Roman" w:hAnsi="Times New Roman" w:cs="Times New Roman"/>
          <w:b/>
          <w:bCs/>
          <w:sz w:val="24"/>
          <w:szCs w:val="24"/>
        </w:rPr>
        <w:t>6</w:t>
      </w:r>
      <w:r w:rsidR="00DF21FF" w:rsidRPr="004A30FF">
        <w:rPr>
          <w:rFonts w:ascii="Times New Roman" w:hAnsi="Times New Roman" w:cs="Times New Roman"/>
          <w:b/>
          <w:bCs/>
          <w:sz w:val="24"/>
          <w:szCs w:val="24"/>
        </w:rPr>
        <w:t xml:space="preserve">. </w:t>
      </w:r>
      <w:r w:rsidR="00F70812" w:rsidRPr="004A30FF">
        <w:rPr>
          <w:rFonts w:ascii="Times New Roman" w:hAnsi="Times New Roman" w:cs="Times New Roman"/>
          <w:b/>
          <w:bCs/>
          <w:sz w:val="24"/>
          <w:szCs w:val="24"/>
        </w:rPr>
        <w:t>Съставяне на оборотна ведомост в предприятията от публичния сектор</w:t>
      </w:r>
    </w:p>
    <w:p w14:paraId="75EFE842" w14:textId="6A57F1E4" w:rsidR="00DF21FF" w:rsidRPr="004A30FF" w:rsidRDefault="00DF21FF" w:rsidP="00DF21FF">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Преди изготвянето на оборотните ведомости, които подлежат на представяне в Министерството на финансите и Сметната палата, е необходимо да бъдат осчетоводени изчерпателно всички активи и пасиви на бюджетното предприятие, включително задбалансовите позиции, както и всички приходи и разходи, отнасящи се до съответната отчетна година. Това включва и разходите за амортизируемите нефинансови дълготрайни активи</w:t>
      </w:r>
      <w:r w:rsidRPr="004A30FF">
        <w:rPr>
          <w:rStyle w:val="FootnoteReference"/>
          <w:rFonts w:ascii="Times New Roman" w:hAnsi="Times New Roman" w:cs="Times New Roman"/>
          <w:sz w:val="24"/>
          <w:szCs w:val="24"/>
        </w:rPr>
        <w:footnoteReference w:id="37"/>
      </w:r>
      <w:r w:rsidRPr="004A30FF">
        <w:rPr>
          <w:rFonts w:ascii="Times New Roman" w:hAnsi="Times New Roman" w:cs="Times New Roman"/>
          <w:sz w:val="24"/>
          <w:szCs w:val="24"/>
        </w:rPr>
        <w:t>. По този начин се осигурява пълнота на счетоводната информация, която ще послужи като основа за изготвянето на годишните отчетни форми и за последващото им консолидиране.</w:t>
      </w:r>
    </w:p>
    <w:p w14:paraId="0FAE1BC6" w14:textId="77777777" w:rsidR="00DF21FF" w:rsidRPr="004A30FF" w:rsidRDefault="00DF21FF" w:rsidP="00DF21FF">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Преди съставянето на годишната оборотна ведомост следва да бъдат приложени и всички счетоводни процедури, които се извършват в края на отчетния период съгласно изискванията на т. 17.13–17.16, т. 19.7, т. 37 и т. 48–49 от ДДС № 20/2004 г. Наред с това е необходимо частта от наличните към 31.12.2024 г. задължения по дългосрочни дългове, която подлежи на погасяване през следващата година, да бъде прехвърлена по съответните сметки за отчитане на текущия дял на тези задължения, а именно сметки 1523, 1625, 1657, </w:t>
      </w:r>
      <w:r w:rsidRPr="004A30FF">
        <w:rPr>
          <w:rFonts w:ascii="Times New Roman" w:hAnsi="Times New Roman" w:cs="Times New Roman"/>
          <w:sz w:val="24"/>
          <w:szCs w:val="24"/>
        </w:rPr>
        <w:lastRenderedPageBreak/>
        <w:t>1658, 1667, 1669, 1913, 1914, 1923, 1924, 1993 и 1997. По аналогичен начин следва да се процедира и по отношение на вземанията по дългосрочни заеми и временна финансова помощ, като текущият дял от тези вземания, подлежащ на постъпване през 2025 г., се прехвърля по сметки 5317–5319, 5323, 5817–5818 и 5829. Така се постига правилно разграничаване между дългосрочните и краткосрочните елементи на вземанията и задълженията към датата на баланса.</w:t>
      </w:r>
    </w:p>
    <w:p w14:paraId="256C2EB5" w14:textId="77777777" w:rsidR="00DF21FF" w:rsidRPr="004A30FF" w:rsidRDefault="00DF21FF" w:rsidP="00DF21FF">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Към края на 2024 г., преди изготвянето на годишните оборотни ведомости за Министерството на финансите и Сметната палата, следва да бъдат приложени и съответните отчетни процедури съгласно изискванията на раздел V от ДДС № 14/2013 г., включително и по отношение на неусвоените суми от помощи и дарения, предоставени преди 2024 г. Това изискване има съществено значение за правилното счетоводно третиране на средствата със специално предназначение и за точното представяне на тяхното състояние към края на отчетния период.</w:t>
      </w:r>
    </w:p>
    <w:p w14:paraId="42489CF0" w14:textId="77777777" w:rsidR="00DF21FF" w:rsidRPr="004A30FF" w:rsidRDefault="00DF21FF" w:rsidP="00DF21FF">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Съществено изискване е също така през 2024 г. да не са извършвани текущи процедури по приключване на приходните и разходните сметки от раздели 6 и 7 със сметките от групи 11 и 12 на Сметкоплана на бюджетните организации. Ако такива операции все пак са били осъществени, те не следва да се вземат предвид при изготвянето на оборотната ведомост, която първостепенният разпоредител представя в Министерството на финансите и Сметната палата. По този начин се гарантира, че данните в оборотната ведомост ще отразяват състоянието на счетоводните сметки преди окончателните приключвателни операции.</w:t>
      </w:r>
    </w:p>
    <w:p w14:paraId="76B96C17" w14:textId="77777777" w:rsidR="00DF21FF" w:rsidRPr="004A30FF" w:rsidRDefault="00DF21FF" w:rsidP="00DF21FF">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При съставянето на баланса особено внимание следва да се обърне на ред „Изменение на нетните активи за периода“ с шифър 0403, където в колоните за начален баланс, съдържащи данните за предходната година, следва да бъде посочена сумата, представляваща разлика между салдата на сметките от раздели 6 и 7 към 31.12.2023 г. преди извършването на приключвателните операции. По аналогичен начин в колоните за начален баланс на позициите с шифри 0401 и 0402 следва да бъдат отразени салдата по сметките от група 10 и група 11 към 31.12.2023 г., също преди приключвателните операции за 2023 г. Тези изисквания имат значение за правилното формиране на началните стойности в отчета и за осигуряване на съпоставимост между отделните отчетни периоди.</w:t>
      </w:r>
    </w:p>
    <w:p w14:paraId="4274A471" w14:textId="77777777" w:rsidR="00DF21FF" w:rsidRPr="004A30FF" w:rsidRDefault="00DF21FF" w:rsidP="00DF21FF">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lastRenderedPageBreak/>
        <w:t>За целите на консолидирането в Министерството на финансите на счетоводната информация за активите, пасивите, приходите и разходите на бюджетните организации съгласно чл. 167 от Закона за публичните финанси следва да се изготвят оборотни ведомости поотделно за трите отчетни групи, като данните в тях се представят на равнище синтетични счетоводни сметки и отразяват състоянието преди извършването на приключвателните операции. Освен годишните оборотни ведомости, за съответната година подлежи на изготвяне и представяне в Министерството на финансите и друга отчетна информация по реда на чл. 167 от ЗПФ, като за целта се попълват съответните таблици и справки в предвидения файл. В същия файл са включени и годишният баланс, както и отчетът за приходите и разходите.</w:t>
      </w:r>
    </w:p>
    <w:p w14:paraId="0FD56715" w14:textId="77777777" w:rsidR="00DF21FF" w:rsidRPr="004A30FF" w:rsidRDefault="00DF21FF" w:rsidP="00DF21FF">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Представянето на информацията по този ред не освобождава бюджетните организации от задължението да изготвят и представят приложението към годишния финансов отчет съгласно т. 1.4 от Заповед № ЗМФ-1338/2015 г. на министъра на финансите, както и съответните статистически формуляри в съответствие със сроковете и реда, регламентирани в Закона за статистиката. Следователно изискванията за отчетност в публичния сектор имат многопластов характер и включват както финансово-счетоводни, така и статистически ангажименти.</w:t>
      </w:r>
    </w:p>
    <w:p w14:paraId="08E056EA" w14:textId="77777777" w:rsidR="00DF21FF" w:rsidRPr="004A30FF" w:rsidRDefault="00DF21FF" w:rsidP="00DF21FF">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Оборотната ведомост се съставя самостоятелно за всяка от трите отчетни групи – „Бюджет“, „Сметки за средства от Европейския съюз“ и „Други сметки и дейности“, като информацията в нея се представя на ниво синтетични счетоводни сметки. Наред с тези счетоводни регистри се изготвя и отчет за себестойността на дейностите, осъществявани по стопански начин от бюджетните предприятия. Тези дейности през годината се отчитат чрез сметки от група 65 „Разходи за придобиване на активи, текущ и основен ремонт по стопански начин“. И този отчет се съставя отделно за трите отчетни области – „Бюджет“, „Сметки за средства от Европейския съюз“ и „Други сметки и дейности“. Сборните оборотни ведомости и отчетите се представят в Министерството на финансите в установените форма и срокове.</w:t>
      </w:r>
    </w:p>
    <w:p w14:paraId="01404262" w14:textId="53592721" w:rsidR="00200C74" w:rsidRPr="004A30FF" w:rsidRDefault="00DF21FF" w:rsidP="00F4678C">
      <w:pPr>
        <w:tabs>
          <w:tab w:val="left" w:pos="4962"/>
        </w:tabs>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След като Министерството на финансите одобри обобщената оборотна ведомост и останалите изискуеми отчети, представени от първостепенните разпоредители с бюджетни средства, се пристъпва към приключване на счетоводните сметки от раздел 6 „Сметки за </w:t>
      </w:r>
      <w:r w:rsidRPr="004A30FF">
        <w:rPr>
          <w:rFonts w:ascii="Times New Roman" w:hAnsi="Times New Roman" w:cs="Times New Roman"/>
          <w:sz w:val="24"/>
          <w:szCs w:val="24"/>
        </w:rPr>
        <w:lastRenderedPageBreak/>
        <w:t>разходи“ и раздел 7 „Сметки за приходи, трансфери и преоценки“ в кореспонденция със сметка 1201 „Изменение на нетните активи за периода“ в рамките на трите отчетни групи. Именно след осъществяването на тези приключвателни операции на основата на оборотната ведомост се изготвят балансът, отчетът за приходите и разходите, отчетът за касовото изпълнение и съответните приложения към годишния финансов отчет</w:t>
      </w:r>
      <w:r w:rsidR="00B05579" w:rsidRPr="004A30FF">
        <w:rPr>
          <w:rFonts w:ascii="Times New Roman" w:hAnsi="Times New Roman" w:cs="Times New Roman"/>
          <w:sz w:val="24"/>
          <w:szCs w:val="24"/>
        </w:rPr>
        <w:t>.</w:t>
      </w:r>
    </w:p>
    <w:p w14:paraId="11F4870B" w14:textId="6575B5F8" w:rsidR="007C0AF9" w:rsidRPr="004A30FF" w:rsidRDefault="00F70812" w:rsidP="00B05579">
      <w:pPr>
        <w:spacing w:line="360" w:lineRule="auto"/>
        <w:ind w:firstLine="720"/>
        <w:jc w:val="both"/>
        <w:rPr>
          <w:rFonts w:ascii="Times New Roman" w:hAnsi="Times New Roman" w:cs="Times New Roman"/>
          <w:sz w:val="24"/>
          <w:szCs w:val="24"/>
        </w:rPr>
      </w:pPr>
      <w:r w:rsidRPr="004A30FF">
        <w:rPr>
          <w:rFonts w:ascii="Times New Roman" w:hAnsi="Times New Roman" w:cs="Times New Roman"/>
          <w:b/>
          <w:bCs/>
          <w:sz w:val="24"/>
          <w:szCs w:val="24"/>
        </w:rPr>
        <w:t>7. Приключване на счетоводните сметки за отчитане на</w:t>
      </w:r>
      <w:r w:rsidR="000E0A0D" w:rsidRPr="004A30FF">
        <w:rPr>
          <w:rFonts w:ascii="Times New Roman" w:hAnsi="Times New Roman" w:cs="Times New Roman"/>
          <w:b/>
          <w:bCs/>
          <w:sz w:val="24"/>
          <w:szCs w:val="24"/>
        </w:rPr>
        <w:t xml:space="preserve"> </w:t>
      </w:r>
      <w:r w:rsidRPr="004A30FF">
        <w:rPr>
          <w:rFonts w:ascii="Times New Roman" w:hAnsi="Times New Roman" w:cs="Times New Roman"/>
          <w:b/>
          <w:bCs/>
          <w:sz w:val="24"/>
          <w:szCs w:val="24"/>
        </w:rPr>
        <w:t>разходите и приходите в предприятията от публичния сектор</w:t>
      </w:r>
    </w:p>
    <w:p w14:paraId="03AE1E32" w14:textId="5FF84DEA" w:rsidR="00B05579" w:rsidRPr="004A30FF" w:rsidRDefault="00B05579" w:rsidP="00B05579">
      <w:pPr>
        <w:spacing w:line="360" w:lineRule="auto"/>
        <w:ind w:firstLine="360"/>
        <w:jc w:val="both"/>
        <w:rPr>
          <w:rFonts w:ascii="Times New Roman" w:hAnsi="Times New Roman" w:cs="Times New Roman"/>
          <w:sz w:val="24"/>
          <w:szCs w:val="24"/>
        </w:rPr>
      </w:pPr>
      <w:r w:rsidRPr="004A30FF">
        <w:rPr>
          <w:rFonts w:ascii="Times New Roman" w:hAnsi="Times New Roman" w:cs="Times New Roman"/>
          <w:sz w:val="24"/>
          <w:szCs w:val="24"/>
        </w:rPr>
        <w:t>Приключването на счетоводните сметки за отчитане на разходите и приходите в предприятията от публичния сектор представлява заключителен етап от годишното счетоводно приключване. То се извършва от бюджетната организация едва след като е осигурена необходимата информация за изготвянето на оборотната ведомост, както и отчетната информация, подлежаща на представяне съгласно съответните нормативни изисквания. Това означава, че приключвателните операции не следва да предхождат формирането на пълната счетоводна база за съставяне на годишните отчетни форми, а напротив – те се осъществяват след окончателното обобщаване на данните за отчетния период</w:t>
      </w:r>
      <w:r w:rsidRPr="004A30FF">
        <w:rPr>
          <w:rStyle w:val="FootnoteReference"/>
          <w:rFonts w:ascii="Times New Roman" w:hAnsi="Times New Roman" w:cs="Times New Roman"/>
          <w:sz w:val="24"/>
          <w:szCs w:val="24"/>
        </w:rPr>
        <w:footnoteReference w:id="38"/>
      </w:r>
      <w:r w:rsidRPr="004A30FF">
        <w:rPr>
          <w:rFonts w:ascii="Times New Roman" w:hAnsi="Times New Roman" w:cs="Times New Roman"/>
          <w:sz w:val="24"/>
          <w:szCs w:val="24"/>
        </w:rPr>
        <w:t>.</w:t>
      </w:r>
    </w:p>
    <w:p w14:paraId="49C915B1" w14:textId="77777777" w:rsidR="00B05579" w:rsidRPr="004A30FF" w:rsidRDefault="00B05579" w:rsidP="00B05579">
      <w:pPr>
        <w:spacing w:line="360" w:lineRule="auto"/>
        <w:ind w:firstLine="360"/>
        <w:jc w:val="both"/>
        <w:rPr>
          <w:rFonts w:ascii="Times New Roman" w:hAnsi="Times New Roman" w:cs="Times New Roman"/>
          <w:sz w:val="24"/>
          <w:szCs w:val="24"/>
        </w:rPr>
      </w:pPr>
      <w:r w:rsidRPr="004A30FF">
        <w:rPr>
          <w:rFonts w:ascii="Times New Roman" w:hAnsi="Times New Roman" w:cs="Times New Roman"/>
          <w:sz w:val="24"/>
          <w:szCs w:val="24"/>
        </w:rPr>
        <w:t>Самото приключване на счетоводните сметки се извършва при спазване на приложимите изисквания за съответните сметки, регламентирани в т. 56–58 и т. 59.7–59.9 от ДДС № 20/2004 г. В този процес всички сметки от раздели 6 и 7 на Сметкоплана на бюджетните организации, във всяка от трите отчетни групи, се приключват със сметка 1201 „Изменение на нетните активи за периода“. По този начин всички отчетени през периода разходи, приходи, трансфери и преоценки се отнасят към изменението на нетните активи, което осигурява завършеност на отчетния процес и позволява формирането на крайния финансов резултат за съответната отчетна група.</w:t>
      </w:r>
    </w:p>
    <w:p w14:paraId="4252039D" w14:textId="77777777" w:rsidR="00B05579" w:rsidRPr="004A30FF" w:rsidRDefault="00B05579" w:rsidP="00B05579">
      <w:pPr>
        <w:spacing w:line="360" w:lineRule="auto"/>
        <w:ind w:firstLine="360"/>
        <w:jc w:val="both"/>
        <w:rPr>
          <w:rFonts w:ascii="Times New Roman" w:hAnsi="Times New Roman" w:cs="Times New Roman"/>
          <w:sz w:val="24"/>
          <w:szCs w:val="24"/>
        </w:rPr>
      </w:pPr>
      <w:r w:rsidRPr="004A30FF">
        <w:rPr>
          <w:rFonts w:ascii="Times New Roman" w:hAnsi="Times New Roman" w:cs="Times New Roman"/>
          <w:sz w:val="24"/>
          <w:szCs w:val="24"/>
        </w:rPr>
        <w:t xml:space="preserve">След приключването на сметките от раздели 6 и 7 със сметка 1201, самата сметка 1201 също подлежи на приключване във всяка от трите отчетни групи, като се приключва със </w:t>
      </w:r>
      <w:r w:rsidRPr="004A30FF">
        <w:rPr>
          <w:rFonts w:ascii="Times New Roman" w:hAnsi="Times New Roman" w:cs="Times New Roman"/>
          <w:sz w:val="24"/>
          <w:szCs w:val="24"/>
        </w:rPr>
        <w:lastRenderedPageBreak/>
        <w:t>сметка 1101. По този начин резултатът от текущия отчетен период се отразява в структурата на нетните активи на предприятието и се осигурява връзка между текущото изменение и натрупаното състояние на нетните активи.</w:t>
      </w:r>
    </w:p>
    <w:p w14:paraId="5F616F7B" w14:textId="77777777" w:rsidR="00B05579" w:rsidRPr="004A30FF" w:rsidRDefault="00B05579" w:rsidP="00B05579">
      <w:pPr>
        <w:spacing w:line="360" w:lineRule="auto"/>
        <w:ind w:firstLine="360"/>
        <w:jc w:val="both"/>
        <w:rPr>
          <w:rFonts w:ascii="Times New Roman" w:hAnsi="Times New Roman" w:cs="Times New Roman"/>
          <w:sz w:val="24"/>
          <w:szCs w:val="24"/>
        </w:rPr>
      </w:pPr>
      <w:r w:rsidRPr="004A30FF">
        <w:rPr>
          <w:rFonts w:ascii="Times New Roman" w:hAnsi="Times New Roman" w:cs="Times New Roman"/>
          <w:sz w:val="24"/>
          <w:szCs w:val="24"/>
        </w:rPr>
        <w:t>Наред с това сметките от подгрупи 980, 986 и 994 също се приключват и в трите отчетни групи, като за тяхното приключване се използва сметка 9989. Това изискване е част от общата логика на годишното счетоводно приключване и има за цел да осигури коректно закриване на всички временни счетоводни позиции, които следва да бъдат приключени към края на отчетния период.</w:t>
      </w:r>
    </w:p>
    <w:p w14:paraId="49FDE986" w14:textId="5224B93A" w:rsidR="00B05579" w:rsidRPr="004A30FF" w:rsidRDefault="00B05579" w:rsidP="00B05579">
      <w:pPr>
        <w:spacing w:line="360" w:lineRule="auto"/>
        <w:ind w:firstLine="360"/>
        <w:jc w:val="both"/>
        <w:rPr>
          <w:rFonts w:ascii="Times New Roman" w:hAnsi="Times New Roman" w:cs="Times New Roman"/>
          <w:sz w:val="24"/>
          <w:szCs w:val="24"/>
        </w:rPr>
      </w:pPr>
      <w:r w:rsidRPr="004A30FF">
        <w:rPr>
          <w:rFonts w:ascii="Times New Roman" w:hAnsi="Times New Roman" w:cs="Times New Roman"/>
          <w:sz w:val="24"/>
          <w:szCs w:val="24"/>
        </w:rPr>
        <w:t>ИЗВОДИ ПО ВТОРА ГЛАВА</w:t>
      </w:r>
    </w:p>
    <w:p w14:paraId="64C153E1" w14:textId="77777777" w:rsidR="00150430" w:rsidRPr="004A30FF" w:rsidRDefault="00150430" w:rsidP="00150430">
      <w:pPr>
        <w:pStyle w:val="ListParagraph"/>
        <w:numPr>
          <w:ilvl w:val="0"/>
          <w:numId w:val="27"/>
        </w:numPr>
        <w:spacing w:line="360" w:lineRule="auto"/>
        <w:jc w:val="both"/>
        <w:rPr>
          <w:rFonts w:ascii="Times New Roman" w:hAnsi="Times New Roman" w:cs="Times New Roman"/>
          <w:sz w:val="24"/>
          <w:szCs w:val="24"/>
        </w:rPr>
      </w:pPr>
      <w:r w:rsidRPr="004A30FF">
        <w:rPr>
          <w:rFonts w:ascii="Times New Roman" w:hAnsi="Times New Roman" w:cs="Times New Roman"/>
          <w:sz w:val="24"/>
          <w:szCs w:val="24"/>
        </w:rPr>
        <w:t>Годишното счетоводно приключване в предприятията от публичния сектор представлява последователен процес по обобщаване, проверка, коригиране и приключване на счетоводната информация за отчетната година. Неговата основна цел е да осигури вярно и честно представяне на имущественото и финансовото състояние на предприятието, изпълнението на бюджета и измененията в паричните потоци.</w:t>
      </w:r>
    </w:p>
    <w:p w14:paraId="0A4D02B0" w14:textId="77777777" w:rsidR="00150430" w:rsidRPr="004A30FF" w:rsidRDefault="00150430" w:rsidP="00150430">
      <w:pPr>
        <w:pStyle w:val="ListParagraph"/>
        <w:numPr>
          <w:ilvl w:val="0"/>
          <w:numId w:val="27"/>
        </w:numPr>
        <w:spacing w:line="360" w:lineRule="auto"/>
        <w:jc w:val="both"/>
        <w:rPr>
          <w:rFonts w:ascii="Times New Roman" w:hAnsi="Times New Roman" w:cs="Times New Roman"/>
          <w:sz w:val="24"/>
          <w:szCs w:val="24"/>
        </w:rPr>
      </w:pPr>
      <w:r w:rsidRPr="004A30FF">
        <w:rPr>
          <w:rFonts w:ascii="Times New Roman" w:hAnsi="Times New Roman" w:cs="Times New Roman"/>
          <w:sz w:val="24"/>
          <w:szCs w:val="24"/>
        </w:rPr>
        <w:t>Процесът включва извършване на инвентаризация на активите и пасивите, последваща оценка и преоценка при необходимост, начисляване на приходи и разходи за текущия период, както и отразяване на провизии, корективи и други специфични счетоводни операции. По този начин се гарантира, че всички стопански факти, отнасящи се до отчетната година, са правилно признати и представени.</w:t>
      </w:r>
    </w:p>
    <w:p w14:paraId="6ED6C530" w14:textId="77777777" w:rsidR="00150430" w:rsidRPr="004A30FF" w:rsidRDefault="00150430" w:rsidP="00150430">
      <w:pPr>
        <w:pStyle w:val="ListParagraph"/>
        <w:numPr>
          <w:ilvl w:val="0"/>
          <w:numId w:val="27"/>
        </w:numPr>
        <w:spacing w:line="360" w:lineRule="auto"/>
        <w:jc w:val="both"/>
        <w:rPr>
          <w:rFonts w:ascii="Times New Roman" w:hAnsi="Times New Roman" w:cs="Times New Roman"/>
          <w:sz w:val="24"/>
          <w:szCs w:val="24"/>
        </w:rPr>
      </w:pPr>
      <w:r w:rsidRPr="004A30FF">
        <w:rPr>
          <w:rFonts w:ascii="Times New Roman" w:hAnsi="Times New Roman" w:cs="Times New Roman"/>
          <w:sz w:val="24"/>
          <w:szCs w:val="24"/>
        </w:rPr>
        <w:t>Преди съставянето на годишната оборотна ведомост следва да бъдат осчетоводени всички активи, пасиви, приходи и разходи, включително задбалансовите позиции и специфичните корекции, изисквани от нормативната уредба. Оборотните ведомости се изготвят отделно за трите отчетни групи – „Бюджет“, „Сметки за средства от Европейския съюз“ и „Други сметки и дейности“, като служат за основа за консолидиране и изготвяне на годишния финансов отчет.</w:t>
      </w:r>
    </w:p>
    <w:p w14:paraId="479ED840" w14:textId="735DC18A" w:rsidR="00150430" w:rsidRPr="004A30FF" w:rsidRDefault="00150430" w:rsidP="00150430">
      <w:pPr>
        <w:pStyle w:val="ListParagraph"/>
        <w:numPr>
          <w:ilvl w:val="0"/>
          <w:numId w:val="27"/>
        </w:numPr>
        <w:spacing w:line="360" w:lineRule="auto"/>
        <w:jc w:val="both"/>
        <w:rPr>
          <w:rFonts w:ascii="Times New Roman" w:hAnsi="Times New Roman" w:cs="Times New Roman"/>
          <w:sz w:val="24"/>
          <w:szCs w:val="24"/>
        </w:rPr>
      </w:pPr>
      <w:r w:rsidRPr="004A30FF">
        <w:rPr>
          <w:rFonts w:ascii="Times New Roman" w:hAnsi="Times New Roman" w:cs="Times New Roman"/>
          <w:sz w:val="24"/>
          <w:szCs w:val="24"/>
        </w:rPr>
        <w:t xml:space="preserve">След одобряване на необходимата отчетна информация се извършва приключване на сметките за разходи и приходи, като те се приключват със сметка 1201 </w:t>
      </w:r>
      <w:r w:rsidRPr="004A30FF">
        <w:rPr>
          <w:rFonts w:ascii="Times New Roman" w:hAnsi="Times New Roman" w:cs="Times New Roman"/>
          <w:sz w:val="24"/>
          <w:szCs w:val="24"/>
        </w:rPr>
        <w:lastRenderedPageBreak/>
        <w:t>„Изменение на нетните активи за периода“, а впоследствие и със сметка 1101. На тази основа се изготвят балансът, отчетът за приходите и разходите, отчетът за касовото изпълнение и приложенията към годишния финансов отчет. Така годишното счетоводно приключване осигурява цялостна и нормативно съобразена отчетна информация за дейността на предприятията от публичния сектор.</w:t>
      </w:r>
    </w:p>
    <w:p w14:paraId="47F4734A" w14:textId="77777777" w:rsidR="00B05579" w:rsidRPr="004A30FF" w:rsidRDefault="00B05579" w:rsidP="00B05579">
      <w:pPr>
        <w:spacing w:line="360" w:lineRule="auto"/>
        <w:ind w:firstLine="360"/>
        <w:jc w:val="both"/>
        <w:rPr>
          <w:rFonts w:ascii="Times New Roman" w:hAnsi="Times New Roman" w:cs="Times New Roman"/>
          <w:sz w:val="24"/>
          <w:szCs w:val="24"/>
        </w:rPr>
      </w:pPr>
    </w:p>
    <w:p w14:paraId="5985F983" w14:textId="77777777" w:rsidR="00B05579" w:rsidRPr="004A30FF" w:rsidRDefault="00B05579" w:rsidP="00B05579">
      <w:pPr>
        <w:spacing w:line="360" w:lineRule="auto"/>
        <w:ind w:firstLine="360"/>
        <w:jc w:val="both"/>
        <w:rPr>
          <w:rFonts w:ascii="Times New Roman" w:hAnsi="Times New Roman" w:cs="Times New Roman"/>
          <w:sz w:val="24"/>
          <w:szCs w:val="24"/>
        </w:rPr>
      </w:pPr>
    </w:p>
    <w:p w14:paraId="23EC2497" w14:textId="77777777" w:rsidR="00B05579" w:rsidRPr="004A30FF" w:rsidRDefault="00B05579">
      <w:pPr>
        <w:rPr>
          <w:rFonts w:ascii="Times New Roman" w:hAnsi="Times New Roman" w:cs="Times New Roman"/>
          <w:b/>
          <w:bCs/>
          <w:sz w:val="24"/>
          <w:szCs w:val="24"/>
        </w:rPr>
      </w:pPr>
      <w:r w:rsidRPr="004A30FF">
        <w:rPr>
          <w:rFonts w:ascii="Times New Roman" w:hAnsi="Times New Roman" w:cs="Times New Roman"/>
          <w:b/>
          <w:bCs/>
          <w:sz w:val="24"/>
          <w:szCs w:val="24"/>
        </w:rPr>
        <w:br w:type="page"/>
      </w:r>
    </w:p>
    <w:p w14:paraId="00273596" w14:textId="51546ECE" w:rsidR="00940CF0" w:rsidRPr="004A30FF" w:rsidRDefault="00B05579" w:rsidP="00ED5A98">
      <w:pPr>
        <w:spacing w:line="360" w:lineRule="auto"/>
        <w:ind w:firstLine="720"/>
        <w:jc w:val="center"/>
        <w:rPr>
          <w:rFonts w:ascii="Times New Roman" w:hAnsi="Times New Roman" w:cs="Times New Roman"/>
          <w:b/>
          <w:bCs/>
          <w:sz w:val="24"/>
          <w:szCs w:val="24"/>
        </w:rPr>
      </w:pPr>
      <w:r w:rsidRPr="004A30FF">
        <w:rPr>
          <w:rFonts w:ascii="Times New Roman" w:hAnsi="Times New Roman" w:cs="Times New Roman"/>
          <w:b/>
          <w:bCs/>
          <w:sz w:val="24"/>
          <w:szCs w:val="24"/>
        </w:rPr>
        <w:lastRenderedPageBreak/>
        <w:t xml:space="preserve">ТРЕТА ГЛАВА. </w:t>
      </w:r>
      <w:r w:rsidR="00940CF0" w:rsidRPr="004A30FF">
        <w:rPr>
          <w:rFonts w:ascii="Times New Roman" w:hAnsi="Times New Roman" w:cs="Times New Roman"/>
          <w:b/>
          <w:bCs/>
          <w:sz w:val="24"/>
          <w:szCs w:val="24"/>
        </w:rPr>
        <w:t xml:space="preserve">ГОДИШНО СЧЕТОВОДНО ПРИКЛЮЧВАНЕ </w:t>
      </w:r>
      <w:r w:rsidR="009D4683" w:rsidRPr="004A30FF">
        <w:rPr>
          <w:rFonts w:ascii="Times New Roman" w:hAnsi="Times New Roman" w:cs="Times New Roman"/>
          <w:b/>
          <w:bCs/>
          <w:sz w:val="24"/>
          <w:szCs w:val="24"/>
        </w:rPr>
        <w:t xml:space="preserve">В </w:t>
      </w:r>
      <w:r w:rsidR="00940CF0" w:rsidRPr="004A30FF">
        <w:rPr>
          <w:rFonts w:ascii="Times New Roman" w:hAnsi="Times New Roman" w:cs="Times New Roman"/>
          <w:b/>
          <w:bCs/>
          <w:sz w:val="24"/>
          <w:szCs w:val="24"/>
        </w:rPr>
        <w:t>ДЕТСКА ГРАДИНА „ОСМИ МАРТ“ ГР. РАДОМИР</w:t>
      </w:r>
    </w:p>
    <w:p w14:paraId="7CEB29D8" w14:textId="077129C1" w:rsidR="00F4678C" w:rsidRPr="004A30FF" w:rsidRDefault="009D4683" w:rsidP="00110F42">
      <w:pPr>
        <w:pStyle w:val="ListParagraph"/>
        <w:numPr>
          <w:ilvl w:val="0"/>
          <w:numId w:val="28"/>
        </w:numPr>
        <w:spacing w:line="360" w:lineRule="auto"/>
        <w:jc w:val="both"/>
        <w:rPr>
          <w:rFonts w:ascii="Times New Roman" w:hAnsi="Times New Roman" w:cs="Times New Roman"/>
          <w:sz w:val="24"/>
          <w:szCs w:val="24"/>
        </w:rPr>
      </w:pPr>
      <w:r w:rsidRPr="004A30FF">
        <w:rPr>
          <w:rFonts w:ascii="Times New Roman" w:hAnsi="Times New Roman" w:cs="Times New Roman"/>
          <w:b/>
          <w:bCs/>
          <w:sz w:val="24"/>
          <w:szCs w:val="24"/>
        </w:rPr>
        <w:t>Анализ на годишното счетоводно приключване в детска градина „Осми март“ гр. Радомир</w:t>
      </w:r>
      <w:r w:rsidR="00110F42" w:rsidRPr="004A30FF">
        <w:rPr>
          <w:rFonts w:ascii="Times New Roman" w:hAnsi="Times New Roman" w:cs="Times New Roman"/>
          <w:b/>
          <w:bCs/>
          <w:sz w:val="24"/>
          <w:szCs w:val="24"/>
        </w:rPr>
        <w:t xml:space="preserve"> за 2023 г.</w:t>
      </w:r>
    </w:p>
    <w:p w14:paraId="40135CE0"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Годишното счетоводно приключване на ДГ „Осми март“ гр. Радомир за 2023 г. отразява основните характеристики на счетоводството на бюджетно предприятие, чиято дейност е организирана в рамките на публичния сектор и е насочена към изпълнение на делегирана от държавата образователна функция. От представените счетоводни данни може да се направи извод, че през отчетния период е осъществявано текущо, сравнително пълно и систематизирано счетоводно отчитане на активите, пасивите, разходите, приходите, трансферите и задбалансовите ангажименти. Наред с това обаче данните позволяват да се откроят и някои ограничения, свързани с липсата на част от приключвателните операции в представената извадка, както и с определени несъответствия във визуализацията на някои крайни салда.</w:t>
      </w:r>
    </w:p>
    <w:p w14:paraId="41DEC6A8" w14:textId="77777777" w:rsidR="00110F42" w:rsidRPr="004A30FF" w:rsidRDefault="00110F42" w:rsidP="00110F42">
      <w:pPr>
        <w:spacing w:line="360" w:lineRule="auto"/>
        <w:ind w:firstLine="720"/>
        <w:jc w:val="both"/>
        <w:rPr>
          <w:rFonts w:ascii="Times New Roman" w:hAnsi="Times New Roman" w:cs="Times New Roman"/>
          <w:b/>
          <w:bCs/>
          <w:sz w:val="24"/>
          <w:szCs w:val="24"/>
        </w:rPr>
      </w:pPr>
      <w:r w:rsidRPr="004A30FF">
        <w:rPr>
          <w:rFonts w:ascii="Times New Roman" w:hAnsi="Times New Roman" w:cs="Times New Roman"/>
          <w:b/>
          <w:bCs/>
          <w:sz w:val="24"/>
          <w:szCs w:val="24"/>
        </w:rPr>
        <w:t>Обща характеристика на отчетната информация</w:t>
      </w:r>
    </w:p>
    <w:p w14:paraId="1A77E73C"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Представените данни обхващат главна книга към месец декември 2023 г. с натрупване, което означава, че са включени началните салда, оборотите за периода и крайните салда по основни синтетични сметки. Към това е приложен и отчет за бюджета към декември 2023 г., който отразява касовото изпълнение на разходите и приходите по параграфи. Това дава възможност да се анализират едновременно начисленото счетоводно отчитане и бюджетното изпълнение на детската градина.</w:t>
      </w:r>
    </w:p>
    <w:p w14:paraId="04EEB83A"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Финансовата информация показва, че през 2023 г. детската градина е функционирала предимно като бюджетно финансирана институция, като основната част от средствата са постъпили под формата на вътрешни трансфери в системата на първостепенния разпоредител. Разходите са концентрирани главно в областта на възнагражденията на персонала, осигурителните вноски, издръжката на дейността, храната, консумативите, външните услуги и частично в придобиването на дълготрайни активи.</w:t>
      </w:r>
    </w:p>
    <w:p w14:paraId="551E2ADD" w14:textId="77777777" w:rsidR="00110F42" w:rsidRPr="004A30FF" w:rsidRDefault="00110F42" w:rsidP="00110F42">
      <w:pPr>
        <w:spacing w:line="360" w:lineRule="auto"/>
        <w:ind w:firstLine="720"/>
        <w:jc w:val="both"/>
        <w:rPr>
          <w:rFonts w:ascii="Times New Roman" w:hAnsi="Times New Roman" w:cs="Times New Roman"/>
          <w:b/>
          <w:bCs/>
          <w:sz w:val="24"/>
          <w:szCs w:val="24"/>
        </w:rPr>
      </w:pPr>
      <w:r w:rsidRPr="004A30FF">
        <w:rPr>
          <w:rFonts w:ascii="Times New Roman" w:hAnsi="Times New Roman" w:cs="Times New Roman"/>
          <w:b/>
          <w:bCs/>
          <w:sz w:val="24"/>
          <w:szCs w:val="24"/>
        </w:rPr>
        <w:t>Анализ на капитала и нетните активи</w:t>
      </w:r>
    </w:p>
    <w:p w14:paraId="015F370E"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lastRenderedPageBreak/>
        <w:t>В счетоводната система на детската градина са отчетени два основни елемента на капитала и нетните активи. По сметка 1001 „Разполагаем капитал“ е отчетено крайно кредитно салдо в размер на 183 418,60 лв. По сметка 1101 „Акумулирано изменение на нетните активи“ е налице крайно кредитно салдо в размер на 59 819,27 лв. Тези показатели показват, че към края на отчетния период предприятието разполага с формирани нетни активи, отразени както чрез първоначалния капиталов компонент, така и чрез натрупания ефект от дейността през предходни периоди.</w:t>
      </w:r>
    </w:p>
    <w:p w14:paraId="3CCFD49A"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Това е типично за бюджетно предприятие, при което сметките за капитал и нетни активи изпълняват функцията на носител на натрупания финансов резултат и на отчетените във времето изменения. В представената извадка не се виждат приключвателни операции по сметка 1201 „Изменение на нетните активи за периода“, което означава, че анализът се основава на предприключвателните данни от главната книга. Въпреки това е видно, че капиталовата позиция е стабилна и че детската градина не показва признаци на счетоводно декапитализиране.</w:t>
      </w:r>
    </w:p>
    <w:p w14:paraId="0C1BDA7C" w14:textId="77777777" w:rsidR="00110F42" w:rsidRPr="004A30FF" w:rsidRDefault="00110F42" w:rsidP="00110F42">
      <w:pPr>
        <w:spacing w:line="360" w:lineRule="auto"/>
        <w:ind w:firstLine="720"/>
        <w:jc w:val="both"/>
        <w:rPr>
          <w:rFonts w:ascii="Times New Roman" w:hAnsi="Times New Roman" w:cs="Times New Roman"/>
          <w:b/>
          <w:bCs/>
          <w:sz w:val="24"/>
          <w:szCs w:val="24"/>
        </w:rPr>
      </w:pPr>
      <w:r w:rsidRPr="004A30FF">
        <w:rPr>
          <w:rFonts w:ascii="Times New Roman" w:hAnsi="Times New Roman" w:cs="Times New Roman"/>
          <w:b/>
          <w:bCs/>
          <w:sz w:val="24"/>
          <w:szCs w:val="24"/>
        </w:rPr>
        <w:t>Анализ на дълготрайните материални активи</w:t>
      </w:r>
    </w:p>
    <w:p w14:paraId="23999161"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ДГ „Осми март“ разполага със значима материална база, отразена по няколко основни сметки. По сметка 2010 „Прилежащи към сгради и съоръжения земи“ е отчетена стойност 58 140,00 лв. По сметка 2031 „Административни сгради“ е отчетена стойност 203 371,41 лв. По сметка 2041 „Компютри и хардуерно оборудване“ е посочена стойност 5 282,00 лв. По сметка 2049 „Други машини, съоръжения и оборудване“ крайната стойност е 22 774,73 лв., като през периода е отчетено увеличение от 6 900,00 лв. срещу сметка 4010 „Задължения към доставчици в страната“. Това сочи придобиване на ново оборудване през отчетната година.</w:t>
      </w:r>
    </w:p>
    <w:p w14:paraId="556AF0E8"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По сметка 2060 „Стопански инвентар“ е отчетено начално салдо 34 386,58 лв., увеличение чрез сметка 5013 в размер на 4 464,00 лв. и намаление чрез сметка 6146 „Отчетна стойност на продаден стопански инвентар“ в размер на 4 778,16 лв. Счетоводно изчисленият нетен размер след тези движения е 34 072,42 лв. В самия текст обаче крайното салдо е визуализирано със знак минус, което най-вероятно се дължи на начина на извеждане на салдото от програмния продукт, а не на реално отрицателна стойност на актива. </w:t>
      </w:r>
      <w:r w:rsidRPr="004A30FF">
        <w:rPr>
          <w:rFonts w:ascii="Times New Roman" w:hAnsi="Times New Roman" w:cs="Times New Roman"/>
          <w:sz w:val="24"/>
          <w:szCs w:val="24"/>
        </w:rPr>
        <w:lastRenderedPageBreak/>
        <w:t>Икономически правилното тълкуване е, че стопанският инвентар към края на периода е 34 072,42 лв. по отчетна стойност.</w:t>
      </w:r>
    </w:p>
    <w:p w14:paraId="02A8D6BE"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Общата отчетна стойност на основните дълготрайни материални активи, без да се включват амортизациите, възлиза приблизително на 323 568,56 лв., ако се вземат предвид земите, сградите, компютрите, другото оборудване и стопанският инвентар. Това показва, че детската градина разполага с относително добре обособена материална база, като през 2023 г. са извършени и нови капиталови разходи.</w:t>
      </w:r>
    </w:p>
    <w:p w14:paraId="2242DE10" w14:textId="77777777" w:rsidR="00110F42" w:rsidRPr="004A30FF" w:rsidRDefault="00110F42" w:rsidP="00110F42">
      <w:pPr>
        <w:spacing w:line="360" w:lineRule="auto"/>
        <w:ind w:firstLine="720"/>
        <w:jc w:val="both"/>
        <w:rPr>
          <w:rFonts w:ascii="Times New Roman" w:hAnsi="Times New Roman" w:cs="Times New Roman"/>
          <w:b/>
          <w:bCs/>
          <w:sz w:val="24"/>
          <w:szCs w:val="24"/>
        </w:rPr>
      </w:pPr>
      <w:r w:rsidRPr="004A30FF">
        <w:rPr>
          <w:rFonts w:ascii="Times New Roman" w:hAnsi="Times New Roman" w:cs="Times New Roman"/>
          <w:b/>
          <w:bCs/>
          <w:sz w:val="24"/>
          <w:szCs w:val="24"/>
        </w:rPr>
        <w:t>Анализ на амортизациите и амортизационната политика</w:t>
      </w:r>
    </w:p>
    <w:p w14:paraId="7A4DD7A4"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Важен елемент от годишното счетоводно приключване е начисляването на амортизации. По сметка 2413 „Амортизация на сгради“ е отчетено крайно кредитно салдо 17 157,30 лв., като през 2023 г. са начислени 1 998,48 лв. чрез сметка 6033. По сметка 2414 „Амортизация на машини, съоръжения и оборудване“ е отчетено крайно кредитно салдо 11 061,23 лв., като за периода са начислени 1 819,08 лв. чрез сметка 6034. По сметка 2416 „Амортизация на стопански инвентар“ е отчетено натрупано кредитно салдо 7 824,70 лв., а за годината са начислени 2 663,76 лв. чрез сметка 6036. Налице е и дебитен оборот 1 400,46 лв. срещу сметка 7992 „Увеличение на нефинансовите ДА от други събития“, което показва корекция, вероятно във връзка с отписване или друго изменение на амортизируем актив.</w:t>
      </w:r>
    </w:p>
    <w:p w14:paraId="17569888"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Общият размер на начислените амортизации за 2023 г. по представените сметки възлиза на 6 481,32 лв. Това потвърждава, че в детската градина се прилага начисляване на амортизации в съответствие с изискванията за амортизируемите нефинансови дълготрайни активи. Този факт е показателен за наличие на елемент на последваща оценка в рамките на годишното счетоводно приключване.</w:t>
      </w:r>
    </w:p>
    <w:p w14:paraId="702646E3" w14:textId="77777777" w:rsidR="00110F42" w:rsidRPr="004A30FF" w:rsidRDefault="00110F42" w:rsidP="00110F42">
      <w:pPr>
        <w:spacing w:line="360" w:lineRule="auto"/>
        <w:ind w:firstLine="720"/>
        <w:jc w:val="both"/>
        <w:rPr>
          <w:rFonts w:ascii="Times New Roman" w:hAnsi="Times New Roman" w:cs="Times New Roman"/>
          <w:b/>
          <w:bCs/>
          <w:sz w:val="24"/>
          <w:szCs w:val="24"/>
        </w:rPr>
      </w:pPr>
      <w:r w:rsidRPr="004A30FF">
        <w:rPr>
          <w:rFonts w:ascii="Times New Roman" w:hAnsi="Times New Roman" w:cs="Times New Roman"/>
          <w:b/>
          <w:bCs/>
          <w:sz w:val="24"/>
          <w:szCs w:val="24"/>
        </w:rPr>
        <w:t>Анализ на материалните запаси</w:t>
      </w:r>
    </w:p>
    <w:p w14:paraId="077A5620"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Материалните запаси са представени основно чрез сметка 30201 „Храна“. Началното салдо е 7 394,89 лв. През периода са отчетени доставки от доставчици по сметка 4010 в размер на 24 687,46 лв. Отразено е изписване за текущо потребление чрез сметка 6012 „Разходи за храна“ в размер на 26 154,57 лв., както и изписване чрез сметка 6112 „Отчетна стойност на продадени материали“ в размер на 3 957,50 лв.</w:t>
      </w:r>
    </w:p>
    <w:p w14:paraId="7B46AD36" w14:textId="59D87372"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lastRenderedPageBreak/>
        <w:t>Тук крайното салдо е 1 970,28 лв. като наличност на храна към края на периода. Това означава, че движението на хранителните запаси е отчетено активно през годината, като са налице както регулярни доставки, така и съществено потребление в рамките на основната дейност на детската градина. От аналитична гледна точка това е очаквано, тъй като храната е съществен компонент от издръжката на детското заведение.</w:t>
      </w:r>
    </w:p>
    <w:p w14:paraId="616FFB88" w14:textId="77777777" w:rsidR="00110F42" w:rsidRPr="004A30FF" w:rsidRDefault="00110F42" w:rsidP="00110F42">
      <w:pPr>
        <w:spacing w:line="360" w:lineRule="auto"/>
        <w:ind w:firstLine="720"/>
        <w:jc w:val="both"/>
        <w:rPr>
          <w:rFonts w:ascii="Times New Roman" w:hAnsi="Times New Roman" w:cs="Times New Roman"/>
          <w:b/>
          <w:bCs/>
          <w:sz w:val="24"/>
          <w:szCs w:val="24"/>
        </w:rPr>
      </w:pPr>
      <w:r w:rsidRPr="004A30FF">
        <w:rPr>
          <w:rFonts w:ascii="Times New Roman" w:hAnsi="Times New Roman" w:cs="Times New Roman"/>
          <w:b/>
          <w:bCs/>
          <w:sz w:val="24"/>
          <w:szCs w:val="24"/>
        </w:rPr>
        <w:t>Анализ на задълженията към доставчици</w:t>
      </w:r>
    </w:p>
    <w:p w14:paraId="2011879F"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По сметка 4010 „Задължения към доставчици в страната“ са отчетени задължения, възникнали по повод на доставки на оборудване, храна, вода, електроенергия, природен газ, учебни материали, материали, ремонти, телекомуникационни услуги, квалификация на персонала, поддръжка на софтуер, консултантски услуги, други външни услуги и общински такси. Общият кредитен оборот е 123 799,74 лв. Същевременно по сметка 5013 са отчетени плащания в същия размер. Крайното салдо по сметка 4010 е нула.</w:t>
      </w:r>
    </w:p>
    <w:p w14:paraId="5B8C91DD"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Това означава, че към 31 декември 2023 г. детската градина няма непогасени задължения към доставчици по представената информация. Това е положителен показател за финансовата дисциплина и за редовното уреждане на разплащанията. От гледна точка на годишното счетоводно приключване това е важно, защото показва отсъствие на просрочени задължения към външни контрагенти в рамките на тази сметка.</w:t>
      </w:r>
    </w:p>
    <w:p w14:paraId="3AC4A07B" w14:textId="77777777" w:rsidR="00110F42" w:rsidRPr="004A30FF" w:rsidRDefault="00110F42" w:rsidP="00110F42">
      <w:pPr>
        <w:spacing w:line="360" w:lineRule="auto"/>
        <w:ind w:firstLine="720"/>
        <w:jc w:val="both"/>
        <w:rPr>
          <w:rFonts w:ascii="Times New Roman" w:hAnsi="Times New Roman" w:cs="Times New Roman"/>
          <w:b/>
          <w:bCs/>
          <w:sz w:val="24"/>
          <w:szCs w:val="24"/>
        </w:rPr>
      </w:pPr>
      <w:r w:rsidRPr="004A30FF">
        <w:rPr>
          <w:rFonts w:ascii="Times New Roman" w:hAnsi="Times New Roman" w:cs="Times New Roman"/>
          <w:b/>
          <w:bCs/>
          <w:sz w:val="24"/>
          <w:szCs w:val="24"/>
        </w:rPr>
        <w:t>Анализ на разчетите с персонала и осигурителните институции</w:t>
      </w:r>
    </w:p>
    <w:p w14:paraId="244D5651"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Разчетите с персонала са отразени по сметка 4211 „Задължения към работници/служители и друг персонал“. По тази сметка са отчетени начислени възнаграждения чрез сметка 6041 в размер на 437 038,32 лв. и възнаграждения в натура чрез сметка 6049 в размер на 3 957,50 лв. Срещу това са отразени удръжки за данък върху доходите на физическите лица в размер на 31 625,05 лв., вноски за ДОО в размер на 34 032,55 лв., здравни вноски в размер на 12 995,80 лв., вноски за ДЗПО в размер на 8 934,54 лв. и изплатени нетни възнаграждения по банков път в размер на 353 407,88 лв. Общият дебитен и кредитен оборот е 440 995,82 лв., а крайното салдо е нула.</w:t>
      </w:r>
    </w:p>
    <w:p w14:paraId="45F52DC7"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По сметка 4510 „Разчети за данъци върху доходите на ФЛ“ са отчетени начисления 31 625,05 лв. и плащания в същия размер, поради което крайното салдо е нула. По сметка 4555 „Разчети за вноски за ДОО“ са отчетени начисления 91 815,18 лв. и плащания в същия </w:t>
      </w:r>
      <w:r w:rsidRPr="004A30FF">
        <w:rPr>
          <w:rFonts w:ascii="Times New Roman" w:hAnsi="Times New Roman" w:cs="Times New Roman"/>
          <w:sz w:val="24"/>
          <w:szCs w:val="24"/>
        </w:rPr>
        <w:lastRenderedPageBreak/>
        <w:t>размер. От тях 34 032,55 лв. са удържани от персонала, а 57 782,63 лв. са за сметка на работодателя чрез сметка 6051. По сметка 4556 „Разчети за здравни вноски за НЗК“ са отчетени общо 33 288,36 лв., от които 12 995,80 лв. от персонала и 20 292,56 лв. от работодателя чрез сметка 6052. По сметка 4557 „Разчети за ДЗПО“ са отчетени общо 20 305,79 лв., от които 8 934,54 лв. от персонала и 11 371,25 лв. от работодателя чрез сметка 6055. И трите осигурителни сметки приключват с нулево салдо.</w:t>
      </w:r>
    </w:p>
    <w:p w14:paraId="69EA08A7"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Това показва, че разчетите по работната заплата и осигурителните плащания са отчетени пълно и са разплатени към края на периода. От счетоводна гледна точка това е индикатор за коректно приключване на най-съществения разходен блок в дейността на детската градина.</w:t>
      </w:r>
    </w:p>
    <w:p w14:paraId="525AD4F2" w14:textId="77777777" w:rsidR="00110F42" w:rsidRPr="004A30FF" w:rsidRDefault="00110F42" w:rsidP="00110F42">
      <w:pPr>
        <w:spacing w:line="360" w:lineRule="auto"/>
        <w:ind w:firstLine="720"/>
        <w:jc w:val="both"/>
        <w:rPr>
          <w:rFonts w:ascii="Times New Roman" w:hAnsi="Times New Roman" w:cs="Times New Roman"/>
          <w:b/>
          <w:bCs/>
          <w:sz w:val="24"/>
          <w:szCs w:val="24"/>
        </w:rPr>
      </w:pPr>
      <w:r w:rsidRPr="004A30FF">
        <w:rPr>
          <w:rFonts w:ascii="Times New Roman" w:hAnsi="Times New Roman" w:cs="Times New Roman"/>
          <w:b/>
          <w:bCs/>
          <w:sz w:val="24"/>
          <w:szCs w:val="24"/>
        </w:rPr>
        <w:t>Анализ на провизиите за персонала</w:t>
      </w:r>
    </w:p>
    <w:p w14:paraId="01A81F6F"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Съществен момент в годишното счетоводно приключване е начисляването на провизии за бъдещи плащания към персонала. По сметка 4230 „Провизии за бъдещи плащания към персонала“ е отчетено начално кредитно салдо 52 394,30 лв. През периода е начислена нова провизия чрез сметка 6047 „Разходи за провизии за персонала“ в размер на 69 135,35 лв. В началото на периода или в рамките на счетоводния цикъл е сторнирана предходна провизия чрез сметка 6048 „Сторнирани разходи за персонал“ в размер на 52 394,30 лв. Крайното кредитно салдо е 69 135,35 лв.</w:t>
      </w:r>
    </w:p>
    <w:p w14:paraId="29CA9ECC"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Това е ясен показател, че детската градина е извършила начисляване на провизии, вероятно за неизползван платен годишен отпуск. Размерът на провизията е значителен и показва, че този елемент от начислителното счетоводство е отчетен. Това също потвърждава, че годишното счетоводно приключване е надхвърлило чисто касовата логика и е включило начисляване на бъдещи задължения, отнасящи се към текущия отчетен период.</w:t>
      </w:r>
    </w:p>
    <w:p w14:paraId="5D3AB7CC" w14:textId="77777777" w:rsidR="00110F42" w:rsidRPr="004A30FF" w:rsidRDefault="00110F42" w:rsidP="00110F42">
      <w:pPr>
        <w:spacing w:line="360" w:lineRule="auto"/>
        <w:ind w:firstLine="720"/>
        <w:jc w:val="both"/>
        <w:rPr>
          <w:rFonts w:ascii="Times New Roman" w:hAnsi="Times New Roman" w:cs="Times New Roman"/>
          <w:b/>
          <w:bCs/>
          <w:sz w:val="24"/>
          <w:szCs w:val="24"/>
        </w:rPr>
      </w:pPr>
      <w:r w:rsidRPr="004A30FF">
        <w:rPr>
          <w:rFonts w:ascii="Times New Roman" w:hAnsi="Times New Roman" w:cs="Times New Roman"/>
          <w:b/>
          <w:bCs/>
          <w:sz w:val="24"/>
          <w:szCs w:val="24"/>
        </w:rPr>
        <w:t>Анализ на паричните средства</w:t>
      </w:r>
    </w:p>
    <w:p w14:paraId="30AA0196"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По сметка 5011 „Касови наличности в лева“ са отчетени ограничени движения. Налице е постъпление 400,00 лв. от банковата сметка и 163,80 лв. от получени помощи и дарения, както и плащания, свързани с храна, други материали, квалификация, поддръжка на софтуер и други външни услуги. Общият дебитен и кредитен оборот е 563,80 лв., а крайното салдо е нула.</w:t>
      </w:r>
    </w:p>
    <w:p w14:paraId="050BAC04"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lastRenderedPageBreak/>
        <w:t>По сметка 5013 „Текущи банкови сметки в лева“ е отчетен основният паричен поток. Чрез нея са осъществени плащания към доставчици, персонал, НАП, осигурителни институции, каса и други контрагенти, както и постъпления от трансфери, други приходи и касови трансфери. Общият дебитен и кредитен оборот е 662 166,34 лв. и сметката също приключва с нулево салдо. Тук е важно да се отбележи, че нулевото салдо по тази сметка в представената форма на главна книга не означава непременно, че към края на периода няма парични средства, а че кореспонденциите и натрупванията са представени по начин, който не позволява директно извеждане на наличност без пълната оборотна ведомост.</w:t>
      </w:r>
    </w:p>
    <w:p w14:paraId="2BD2C4BC" w14:textId="77777777" w:rsidR="00110F42" w:rsidRPr="004A30FF" w:rsidRDefault="00110F42" w:rsidP="00110F42">
      <w:pPr>
        <w:spacing w:line="360" w:lineRule="auto"/>
        <w:ind w:firstLine="720"/>
        <w:jc w:val="both"/>
        <w:rPr>
          <w:rFonts w:ascii="Times New Roman" w:hAnsi="Times New Roman" w:cs="Times New Roman"/>
          <w:b/>
          <w:bCs/>
          <w:sz w:val="24"/>
          <w:szCs w:val="24"/>
        </w:rPr>
      </w:pPr>
      <w:r w:rsidRPr="004A30FF">
        <w:rPr>
          <w:rFonts w:ascii="Times New Roman" w:hAnsi="Times New Roman" w:cs="Times New Roman"/>
          <w:b/>
          <w:bCs/>
          <w:sz w:val="24"/>
          <w:szCs w:val="24"/>
        </w:rPr>
        <w:t>Анализ на разходите по икономически елементи</w:t>
      </w:r>
    </w:p>
    <w:p w14:paraId="4FD22B60"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Разходната структура на детската градина ясно показва приоритетите в нейната дейност. Най-голям разходен дял заема сметка 6041 „Разходи за заплати и възнаграждения на персонал“ в размер на 437 038,32 лв. Ако към нея се прибавят сметка 6042 „Разходи за заплати и възнаграждения по трудови и ...“ в размер на 4 500,00 лв., сметка 6049 „Разходи за възнаграждения на персонала в натура“ в размер на 8 546,00 лв., както и разходите за работодателски осигуровки по сметки 6051, 6052 и 6055, които общо възлизат на 89 446,44 лв., става видно, че разходите за персонал и свързаните с него задължения са доминиращата част от общите разходи.</w:t>
      </w:r>
    </w:p>
    <w:p w14:paraId="4CD6DBDD"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Разходите за издръжка също имат съществен дял. По сметка 6012 „Разходи за храна“ са отчетени 26 478,23 лв. По сметка 6014 „Разходи за учебни материали и помагала“ са отчетени 3 535,68 лв. По сметка 6015 „Разходи за постелен инвентар и работно облекло“ са отчетени 3 025,00 лв. По сметка 6019 „Разходи за други материали“ са отчетени 6 238,64 лв. По сметка 6021 „Разходи за текущ ремонт“ са отчетени 5 445,22 лв. По сметка 6023 „Разходи за пощенски и телекомуникационни услуги“ са отчетени 1 025,20 лв. По сметка 6025 „Разходи за квалификация и преквалификация на персонала“ са отчетени 4 268,26 лв. По сметка 6026 „Разходи за поддръжка на софтуер/програми“ са отчетени 2 326,07 лв. По сметка 6028 „Разходи за консултантски услуги“ са отчетени 1 620,00 лв. По сметка 6029 „Други разходи за външни услуги“ са отчетени 24 690,67 лв. По сметка 6062 „Разходи за общински такси“ са отчетени 1 943,91 лв. По сметка 6203 „Разходи за застраховане“ са отчетени 1 021,42 лв.</w:t>
      </w:r>
    </w:p>
    <w:p w14:paraId="69BD8CE4"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lastRenderedPageBreak/>
        <w:t>Разходите за комунални услуги също са значителни. По сметка 60104 „Разходи за вода“ са отчетени 3 660,19 лв. По сметка 60105 „Разходи за електроенергия“ са отчетени 11 322,91 лв. По сметка 60108 „Природен газ за отопление“ са отчетени 20 254,35 лв. Общата стойност на тези три разходни позиции е 35 237,45 лв., което съответства на данните в бюджетния отчет по параграф 1016.</w:t>
      </w:r>
    </w:p>
    <w:p w14:paraId="27D2FE57"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Наред с това са отчетени амортизационни разходи по сметки 6033, 6034 и 6036 в общ размер 6 481,32 лв., разходи за провизии за персонал по сметка 6047 в размер на 69 135,35 лв. и сторнирани разходи за персонал по сметка 6048 в размер 52 394,30 лв. Нетният ефект от провизирането е 16 741,05 лв. увеличение на разходите за периода.</w:t>
      </w:r>
    </w:p>
    <w:p w14:paraId="64741E94" w14:textId="77777777" w:rsidR="00110F42" w:rsidRPr="004A30FF" w:rsidRDefault="00110F42" w:rsidP="00110F42">
      <w:pPr>
        <w:spacing w:line="360" w:lineRule="auto"/>
        <w:ind w:firstLine="720"/>
        <w:jc w:val="both"/>
        <w:rPr>
          <w:rFonts w:ascii="Times New Roman" w:hAnsi="Times New Roman" w:cs="Times New Roman"/>
          <w:b/>
          <w:bCs/>
          <w:sz w:val="24"/>
          <w:szCs w:val="24"/>
        </w:rPr>
      </w:pPr>
      <w:r w:rsidRPr="004A30FF">
        <w:rPr>
          <w:rFonts w:ascii="Times New Roman" w:hAnsi="Times New Roman" w:cs="Times New Roman"/>
          <w:b/>
          <w:bCs/>
          <w:sz w:val="24"/>
          <w:szCs w:val="24"/>
        </w:rPr>
        <w:t>Анализ на приходите</w:t>
      </w:r>
    </w:p>
    <w:p w14:paraId="55C5FED6"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Приходната част на счетоводната информация е значително по-ограничена спрямо разходната, което е типично за бюджетна организация. По сметка 7112 „Приходи от продажба на материали“ са отчетени 3 957,50 лв., което съответства на продажба на хранителни материали или друго имущество. По сметка 7199 „Други приходи“ са отчетени 3 147,39 лв. По сметка 7411 „Получени помощи и дарения от страната“ са отчетени 163,80 лв. По сметка 750114 са отчетени трансфери в размер на 651 514,71 лв., а по сметка 7522 „Касови трансфери от/за бюджети на бюджетни организации“ са отчетени 7 500,00 лв.</w:t>
      </w:r>
    </w:p>
    <w:p w14:paraId="27CE473D"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От това се вижда, че собствените приходи на детската градина са незначителни спрямо бюджетното финансиране. Основният приходоизточник са вътрешните трансфери и касовите трансфери, което напълно съответства на статута на общинска детска градина в рамките на публичния сектор.</w:t>
      </w:r>
    </w:p>
    <w:p w14:paraId="2F8FAD6D" w14:textId="77777777" w:rsidR="00110F42" w:rsidRPr="004A30FF" w:rsidRDefault="00110F42" w:rsidP="00110F42">
      <w:pPr>
        <w:spacing w:line="360" w:lineRule="auto"/>
        <w:ind w:firstLine="720"/>
        <w:jc w:val="both"/>
        <w:rPr>
          <w:rFonts w:ascii="Times New Roman" w:hAnsi="Times New Roman" w:cs="Times New Roman"/>
          <w:b/>
          <w:bCs/>
          <w:sz w:val="24"/>
          <w:szCs w:val="24"/>
        </w:rPr>
      </w:pPr>
      <w:r w:rsidRPr="004A30FF">
        <w:rPr>
          <w:rFonts w:ascii="Times New Roman" w:hAnsi="Times New Roman" w:cs="Times New Roman"/>
          <w:b/>
          <w:bCs/>
          <w:sz w:val="24"/>
          <w:szCs w:val="24"/>
        </w:rPr>
        <w:t>Анализ на бюджетния отчет</w:t>
      </w:r>
    </w:p>
    <w:p w14:paraId="35FD0644"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Отчетът за бюджета за периода декември 2023 г. дава възможност да се проследи касовото изпълнение на разходите и приходите по параграфи. Общият размер на отчетените бюджетни разходи и приходи е 662 325,90 лв., като цялата сума е отчетена в държавни дейности. За общински дейности и дофинансиране не са посочени стойности.</w:t>
      </w:r>
    </w:p>
    <w:p w14:paraId="46E6261C"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По дейност 311 „Целодневни детски градини“ са отчетени общо 662 016,90 лв. Най-голям дял имат параграф 0101 „заплати и възнаграждения на персонала, нает по трудово </w:t>
      </w:r>
      <w:r w:rsidRPr="004A30FF">
        <w:rPr>
          <w:rFonts w:ascii="Times New Roman" w:hAnsi="Times New Roman" w:cs="Times New Roman"/>
          <w:sz w:val="24"/>
          <w:szCs w:val="24"/>
        </w:rPr>
        <w:lastRenderedPageBreak/>
        <w:t>правоотношение“ с 399 863,82 лв. и параграфи от група 0200 с общо 41 674,50 лв., включващи СБКО, обезщетения и други плащания. Осигурителните разходи по параграфи от група 0500 са 89 446,44 лв. Разходите за издръжка по параграф 1000 са 117 724,23 лв., от които 25 011,12 лв. за храна, 3 025,00 лв. за постелен инвентар и облекло, 3 535,68 лв. за учебни разходи, 5 929,64 лв. за материали, 35 237,45 лв. за вода, горива и енергия, 38 518,70 лв. за външни услуги, 5 445,22 лв. за текущ ремонт и 1 021,42 лв. за застраховки. Платените общински такси са 1 943,91 лв. по параграф 1981. Капиталовите разходи по параграф 5200 са 11 364,00 лв., от които 6 900,00 лв. за друго оборудване, машини и съоръжения и 4 464,00 лв. за стопански инвентар.</w:t>
      </w:r>
    </w:p>
    <w:p w14:paraId="0650DDFC"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По дейност 713 „Спорт за всички“ са отчетени 309,00 лв. за материали. Това е незначителен разходен компонент, но показва участие на детската градина и в дейности, свързани със спортни занимания.</w:t>
      </w:r>
    </w:p>
    <w:p w14:paraId="6760CFE8"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В приходната част на бюджетния отчет се вижда, че други неданъчни приходи са 3 147,39 лв., текущите дарения и помощи са 163,80 лв., вътрешните трансфери в системата на първостепенния разпоредител са 651 514,71 лв., а получените трансфери са 7 500,00 лв. Общият размер на приходите е 662 325,90 лв., равен на общия размер на разходите. Това показва формално балансирано бюджетно изпълнение.</w:t>
      </w:r>
    </w:p>
    <w:p w14:paraId="0814DC70" w14:textId="77777777" w:rsidR="00110F42" w:rsidRPr="004A30FF" w:rsidRDefault="00110F42" w:rsidP="00110F42">
      <w:pPr>
        <w:spacing w:line="360" w:lineRule="auto"/>
        <w:ind w:firstLine="720"/>
        <w:jc w:val="both"/>
        <w:rPr>
          <w:rFonts w:ascii="Times New Roman" w:hAnsi="Times New Roman" w:cs="Times New Roman"/>
          <w:b/>
          <w:bCs/>
          <w:sz w:val="24"/>
          <w:szCs w:val="24"/>
        </w:rPr>
      </w:pPr>
      <w:r w:rsidRPr="004A30FF">
        <w:rPr>
          <w:rFonts w:ascii="Times New Roman" w:hAnsi="Times New Roman" w:cs="Times New Roman"/>
          <w:b/>
          <w:bCs/>
          <w:sz w:val="24"/>
          <w:szCs w:val="24"/>
        </w:rPr>
        <w:t>Съпоставка между главната книга и бюджетния отчет</w:t>
      </w:r>
    </w:p>
    <w:p w14:paraId="23597068"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Съпоставката между главната книга и отчета за бюджета показва висока степен на съответствие по ключови показатели. Разходите за осигуровки в главната книга по сметки 6051, 6052 и 6055 общо възлизат на 89 446,44 лв., което съвпада напълно с параграф 0500 в бюджетния отчет. Разходите за вода, електроенергия и природен газ в главната книга също общо формират 35 237,45 лв., което съвпада с параграф 1016. Разходите за текущ ремонт, застраховки и общински такси също съвпадат с бюджетните данни.</w:t>
      </w:r>
    </w:p>
    <w:p w14:paraId="393A16B4"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Налице са обаче и различия, които са нормални поради различната логика на начисленото и касовото отчитане. Например по сметка 6041 в главната книга са отчетени 437 038,32 лв. разходи за заплати, докато в бюджетния отчет заплатите по параграф 0101 са 399 863,82 лв., а допълнителните плащания и обезщетения са отделно в група 0200. Това </w:t>
      </w:r>
      <w:r w:rsidRPr="004A30FF">
        <w:rPr>
          <w:rFonts w:ascii="Times New Roman" w:hAnsi="Times New Roman" w:cs="Times New Roman"/>
          <w:sz w:val="24"/>
          <w:szCs w:val="24"/>
        </w:rPr>
        <w:lastRenderedPageBreak/>
        <w:t>показва, че счетоводната класификация по сметки и бюджетната класификация по параграфи не съвпадат напълно, но са методологично съвместими.</w:t>
      </w:r>
    </w:p>
    <w:p w14:paraId="0485D7D4" w14:textId="77777777" w:rsidR="00110F42" w:rsidRPr="004A30FF" w:rsidRDefault="00110F42" w:rsidP="00110F42">
      <w:pPr>
        <w:spacing w:line="360" w:lineRule="auto"/>
        <w:ind w:firstLine="720"/>
        <w:jc w:val="both"/>
        <w:rPr>
          <w:rFonts w:ascii="Times New Roman" w:hAnsi="Times New Roman" w:cs="Times New Roman"/>
          <w:b/>
          <w:bCs/>
          <w:sz w:val="24"/>
          <w:szCs w:val="24"/>
        </w:rPr>
      </w:pPr>
      <w:r w:rsidRPr="004A30FF">
        <w:rPr>
          <w:rFonts w:ascii="Times New Roman" w:hAnsi="Times New Roman" w:cs="Times New Roman"/>
          <w:b/>
          <w:bCs/>
          <w:sz w:val="24"/>
          <w:szCs w:val="24"/>
        </w:rPr>
        <w:t>Задбалансово отчитане и ангажименти</w:t>
      </w:r>
    </w:p>
    <w:p w14:paraId="1DB58ABA"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Главната книга показва и развитието на задбалансови позиции, което е важен елемент от счетоводството на бюджетните предприятия. По сметка 9200 „Поети задължения по договори“ има начално кредитно салдо 70 724,31 лв., нововъзникнали ангажименти 19 255,68 лв. чрез сметка 9800 и реализирани ангажименти 43 577,13 лв. чрез сметка 9803. Крайният остатък по тази сметка е 46 402,86 лв. По сметка 9860 „Възникнали нови задължения за разходи“ са отчетени 123 775,74 лв. По сметка 9801 „Възникване на ангажименти за разходи с незабавна реализация“ са отчетени 80 198,61 лв., а по сметка 9803 „Реализирани ангажименти за разходи“ общо 123 775,74 лв.</w:t>
      </w:r>
    </w:p>
    <w:p w14:paraId="5897C993"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Тези данни показват, че детската градина поддържа контрол върху поетите ангажименти и нововъзникналите задължения за разходи, което е важно за бюджетната дисциплина и за проследяване на поетите договорни отношения. Отделно от това по сметка 9909 „Други активи в употреба, изписани като разход“ е отчетена значителна стойност 77 829,86 лв., а по сметка 9913 „Просрочени вземания от клиенти“ е отчетена стойност 2 723,61 лв. Това е показателно за наличието на активи, които се следят задбалансово, както и за наличие на просрочени вземания.</w:t>
      </w:r>
    </w:p>
    <w:p w14:paraId="521CFB98" w14:textId="77777777" w:rsidR="00110F42" w:rsidRPr="004A30FF" w:rsidRDefault="00110F42" w:rsidP="00110F42">
      <w:pPr>
        <w:spacing w:line="360" w:lineRule="auto"/>
        <w:ind w:firstLine="720"/>
        <w:jc w:val="both"/>
        <w:rPr>
          <w:rFonts w:ascii="Times New Roman" w:hAnsi="Times New Roman" w:cs="Times New Roman"/>
          <w:b/>
          <w:bCs/>
          <w:sz w:val="24"/>
          <w:szCs w:val="24"/>
        </w:rPr>
      </w:pPr>
      <w:r w:rsidRPr="004A30FF">
        <w:rPr>
          <w:rFonts w:ascii="Times New Roman" w:hAnsi="Times New Roman" w:cs="Times New Roman"/>
          <w:b/>
          <w:bCs/>
          <w:sz w:val="24"/>
          <w:szCs w:val="24"/>
        </w:rPr>
        <w:t>Оценка на основните етапи на годишното счетоводно приключване</w:t>
      </w:r>
    </w:p>
    <w:p w14:paraId="3CECE557"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От данните може да се заключи, че са налице ясни доказателства за текущо счетоводно отчитане, начисляване на амортизации, начисляване на провизии за персонала, отразяване на материалните запаси, отчитане на приходи, разходи, трансфери и задбалансови ангажименти. Същевременно в представените документи не се виждат изрично осчетоводени операции по инвентаризационни разлики, преоценки чрез група 780, корективни вземания и задължения по сметки 496 и 497, както и окончателни операции по приключване на сметките от раздели 6 и 7 със сметка 1201. Това означава, че или тези операции не са включени в представената извадка, или към момента на извеждането на главната книга те още не са били извършени.</w:t>
      </w:r>
    </w:p>
    <w:p w14:paraId="6726FC64" w14:textId="77777777" w:rsidR="00110F42" w:rsidRPr="004A30FF" w:rsidRDefault="00110F42" w:rsidP="00110F42">
      <w:pPr>
        <w:spacing w:line="360" w:lineRule="auto"/>
        <w:ind w:firstLine="720"/>
        <w:jc w:val="both"/>
        <w:rPr>
          <w:rFonts w:ascii="Times New Roman" w:hAnsi="Times New Roman" w:cs="Times New Roman"/>
          <w:b/>
          <w:bCs/>
          <w:sz w:val="24"/>
          <w:szCs w:val="24"/>
        </w:rPr>
      </w:pPr>
      <w:r w:rsidRPr="004A30FF">
        <w:rPr>
          <w:rFonts w:ascii="Times New Roman" w:hAnsi="Times New Roman" w:cs="Times New Roman"/>
          <w:b/>
          <w:bCs/>
          <w:sz w:val="24"/>
          <w:szCs w:val="24"/>
        </w:rPr>
        <w:t>Обобщаваща оценка</w:t>
      </w:r>
    </w:p>
    <w:p w14:paraId="5DAD7499"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lastRenderedPageBreak/>
        <w:t>В обобщение може да се посочи, че годишното счетоводно приключване на ДГ „Осми март“ гр. Радомир за 2023 г. е организирано върху стабилна основа на текущо счетоводно отчитане, която обхваща основните активи, пасиви, разчети, приходи, разходи и бюджетни трансфери. Детската градина поддържа значителна материална база, редовно начислява амортизации, формира провизии за бъдещи плащания към персонала и осъществява коректно отчитане на разчетите с персонала, доставчиците и бюджета. Основната тежест в разходната структура пада върху възнагражденията и осигуровките, докато приходната част е почти изцяло зависима от бюджетни трансфери.</w:t>
      </w:r>
    </w:p>
    <w:p w14:paraId="625EFD7A" w14:textId="77777777" w:rsidR="00110F42" w:rsidRPr="004A30FF" w:rsidRDefault="00110F42" w:rsidP="00110F42">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Представените данни показват добро ниво на счетоводна организация и съответствие между счетоводната и бюджетната информация. В същото време липсата на пряко видими приключвателни операции по сметка 1201, липсата на преоценки и на изрично документирани инвентаризационни резултати означава, че анализът следва да се разглежда като оценка на предприключвателния и частично приключения етап на отчетния процес. Независимо от това може да се заключи, че счетоводното приключване на детската градина за 2023 г. в съществената си част е реализирано в съответствие със спецификите на бюджетното счетоводство и осигурява достатъчна информационна основа за изготвяне на годишния финансов отчет.</w:t>
      </w:r>
    </w:p>
    <w:p w14:paraId="626BD7F1" w14:textId="3184C07D" w:rsidR="009D4683" w:rsidRPr="004A30FF" w:rsidRDefault="009D4683" w:rsidP="009D4683">
      <w:pPr>
        <w:spacing w:line="360" w:lineRule="auto"/>
        <w:ind w:firstLine="720"/>
        <w:jc w:val="both"/>
        <w:rPr>
          <w:rFonts w:ascii="Times New Roman" w:hAnsi="Times New Roman" w:cs="Times New Roman"/>
          <w:sz w:val="24"/>
          <w:szCs w:val="24"/>
        </w:rPr>
      </w:pPr>
      <w:r w:rsidRPr="004A30FF">
        <w:rPr>
          <w:rFonts w:ascii="Times New Roman" w:hAnsi="Times New Roman" w:cs="Times New Roman"/>
          <w:b/>
          <w:bCs/>
          <w:sz w:val="24"/>
          <w:szCs w:val="24"/>
        </w:rPr>
        <w:t>2. Съответствие на годишното счетоводно приключване в детска градина „Осми март“ гр. Радомир със стандартите за публичния сектор</w:t>
      </w:r>
    </w:p>
    <w:p w14:paraId="2C01B519" w14:textId="64F75037" w:rsidR="003846D4" w:rsidRPr="004A30FF" w:rsidRDefault="003846D4" w:rsidP="003846D4">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От гледна точка на нормативните изисквания за бюджетните предприятия в България, годишното счетоводно приключване следва да осигури пълно отразяване на активите, пасивите, приходите и разходите, да бъде организирано по сметкоплана на бюджетните организации и да се извърши по реда на указанията на Министерството на финансите, издадени на основание Закона за публичните финанси и Закона за счетоводството. Към момента тази рамка продължава да се основава на ДДС № 20/2004 г., сметкоплана на бюджетните организации и ежегодните указания на МФ за годишното приключване. </w:t>
      </w:r>
    </w:p>
    <w:p w14:paraId="588D39B3" w14:textId="7ECD3DC5" w:rsidR="003846D4" w:rsidRPr="004A30FF" w:rsidRDefault="003846D4" w:rsidP="003846D4">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На тази основа може да се направи извод, че при ДГ „Осми март“ гр. Радомир е налице съществено, но не изцяло доказано съответствие на годишното счетоводно приключване със стандартите и методическите изисквания за публичния сектор. </w:t>
      </w:r>
      <w:r w:rsidRPr="004A30FF">
        <w:rPr>
          <w:rFonts w:ascii="Times New Roman" w:hAnsi="Times New Roman" w:cs="Times New Roman"/>
          <w:sz w:val="24"/>
          <w:szCs w:val="24"/>
        </w:rPr>
        <w:lastRenderedPageBreak/>
        <w:t xml:space="preserve">Представените документи показват добро равнище на текущо счетоводно отчитане и наличие на ключови приключвателни елементи, но не съдържат достатъчно доказателства за всички задължителни процедури по приключването. Следователно най-коректната оценка е, че е налице частично до високо съответствие по основните счетоводни показатели, но не и напълно доказано съответствие по всички процедури на годишното приключване. </w:t>
      </w:r>
    </w:p>
    <w:p w14:paraId="3CEB7C04" w14:textId="22C7AF12" w:rsidR="003846D4" w:rsidRPr="004A30FF" w:rsidRDefault="003846D4" w:rsidP="003846D4">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По отношение на организационната структура на отчетността съответствието е високо. От представените регистри се вижда, че детската градина прилага сметки, характерни за сметкоплана на бюджетните организации, включително сметки за дълготрайни активи, амортизации, разчети с персонала и бюджета, провизии, трансфери и задбалансови позиции. Това показва, че счетоводството е водено в рамката, предвидена за бюджетни предприятия, което е основно изискване на публичния сектор. Особено показателно е използването на сметки като 4230 „Провизии за бъдещи плащания към персонала“, 750114 за вътрешни трансфери, 7522 за касови трансфери, 9200, 9800, 9860 и 9989 за задбалансово отчитане, което е типично за бюджетното счетоводство. </w:t>
      </w:r>
    </w:p>
    <w:p w14:paraId="31018630" w14:textId="07BBBDFD" w:rsidR="003846D4" w:rsidRPr="004A30FF" w:rsidRDefault="003846D4" w:rsidP="003846D4">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Съответствието е ясно изразено и по отношение на отчитането на дълготрайните активи. В главната книга са отчетени земи, сгради, компютри, оборудване и стопански инвентар, което показва, че активите са заведени по надлежните счетоводни сметки. Налице са и новопридобити активи през периода, например по сметка 2049 и сметка 2060, което съответства на изискването активите да се признават и отчитат по установения ред. Този елемент от приключването може да се оцени като съответстващ на стандартите за публичния сектор, доколкото активите са индивидуализирани и отчетени по видове. Липсват обаче допълнителни документи, които да потвърдят инвентаризационната им проверка към 31 декември, поради което съответствието е доказано по линия на текущото отчитане, но не и напълно по линия на годишната инвентаризация. </w:t>
      </w:r>
    </w:p>
    <w:p w14:paraId="2285A606" w14:textId="48743826" w:rsidR="003846D4" w:rsidRPr="004A30FF" w:rsidRDefault="003846D4" w:rsidP="003846D4">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По отношение на амортизационната политика съответствието е убедително. Представени са сметки 2413, 2414 и 2416 за амортизация на сгради, машини, съоръжения и стопански инвентар, както и разходните сметки 6033, 6034 и 6036. Това показва, че към края на отчетния период са начислени амортизации на амортизируемите нефинансови дълготрайни активи. От гледна точка на стандартите за публичния сектор това е съществен белег за правилно прилагане на начислителния принцип и за вярно представяне на </w:t>
      </w:r>
      <w:r w:rsidRPr="004A30FF">
        <w:rPr>
          <w:rFonts w:ascii="Times New Roman" w:hAnsi="Times New Roman" w:cs="Times New Roman"/>
          <w:sz w:val="24"/>
          <w:szCs w:val="24"/>
        </w:rPr>
        <w:lastRenderedPageBreak/>
        <w:t xml:space="preserve">балансовата стойност на активите. Следователно в тази част годишното приключване на детската градина е в съответствие с изискванията на публичния сектор. </w:t>
      </w:r>
    </w:p>
    <w:p w14:paraId="7C3EEBB3" w14:textId="2BB15061" w:rsidR="003846D4" w:rsidRPr="004A30FF" w:rsidRDefault="003846D4" w:rsidP="003846D4">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При материалните запаси също е налице по-скоро съответствие. Сметка 30201 „Храна“ показва начална наличност, доставки, изписване за разход и изписване на отчетна стойност на продадени материали. Това означава, че движението на запасите е проследено и отчетено. Въпреки това липсата на инвентаризационни документи или на отделна инвентаризационна разлика не позволява да се докаже дали наличността към края на периода е установена чрез фактическа проверка. Следователно по отношение на счетоводното отразяване на запасите е налице съответствие, но по отношение на доказуемата инвентаризация това съответствие остава непълно установено. </w:t>
      </w:r>
    </w:p>
    <w:p w14:paraId="14E522B9" w14:textId="4C656D02" w:rsidR="003846D4" w:rsidRPr="004A30FF" w:rsidRDefault="003846D4" w:rsidP="003846D4">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Разчетите с доставчици, персонала, НАП и осигурителните институции показват висока степен на съответствие със стандартите за публичния сектор. Налице са подробно отчетени задължения към доставчици по сметка 4010, задължения към персонала по сметка 4211, разчети за данъци по сметка 4510 и разчети за осигурителни вноски по сметки 4555, 4556 и 4557. Значимият факт е, че тези сметки приключват с нулеви салда, което показва, че към края на периода задълженията са или погасени, или правилно приключени в рамките на текущото отчитане. Това съответства на изискването за надеждно и проследимо представяне на текущите задължения. </w:t>
      </w:r>
    </w:p>
    <w:p w14:paraId="3571CDE0" w14:textId="2B5D7E34" w:rsidR="003846D4" w:rsidRPr="004A30FF" w:rsidRDefault="003846D4" w:rsidP="003846D4">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Аргумент за съответствие е начисляването на провизии за бъдещи плащания към персонала. В главната книга ясно присъстват сметки 6047 „Разходи за провизии за персонал“, 6048 „Сторнирани разходи за провизии за персонал“ и 4230 „Провизии за бъдещи плащания към персонала“. Това означава, че детската градина е признала задължения, свързани с персонала, най-вероятно за неизползван платен отпуск, което е в пряко съответствие с логиката на начислителното счетоводство и принципа на предпазливостта. В тази част приключването може да се оцени като ясно съответстващо на добрата практика и на стандартите за публичния сектор. </w:t>
      </w:r>
    </w:p>
    <w:p w14:paraId="69F3ECD4" w14:textId="129A25B5" w:rsidR="003846D4" w:rsidRPr="004A30FF" w:rsidRDefault="003846D4" w:rsidP="003846D4">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Що се отнася до признаването на приходи и разходи за бъдещи периоди, както и до отразяването на събития между датата на баланса и датата на изготвяне на отчета, доказателствата са недостатъчни. В предоставените регистри не се виждат сметки от подгрупи 496 и 497, които обичайно се използват за корективни вземания и задължения. Не </w:t>
      </w:r>
      <w:r w:rsidRPr="004A30FF">
        <w:rPr>
          <w:rFonts w:ascii="Times New Roman" w:hAnsi="Times New Roman" w:cs="Times New Roman"/>
          <w:sz w:val="24"/>
          <w:szCs w:val="24"/>
        </w:rPr>
        <w:lastRenderedPageBreak/>
        <w:t xml:space="preserve">се установяват и операции, които еднозначно да показват начисляване на разходи или приходи за текущия период при получаване на първичния документ през следващата година. Това не означава непременно, че такива операции не са извършени, но означава, че от представените документи те не могат да бъдат доказани. Затова в тази част не може да се твърди пълно съответствие, а само липса на достатъчна информация за оценка. </w:t>
      </w:r>
    </w:p>
    <w:p w14:paraId="4DD174C8" w14:textId="68C6941B" w:rsidR="003846D4" w:rsidRPr="004A30FF" w:rsidRDefault="003846D4" w:rsidP="003846D4">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По отношение на последващата оценка на активите и пасивите съответствието е частично. От една страна, начислените амортизации са форма на последваща оценка и присъстват ясно. От друга страна, не се виждат операции по сметки от група 780 за преоценки или обезценки, нито доказателства за валутни преоценки, което в конкретния случай може да се дължи и на липсата на валутни позиции и на липсата на основания за преоценка. Следователно не може да се говори за несъответствие, а по-скоро за ограничено доказуемо приложение на последващата оценка, сведено основно до амортизационния процес. </w:t>
      </w:r>
    </w:p>
    <w:p w14:paraId="7779E87B" w14:textId="42D5F908" w:rsidR="003846D4" w:rsidRPr="004A30FF" w:rsidRDefault="003846D4" w:rsidP="003846D4">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Отчетът за бюджета показва добро съответствие между счетоводната и бюджетната информация. Основните разходни блокове в главната книга съответстват на параграфите в бюджетния отчет: разходите за заплати, осигуровки, храна, материали, вода, енергия, външни услуги, ремонт, застраховки и капиталови разходи. Това е важен белег за съответствие със стандартите на публичния сектор, защото в бюджетните организации финансовото и бюджетното отчитане следва да бъдат методологично съгласувани. Особено важно е, че преобладаващата част от приходите са вътрешни трансфери и получени бюджетни средства, което е напълно типично за общинска детска градина. </w:t>
      </w:r>
    </w:p>
    <w:p w14:paraId="1AD8AFFF" w14:textId="3C324CF8" w:rsidR="003846D4" w:rsidRPr="004A30FF" w:rsidRDefault="003846D4" w:rsidP="003846D4">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Задбалансовото отчитане е друг показател за високо съответствие. Наличието на сметки 9200 „Поети задължения по договори“, 9800, 9801, 9803, 9860, 9981, 9989, 9909 и 9913 показва, че предприятието следи поетите ангажименти, нововъзникналите задължения за разходи, активите в употреба и просрочените вземания. Това е особено характерно за бюджетните организации и е силен признак, че счетоводството е организирано в съответствие с особените изисквания на публичния сектор, а не по модел, характерен за частноправни предприятия. </w:t>
      </w:r>
    </w:p>
    <w:p w14:paraId="05E4801D" w14:textId="00761BE0" w:rsidR="003846D4" w:rsidRPr="004A30FF" w:rsidRDefault="003846D4" w:rsidP="003846D4">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Най-същественото ограничение по отношение на съответствието е липсата на пряко доказателство за окончателното приключване на сметките от раздели 6 и 7 със сметка 1201 </w:t>
      </w:r>
      <w:r w:rsidRPr="004A30FF">
        <w:rPr>
          <w:rFonts w:ascii="Times New Roman" w:hAnsi="Times New Roman" w:cs="Times New Roman"/>
          <w:sz w:val="24"/>
          <w:szCs w:val="24"/>
        </w:rPr>
        <w:lastRenderedPageBreak/>
        <w:t xml:space="preserve">„Изменение на нетните активи за периода“, а след това и със сметка 1101, което е изрично изискване в методическите указания за бюджетните организации. В предоставената главна книга разходните и приходните сметки все още фигурират с крайни салда, което показва, че или документът е извлечен преди финалните приключвателни операции, или тези операции не са включени в показаната част. Именно тук съответствието не може да бъде потвърдено напълно. Според указанията на МФ приключването следва да се извърши след осигуряване на информацията за оборотната ведомост и годишните отчети. </w:t>
      </w:r>
    </w:p>
    <w:p w14:paraId="2A138E09" w14:textId="0A4BC011" w:rsidR="003846D4" w:rsidRPr="004A30FF" w:rsidRDefault="003846D4" w:rsidP="003846D4">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Същото важи и за съставянето на оборотна ведомост. Главната книга съдържа начални салда, обороти и крайни салда, така че информационната основа за оборотна ведомост е налице. Но самата оборотна ведомост не е представена. Това означава, че не може документално да се установи дали е съставена в окончателния си вид по трите отчетни групи, както изисква бюджетната методология. Следователно тук може да се говори за вероятно, но не пряко доказано съответствие. </w:t>
      </w:r>
    </w:p>
    <w:p w14:paraId="42AED60C" w14:textId="77777777" w:rsidR="00F03AB1" w:rsidRPr="004A30FF" w:rsidRDefault="00F03AB1" w:rsidP="00F03AB1">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ИЗВОДИ ПО ТРЕТА ГЛАВА</w:t>
      </w:r>
    </w:p>
    <w:p w14:paraId="20360F42" w14:textId="77777777" w:rsidR="00F03AB1" w:rsidRPr="004A30FF" w:rsidRDefault="00F03AB1" w:rsidP="00F03AB1">
      <w:pPr>
        <w:pStyle w:val="ListParagraph"/>
        <w:numPr>
          <w:ilvl w:val="0"/>
          <w:numId w:val="29"/>
        </w:numPr>
        <w:spacing w:line="360" w:lineRule="auto"/>
        <w:jc w:val="both"/>
        <w:rPr>
          <w:rFonts w:ascii="Times New Roman" w:hAnsi="Times New Roman" w:cs="Times New Roman"/>
          <w:sz w:val="24"/>
          <w:szCs w:val="24"/>
        </w:rPr>
      </w:pPr>
      <w:r w:rsidRPr="004A30FF">
        <w:rPr>
          <w:rFonts w:ascii="Times New Roman" w:hAnsi="Times New Roman" w:cs="Times New Roman"/>
          <w:sz w:val="24"/>
          <w:szCs w:val="24"/>
        </w:rPr>
        <w:t>Г</w:t>
      </w:r>
      <w:r w:rsidR="003846D4" w:rsidRPr="004A30FF">
        <w:rPr>
          <w:rFonts w:ascii="Times New Roman" w:hAnsi="Times New Roman" w:cs="Times New Roman"/>
          <w:sz w:val="24"/>
          <w:szCs w:val="24"/>
        </w:rPr>
        <w:t xml:space="preserve">одишното счетоводно приключване на ДГ „Осми март“ гр. Радомир показва висока степен на съответствие със стандартите за публичния сектор по отношение на организацията на счетоводството, използвания сметкоплан, отчитането на активи, амортизации, разчети, провизии, бюджетни трансфери и задбалансови ангажименти. </w:t>
      </w:r>
    </w:p>
    <w:p w14:paraId="311C777F" w14:textId="77777777" w:rsidR="00F03AB1" w:rsidRPr="004A30FF" w:rsidRDefault="003846D4" w:rsidP="00F03AB1">
      <w:pPr>
        <w:pStyle w:val="ListParagraph"/>
        <w:numPr>
          <w:ilvl w:val="0"/>
          <w:numId w:val="29"/>
        </w:numPr>
        <w:spacing w:line="360" w:lineRule="auto"/>
        <w:jc w:val="both"/>
        <w:rPr>
          <w:rFonts w:ascii="Times New Roman" w:hAnsi="Times New Roman" w:cs="Times New Roman"/>
          <w:sz w:val="24"/>
          <w:szCs w:val="24"/>
        </w:rPr>
      </w:pPr>
      <w:r w:rsidRPr="004A30FF">
        <w:rPr>
          <w:rFonts w:ascii="Times New Roman" w:hAnsi="Times New Roman" w:cs="Times New Roman"/>
          <w:sz w:val="24"/>
          <w:szCs w:val="24"/>
        </w:rPr>
        <w:t xml:space="preserve">Частично доказано е съответствието по отношение на последващата оценка и съставянето на оборотна ведомост. </w:t>
      </w:r>
    </w:p>
    <w:p w14:paraId="09D7FD3C" w14:textId="77777777" w:rsidR="00F03AB1" w:rsidRPr="004A30FF" w:rsidRDefault="003846D4" w:rsidP="00F03AB1">
      <w:pPr>
        <w:pStyle w:val="ListParagraph"/>
        <w:numPr>
          <w:ilvl w:val="0"/>
          <w:numId w:val="29"/>
        </w:numPr>
        <w:spacing w:line="360" w:lineRule="auto"/>
        <w:jc w:val="both"/>
        <w:rPr>
          <w:rFonts w:ascii="Times New Roman" w:hAnsi="Times New Roman" w:cs="Times New Roman"/>
          <w:sz w:val="24"/>
          <w:szCs w:val="24"/>
        </w:rPr>
      </w:pPr>
      <w:r w:rsidRPr="004A30FF">
        <w:rPr>
          <w:rFonts w:ascii="Times New Roman" w:hAnsi="Times New Roman" w:cs="Times New Roman"/>
          <w:sz w:val="24"/>
          <w:szCs w:val="24"/>
        </w:rPr>
        <w:t xml:space="preserve">Не е пряко доказано съответствие по отношение на инвентаризацията, корективите за бъдещи периоди, събитията след датата на баланса и окончателното приключване на сметките чрез сметка 1201. </w:t>
      </w:r>
    </w:p>
    <w:p w14:paraId="4B3CBD45" w14:textId="2C210560" w:rsidR="003846D4" w:rsidRPr="004A30FF" w:rsidRDefault="003846D4" w:rsidP="00F03AB1">
      <w:pPr>
        <w:pStyle w:val="ListParagraph"/>
        <w:numPr>
          <w:ilvl w:val="0"/>
          <w:numId w:val="29"/>
        </w:numPr>
        <w:spacing w:line="360" w:lineRule="auto"/>
        <w:jc w:val="both"/>
        <w:rPr>
          <w:rFonts w:ascii="Times New Roman" w:hAnsi="Times New Roman" w:cs="Times New Roman"/>
          <w:sz w:val="24"/>
          <w:szCs w:val="24"/>
        </w:rPr>
      </w:pPr>
      <w:r w:rsidRPr="004A30FF">
        <w:rPr>
          <w:rFonts w:ascii="Times New Roman" w:hAnsi="Times New Roman" w:cs="Times New Roman"/>
          <w:sz w:val="24"/>
          <w:szCs w:val="24"/>
        </w:rPr>
        <w:t>Поради това цялостната оценка следва да бъде, че счетоводното приключване е в значителна степен съобразено със стандартите за публичния сектор, но документално доказателство за пълно съответствие по всички етапи не е налице.</w:t>
      </w:r>
    </w:p>
    <w:p w14:paraId="375C9CDC" w14:textId="59901708" w:rsidR="00ED5A98" w:rsidRPr="004A30FF" w:rsidRDefault="00ED5A98">
      <w:pPr>
        <w:rPr>
          <w:rFonts w:ascii="Times New Roman" w:hAnsi="Times New Roman" w:cs="Times New Roman"/>
          <w:b/>
          <w:bCs/>
          <w:sz w:val="24"/>
          <w:szCs w:val="24"/>
        </w:rPr>
      </w:pPr>
    </w:p>
    <w:p w14:paraId="14985648" w14:textId="77777777" w:rsidR="00F03AB1" w:rsidRPr="004A30FF" w:rsidRDefault="00F03AB1" w:rsidP="00F03AB1">
      <w:pPr>
        <w:jc w:val="center"/>
        <w:rPr>
          <w:rFonts w:ascii="Times New Roman" w:hAnsi="Times New Roman" w:cs="Times New Roman"/>
          <w:sz w:val="24"/>
          <w:szCs w:val="24"/>
        </w:rPr>
      </w:pPr>
      <w:r w:rsidRPr="004A30FF">
        <w:rPr>
          <w:rFonts w:ascii="Times New Roman" w:hAnsi="Times New Roman" w:cs="Times New Roman"/>
          <w:b/>
          <w:bCs/>
          <w:sz w:val="24"/>
          <w:szCs w:val="24"/>
        </w:rPr>
        <w:lastRenderedPageBreak/>
        <w:t>ЗАКЛЮЧЕНИЕ</w:t>
      </w:r>
    </w:p>
    <w:p w14:paraId="266F29EE" w14:textId="3A8236E3" w:rsidR="00F03AB1" w:rsidRPr="004A30FF" w:rsidRDefault="00F03AB1" w:rsidP="00F03AB1">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Годишното счетоводно приключване в предприятията от публичния сектор представлява сложен, многоетапен и нормативно строго регламентиран процес, чрез който се осигурява обобщаване, систематизиране и окончателно представяне на счетоводната информация за отчетния период. Неговото значение далеч надхвърля чисто техническото приключване на счетоводните сметки, тъй като чрез него се формира надеждна информационна основа за оценка на имущественото и финансовото състояние на предприятието, за анализ на изпълнението на бюджета, за контрол върху законосъобразното и целесъобразното разходване на публичните средства и за отчетност пред институциите и обществото. Именно поради това годишното счетоводно приключване в публичния сектор следва да се разглежда като ключов елемент от общата система на финансово управление и контрол.</w:t>
      </w:r>
    </w:p>
    <w:p w14:paraId="11A8512D" w14:textId="77777777" w:rsidR="00F03AB1" w:rsidRPr="004A30FF" w:rsidRDefault="00F03AB1" w:rsidP="00F03AB1">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Извършеното изследване потвърждава, че счетоводството в публичния сектор има редица съществени особености, които го отличават от счетоводството в предприятията от частния сектор. Тези особености произтичат от характера на публичните функции, от начина на финансиране, от подчинеността на бюджетния процес и от специфичната нормативна рамка, в която функционират бюджетните организации. Счетоводното приключване в тези предприятия не се изчерпва с установяване на финансов резултат в традиционния смисъл, а е насочено към правилно отразяване на изпълнението на бюджета, изменението на нетните активи, движението на публичните ресурси и състоянието на поетите ангажименти. В този смисъл то изпълнява едновременно информационна, контролна и аналитична функция.</w:t>
      </w:r>
    </w:p>
    <w:p w14:paraId="013EEA4B" w14:textId="77777777" w:rsidR="00F03AB1" w:rsidRPr="004A30FF" w:rsidRDefault="00F03AB1" w:rsidP="00F03AB1">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Теоретичният анализ показа, че нормативната уредба на счетоводството в публичния сектор в България е изградена върху взаимодействието между националното законодателство и международно признатите принципи и стандарти. Закона за счетоводството и Закона за публичните финанси формират основната законодателна рамка, а указанията на Министерството на финансите конкретизират правилата за отчитане, приключване и представяне на финансовата информация. Наред с това националната система е съобразена с по-широката международна и европейска среда, в която особено значение имат Международните счетоводни стандарти за публичния сектор, Европейската </w:t>
      </w:r>
      <w:r w:rsidRPr="004A30FF">
        <w:rPr>
          <w:rFonts w:ascii="Times New Roman" w:hAnsi="Times New Roman" w:cs="Times New Roman"/>
          <w:sz w:val="24"/>
          <w:szCs w:val="24"/>
        </w:rPr>
        <w:lastRenderedPageBreak/>
        <w:t>система от национални и регионални сметки и ръководството на Международния валутен фонд за държавна финансова статистика. Това показва, че счетоводството в публичния сектор е поставено на пресечната точка между вътрешната нормативна уредба и международните изисквания за прозрачност, съпоставимост и надеждност на отчетната информация.</w:t>
      </w:r>
    </w:p>
    <w:p w14:paraId="65AEE289" w14:textId="77777777" w:rsidR="00F03AB1" w:rsidRPr="004A30FF" w:rsidRDefault="00F03AB1" w:rsidP="00F03AB1">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В хода на изследването се установи, че годишното счетоводно приключване в предприятията от публичния сектор включва редица взаимно свързани етапи, които осигуряват пълно и достоверно приключване на отчетния период. Сред тях особено значение имат инвентаризацията на активите и пасивите, последващата оценка и преоценка при необходимост, признаването на приходи и разходи за текущия период, начисляването на провизии, отчитането на събитията между датата на баланса и датата на съставяне на финансовия отчет, изготвянето на оборотни ведомости и приключването на приходните и разходните сметки. Всеки от тези етапи има самостоятелно значение, но именно тяхната логическа последователност и методическа свързаност осигуряват формирането на вярна и честна представа за дейността на бюджетното предприятие през отчетния период.</w:t>
      </w:r>
    </w:p>
    <w:p w14:paraId="013590D2" w14:textId="77777777" w:rsidR="00F03AB1" w:rsidRPr="004A30FF" w:rsidRDefault="00F03AB1" w:rsidP="00F03AB1">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Практическото изследване върху дейността на ДГ „Осми март“ гр. Радомир даде възможност да се проследи как общите теоретични и нормативни постановки се проявяват в условията на конкретна бюджетна организация. Анализът на главната книга и отчета за бюджета за 2023 г. показа, че детската градина води счетоводство, организирано по сметкоплана на бюджетните организации, като в него намират отражение основните групи активи, пасиви, приходи, разходи, трансфери и задбалансови позиции. Установено бе наличие на счетоводно отчитане на дълготрайните материални активи, начисляване на амортизации, осчетоводяване на материални запаси, разчети с доставчици, разчети с персонала и осигурителните институции, както и провизии за бъдещи плащания към персонала. Това показва, че в съществената си част счетоводната система на детската градина е изградена в съответствие със спецификите на публичния сектор и осигурява необходимата база за годишното счетоводно приключване.</w:t>
      </w:r>
    </w:p>
    <w:p w14:paraId="7F016834" w14:textId="77777777" w:rsidR="00F03AB1" w:rsidRPr="004A30FF" w:rsidRDefault="00F03AB1" w:rsidP="00F03AB1">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Особено важно е, че практическите данни от ДГ „Осми март“ потвърдиха водещата роля на разходите за персонал и осигурителни плащания в структурата на общите разходи. Това е напълно закономерно предвид характера на дейността на детската градина като </w:t>
      </w:r>
      <w:r w:rsidRPr="004A30FF">
        <w:rPr>
          <w:rFonts w:ascii="Times New Roman" w:hAnsi="Times New Roman" w:cs="Times New Roman"/>
          <w:sz w:val="24"/>
          <w:szCs w:val="24"/>
        </w:rPr>
        <w:lastRenderedPageBreak/>
        <w:t>институция, предоставяща образователна и социална услуга. Освен това значителен дял заемат разходите за храна, консумативи, отопление, електроенергия, външни услуги и текуща издръжка, което също съответства на спецификата на дейността. Приходната част на отчета, от своя страна, е доминирана от бюджетни трансфери, а собствените приходи и дарения имат ограничен относителен дял. Това потвърждава, че финансовото функциониране на детската градина е типично за предприятие от публичния сектор, зависимо в основна степен от публично финансиране.</w:t>
      </w:r>
    </w:p>
    <w:p w14:paraId="7407A1A1" w14:textId="77777777" w:rsidR="00F03AB1" w:rsidRPr="004A30FF" w:rsidRDefault="00F03AB1" w:rsidP="00F03AB1">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Анализът на годишното счетоводно приключване в изследваното предприятие показа и че е налице значителна степен на съответствие със стандартите и методическите изисквания за публичния сектор, особено по отношение на организацията на текущото счетоводно отчитане, начисляването на амортизации, осчетоводяването на провизии, воденето на разчети и отчетността на бюджетните трансфери. В същото време изследването показа и известни ограничения, тъй като въз основа на предоставените документи не могат да бъдат категорично доказани всички етапи на приключвателния процес, като например извършването на инвентаризация, прилагането на корективни операции за събития след датата на баланса или окончателното приключване на сметките за приходи и разходи чрез сметка 1201 „Изменение на нетните активи за периода“. Това не означава непременно отсъствие на такива действия, а по-скоро показва, че тяхното документално отражение не е било налице в използваната изследователска база. Именно тук се проявява едно от ограниченията на настоящото изследване.</w:t>
      </w:r>
    </w:p>
    <w:p w14:paraId="63D083EA" w14:textId="77777777" w:rsidR="00F03AB1" w:rsidRPr="004A30FF" w:rsidRDefault="00F03AB1" w:rsidP="00F03AB1">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Въз основа на направения анализ може да се потвърди защитаваната теза, че годишното счетоводно приключване в предприятията от публичния сектор притежава ясно изразени специфики, обусловени от характера на дейността им, от особеностите на тяхното финансиране и от приложимата нормативна среда. Наред с това се потвърждава и разбирането, че съществуващата регламентация, макар и детайлна в национален план, поставя въпроса за необходимостта от по-нататъшно усъвършенстване и стандартизиране на счетоводството в публичния сектор. Такава стандартизация би допринесла за по-голяма яснота в методологията, за по-висока степен на съпоставимост между отделните бюджетни организации и за по-пълно доближаване на националната практика до международните и европейските изисквания.</w:t>
      </w:r>
    </w:p>
    <w:p w14:paraId="51618D89" w14:textId="77777777" w:rsidR="00F03AB1" w:rsidRPr="004A30FF" w:rsidRDefault="00F03AB1" w:rsidP="00F03AB1">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lastRenderedPageBreak/>
        <w:t>Следователно може да се направи общият извод, че годишното счетоводно приключване не е само финален етап от счетоводния цикъл, а важен инструмент за управление, контрол и отчетност в публичния сектор. Чрез него се гарантира, че обществените ресурси се отчитат по начин, който позволява проследимост, прозрачност и надеждна оценка на резултатите от дейността. В този контекст примерът на ДГ „Осми март“ гр. Радомир показва практическото приложение на нормативните и методическите изисквания и потвърждава значението на добре организираното счетоводно приключване за качеството на финансовата отчетност в бюджетните предприятия.</w:t>
      </w:r>
    </w:p>
    <w:p w14:paraId="267F9F55" w14:textId="43289B32" w:rsidR="00F03AB1" w:rsidRPr="004A30FF" w:rsidRDefault="00F03AB1" w:rsidP="00F03AB1">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Разгледаната проблематика разкрива необходимостта от продължаващо развитие на счетоводната рамка в публичния сектор, включително чрез усъвършенстване на националните правила, повишаване на методическата яснота и постепенно сближаване с международните стандарти за публичния сектор. Това е особено важно в условията на нарастващи изисквания към финансовата дисциплина, отчетността и ефективното управление на публичните средства. Ето защо въпросите, свързани с годишното счетоводно приключване в предприятията от публичния сектор, запазват своята актуалност и значимост както в теоретичен, така и в приложен аспект.</w:t>
      </w:r>
    </w:p>
    <w:p w14:paraId="31ED1510" w14:textId="6F4DDA5B" w:rsidR="00F03AB1" w:rsidRPr="004A30FF" w:rsidRDefault="00F03AB1">
      <w:pPr>
        <w:rPr>
          <w:rFonts w:ascii="Times New Roman" w:hAnsi="Times New Roman" w:cs="Times New Roman"/>
          <w:sz w:val="24"/>
          <w:szCs w:val="24"/>
        </w:rPr>
      </w:pPr>
      <w:r w:rsidRPr="004A30FF">
        <w:rPr>
          <w:rFonts w:ascii="Times New Roman" w:hAnsi="Times New Roman" w:cs="Times New Roman"/>
          <w:sz w:val="24"/>
          <w:szCs w:val="24"/>
        </w:rPr>
        <w:br w:type="page"/>
      </w:r>
    </w:p>
    <w:p w14:paraId="18BEC335" w14:textId="530B792E" w:rsidR="00F03AB1" w:rsidRPr="004A30FF" w:rsidRDefault="00F03AB1" w:rsidP="00F03AB1">
      <w:pPr>
        <w:spacing w:line="360" w:lineRule="auto"/>
        <w:ind w:firstLine="720"/>
        <w:jc w:val="center"/>
        <w:rPr>
          <w:rFonts w:ascii="Times New Roman" w:hAnsi="Times New Roman" w:cs="Times New Roman"/>
          <w:sz w:val="24"/>
          <w:szCs w:val="24"/>
        </w:rPr>
      </w:pPr>
      <w:r w:rsidRPr="004A30FF">
        <w:rPr>
          <w:rFonts w:ascii="Times New Roman" w:hAnsi="Times New Roman" w:cs="Times New Roman"/>
          <w:b/>
          <w:bCs/>
          <w:sz w:val="24"/>
          <w:szCs w:val="24"/>
        </w:rPr>
        <w:lastRenderedPageBreak/>
        <w:t>ИЗПОЛЗВАНА ЛИТЕРАТУРА</w:t>
      </w:r>
    </w:p>
    <w:p w14:paraId="7F1FDC2D" w14:textId="77777777" w:rsidR="008E58E6" w:rsidRPr="004A30FF" w:rsidRDefault="008E58E6" w:rsidP="008E58E6">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Душанов, Ив. Обща теория на счетоводството. Четвърто основно преработено и допълнено издание, Ромина, 2008.</w:t>
      </w:r>
    </w:p>
    <w:p w14:paraId="044E9D97" w14:textId="77777777" w:rsidR="008E58E6" w:rsidRPr="004A30FF" w:rsidRDefault="008E58E6" w:rsidP="008E58E6">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Димитров, М. и Симеонова, Р. Теория на счетоводството. Второ допълнено и актуализирано издание, Свищов, АИ „Ценов“, 2012.</w:t>
      </w:r>
    </w:p>
    <w:p w14:paraId="57006B6B" w14:textId="77777777" w:rsidR="008E58E6" w:rsidRPr="004A30FF" w:rsidRDefault="008E58E6" w:rsidP="008E58E6">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Закон за публичните финанси, изм. и доп. ДВ, бр. 91 от 14.11.2020 г.</w:t>
      </w:r>
    </w:p>
    <w:p w14:paraId="4625BF3D" w14:textId="77777777" w:rsidR="008E58E6" w:rsidRPr="004A30FF" w:rsidRDefault="008E58E6" w:rsidP="008E58E6">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Закон за счетоводството, в сила от 01.01.2016 г., изм. и доп. ДВ, бр. 105 от 19.12.2023 г.</w:t>
      </w:r>
    </w:p>
    <w:p w14:paraId="3126590F" w14:textId="77777777" w:rsidR="008E58E6" w:rsidRPr="004A30FF" w:rsidRDefault="008E58E6" w:rsidP="008E58E6">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Ималова, Д. Теоретични и практико-приложни аспекти на счетоводната политика на предприятията в публичния сектор. Свищов: Академично издателство „Д. А. Ценов“, 2012.</w:t>
      </w:r>
    </w:p>
    <w:p w14:paraId="27335C62" w14:textId="77777777" w:rsidR="008E58E6" w:rsidRPr="004A30FF" w:rsidRDefault="008E58E6" w:rsidP="008E58E6">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Министерство на финансите. ДДС № 10/28.12.2017 г. </w:t>
      </w:r>
      <w:hyperlink r:id="rId12" w:history="1">
        <w:r w:rsidRPr="004A30FF">
          <w:rPr>
            <w:rStyle w:val="Hyperlink"/>
            <w:rFonts w:ascii="Times New Roman" w:hAnsi="Times New Roman" w:cs="Times New Roman"/>
            <w:sz w:val="24"/>
            <w:szCs w:val="24"/>
          </w:rPr>
          <w:t>https://www.minfin.bg/upload/36093/DDS-10-2017-stock-taking-public.pdf</w:t>
        </w:r>
      </w:hyperlink>
    </w:p>
    <w:p w14:paraId="786BDD76" w14:textId="77777777" w:rsidR="008E58E6" w:rsidRPr="004A30FF" w:rsidRDefault="008E58E6" w:rsidP="008E58E6">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Национални счетоводни стандарти. ДДС № 20/2004 г.; ДДС № 07/2024 г.</w:t>
      </w:r>
    </w:p>
    <w:p w14:paraId="5D1BEB1B" w14:textId="77777777" w:rsidR="008E58E6" w:rsidRPr="004A30FF" w:rsidRDefault="008E58E6" w:rsidP="008E58E6">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Савова, К. Счетоводна политика на предприятията в публичния сектор в България – настояще и перспективи. Научни трудове на УНСС, том 4/2020, ИК-УНСС, София.</w:t>
      </w:r>
    </w:p>
    <w:p w14:paraId="131752BD" w14:textId="77777777" w:rsidR="008E58E6" w:rsidRPr="004A30FF" w:rsidRDefault="008E58E6" w:rsidP="008E58E6">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Сметкоплан на бюджетните организации, 2020 г., ДДС № 14/2013 г.</w:t>
      </w:r>
    </w:p>
    <w:p w14:paraId="00CDCDAB" w14:textId="77777777" w:rsidR="008E58E6" w:rsidRPr="004A30FF" w:rsidRDefault="008E58E6" w:rsidP="008E58E6">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Стоянов, Ст., Фесчиян, Д., Савова, К. и Андасарова, Р. Счетоводство в публичния сектор. София: ИК-УНСС, 2017.</w:t>
      </w:r>
    </w:p>
    <w:p w14:paraId="7257C4A7" w14:textId="77777777" w:rsidR="008E58E6" w:rsidRPr="004A30FF" w:rsidRDefault="008E58E6" w:rsidP="008E58E6">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Статев, С., Пиримова, В., Ралева, Ст. и Илиев, П. Икономика и публичен сектор. София: УНСС, УИ „Стопанство“, 2007.</w:t>
      </w:r>
    </w:p>
    <w:p w14:paraId="2C2028F7" w14:textId="77777777" w:rsidR="008E58E6" w:rsidRPr="004A30FF" w:rsidRDefault="008E58E6" w:rsidP="008E58E6">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Фесчиян, Д. Необходимост и перспективи в стандартизацията на счетоводството в публичния сектор. ИДЕС, бр. 2/2015. </w:t>
      </w:r>
      <w:hyperlink r:id="rId13" w:history="1">
        <w:r w:rsidRPr="004A30FF">
          <w:rPr>
            <w:rStyle w:val="Hyperlink"/>
            <w:rFonts w:ascii="Times New Roman" w:hAnsi="Times New Roman" w:cs="Times New Roman"/>
            <w:sz w:val="24"/>
            <w:szCs w:val="24"/>
          </w:rPr>
          <w:t>https://www.ides.bg/media/1261/02-2015-daniela-feschian.pdf</w:t>
        </w:r>
      </w:hyperlink>
    </w:p>
    <w:p w14:paraId="68D05921" w14:textId="77777777" w:rsidR="008E58E6" w:rsidRPr="004A30FF" w:rsidRDefault="008E58E6" w:rsidP="008E58E6">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Фесчиян, Д. и Савова, К. Подходи и политики на счетоводството в публичния сектор. София: ИК-УНСС, 2019.</w:t>
      </w:r>
    </w:p>
    <w:p w14:paraId="1BF8392E" w14:textId="77777777" w:rsidR="008E58E6" w:rsidRPr="004A30FF" w:rsidRDefault="008E58E6" w:rsidP="008E58E6">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lastRenderedPageBreak/>
        <w:t>Фесчиян, Д. и Павлова, В. Международни счетоводни стандарти за публичния сектор и процесът на хармонизация на счетоводството в ЕС. Икономически изследвания, година XXII, 2013, № 4.</w:t>
      </w:r>
    </w:p>
    <w:p w14:paraId="1CB66CA9" w14:textId="77777777" w:rsidR="008E58E6" w:rsidRPr="004A30FF" w:rsidRDefault="008E58E6" w:rsidP="008E58E6">
      <w:pPr>
        <w:spacing w:line="360" w:lineRule="auto"/>
        <w:ind w:firstLine="720"/>
        <w:jc w:val="both"/>
        <w:rPr>
          <w:rFonts w:ascii="Times New Roman" w:hAnsi="Times New Roman" w:cs="Times New Roman"/>
          <w:sz w:val="24"/>
          <w:szCs w:val="24"/>
        </w:rPr>
      </w:pPr>
      <w:hyperlink r:id="rId14" w:history="1">
        <w:r w:rsidRPr="004A30FF">
          <w:rPr>
            <w:rStyle w:val="Hyperlink"/>
            <w:rFonts w:ascii="Times New Roman" w:hAnsi="Times New Roman" w:cs="Times New Roman"/>
            <w:sz w:val="24"/>
            <w:szCs w:val="24"/>
          </w:rPr>
          <w:t>https://dg8mart-radomir.com/za-nas/istoriya.html</w:t>
        </w:r>
      </w:hyperlink>
    </w:p>
    <w:p w14:paraId="1D7345CB" w14:textId="77777777" w:rsidR="008E58E6" w:rsidRPr="004A30FF" w:rsidRDefault="008E58E6" w:rsidP="008E58E6">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Brown, C., &amp; Jackson, P. Public sector economics (4th ed.). Blackwell, 1998 (български вариант под общата редакция на Георги Манлиев, София).</w:t>
      </w:r>
    </w:p>
    <w:p w14:paraId="6A4951A3" w14:textId="77777777" w:rsidR="008E58E6" w:rsidRPr="004A30FF" w:rsidRDefault="008E58E6" w:rsidP="008E58E6">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International Public Sector Accounting Standards Board. (2023). The conceptual framework for general purpose financial reporting by public sector entities. International Federation of Accountants. </w:t>
      </w:r>
      <w:hyperlink r:id="rId15" w:history="1">
        <w:r w:rsidRPr="004A30FF">
          <w:rPr>
            <w:rStyle w:val="Hyperlink"/>
            <w:rFonts w:ascii="Times New Roman" w:hAnsi="Times New Roman" w:cs="Times New Roman"/>
            <w:sz w:val="24"/>
            <w:szCs w:val="24"/>
          </w:rPr>
          <w:t>https://www.ipsasb.org/publications/conceptual-framework-general-purpose-financial-reporting-public-sector-entities-2023</w:t>
        </w:r>
      </w:hyperlink>
    </w:p>
    <w:p w14:paraId="19CDD2B4" w14:textId="77777777" w:rsidR="008E58E6" w:rsidRPr="004A30FF" w:rsidRDefault="008E58E6" w:rsidP="008E58E6">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 xml:space="preserve">International Public Sector Accounting Standards Board. (2025). 2025 handbook of international public sector accounting pronouncements. International Federation of Accountants. </w:t>
      </w:r>
      <w:hyperlink r:id="rId16" w:history="1">
        <w:r w:rsidRPr="004A30FF">
          <w:rPr>
            <w:rStyle w:val="Hyperlink"/>
            <w:rFonts w:ascii="Times New Roman" w:hAnsi="Times New Roman" w:cs="Times New Roman"/>
            <w:sz w:val="24"/>
            <w:szCs w:val="24"/>
          </w:rPr>
          <w:t>https://www.ipsasb.org/publications/2025-handbook-international-public-sector-accounting-pronouncements</w:t>
        </w:r>
      </w:hyperlink>
    </w:p>
    <w:p w14:paraId="0818F9DE" w14:textId="77777777" w:rsidR="008E58E6" w:rsidRPr="004A30FF" w:rsidRDefault="008E58E6" w:rsidP="008E58E6">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International Public Sector Accounting Standards Board. (2025). IPSAS 1: Presentation of financial statements. International Federation of Accountants.</w:t>
      </w:r>
    </w:p>
    <w:p w14:paraId="41366F26" w14:textId="77777777" w:rsidR="008E58E6" w:rsidRPr="004A30FF" w:rsidRDefault="008E58E6" w:rsidP="008E58E6">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International Public Sector Accounting Standards Board. (2025). IPSAS 2: Cash flow statements. International Federation of Accountants.</w:t>
      </w:r>
    </w:p>
    <w:p w14:paraId="6052D2CE" w14:textId="77777777" w:rsidR="008E58E6" w:rsidRPr="004A30FF" w:rsidRDefault="008E58E6" w:rsidP="008E58E6">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International Public Sector Accounting Standards Board. (2025). IPSAS 9: Revenue from exchange transactions. International Federation of Accountants.</w:t>
      </w:r>
    </w:p>
    <w:p w14:paraId="646E060B" w14:textId="77777777" w:rsidR="008E58E6" w:rsidRPr="004A30FF" w:rsidRDefault="008E58E6" w:rsidP="008E58E6">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International Public Sector Accounting Standards Board. (2025). IPSAS 17: Property, plant, and equipment. International Federation of Accountants.</w:t>
      </w:r>
    </w:p>
    <w:p w14:paraId="6BEAD2B3" w14:textId="77777777" w:rsidR="008E58E6" w:rsidRPr="004A30FF" w:rsidRDefault="008E58E6" w:rsidP="008E58E6">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International Public Sector Accounting Standards Board. (2025). IPSAS 19: Provisions, contingent liabilities and contingent assets. International Federation of Accountants.</w:t>
      </w:r>
    </w:p>
    <w:p w14:paraId="2AA1FCCA" w14:textId="77777777" w:rsidR="008E58E6" w:rsidRPr="004A30FF" w:rsidRDefault="008E58E6" w:rsidP="008E58E6">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International Public Sector Accounting Standards Board. (2025). IPSAS 21: Impairment of non-cash-generating assets. International Federation of Accountants.</w:t>
      </w:r>
    </w:p>
    <w:p w14:paraId="236B8A41" w14:textId="77777777" w:rsidR="008E58E6" w:rsidRPr="004A30FF" w:rsidRDefault="008E58E6" w:rsidP="008E58E6">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lastRenderedPageBreak/>
        <w:t>International Public Sector Accounting Standards Board. (2025). IPSAS 23: Revenue from non-exchange transactions (taxes and transfers). International Federation of Accountants.</w:t>
      </w:r>
    </w:p>
    <w:p w14:paraId="6FA3B448" w14:textId="77777777" w:rsidR="008E58E6" w:rsidRPr="004A30FF" w:rsidRDefault="008E58E6" w:rsidP="008E58E6">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International Public Sector Accounting Standards Board. (2025). IPSAS 24: Presentation of budget information in financial statements. International Federation of Accountants.</w:t>
      </w:r>
    </w:p>
    <w:p w14:paraId="764811BC" w14:textId="77777777" w:rsidR="008E58E6" w:rsidRPr="004A30FF" w:rsidRDefault="008E58E6" w:rsidP="008E58E6">
      <w:pPr>
        <w:spacing w:line="360" w:lineRule="auto"/>
        <w:ind w:firstLine="720"/>
        <w:jc w:val="both"/>
        <w:rPr>
          <w:rFonts w:ascii="Times New Roman" w:hAnsi="Times New Roman" w:cs="Times New Roman"/>
          <w:sz w:val="24"/>
          <w:szCs w:val="24"/>
        </w:rPr>
      </w:pPr>
      <w:r w:rsidRPr="004A30FF">
        <w:rPr>
          <w:rFonts w:ascii="Times New Roman" w:hAnsi="Times New Roman" w:cs="Times New Roman"/>
          <w:sz w:val="24"/>
          <w:szCs w:val="24"/>
        </w:rPr>
        <w:t>International Public Sector Accounting Standards Board. (2025). IPSAS 26: Impairment of cash-generating assets. International Federation of Accountants.</w:t>
      </w:r>
    </w:p>
    <w:p w14:paraId="55CCF7E1" w14:textId="77777777" w:rsidR="00F03AB1" w:rsidRPr="004A30FF" w:rsidRDefault="00F03AB1" w:rsidP="00F03AB1">
      <w:pPr>
        <w:spacing w:line="360" w:lineRule="auto"/>
        <w:ind w:firstLine="720"/>
        <w:jc w:val="both"/>
        <w:rPr>
          <w:rFonts w:ascii="Times New Roman" w:hAnsi="Times New Roman" w:cs="Times New Roman"/>
          <w:sz w:val="24"/>
          <w:szCs w:val="24"/>
        </w:rPr>
      </w:pPr>
    </w:p>
    <w:p w14:paraId="2040320F" w14:textId="77777777" w:rsidR="00F03AB1" w:rsidRPr="004A30FF" w:rsidRDefault="00F03AB1" w:rsidP="00F03AB1">
      <w:pPr>
        <w:spacing w:line="360" w:lineRule="auto"/>
        <w:ind w:firstLine="720"/>
        <w:jc w:val="both"/>
        <w:rPr>
          <w:rFonts w:ascii="Times New Roman" w:hAnsi="Times New Roman" w:cs="Times New Roman"/>
          <w:sz w:val="24"/>
          <w:szCs w:val="24"/>
        </w:rPr>
      </w:pPr>
    </w:p>
    <w:p w14:paraId="73916EDD" w14:textId="4D66FDF3" w:rsidR="003846D4" w:rsidRPr="004A30FF" w:rsidRDefault="003846D4" w:rsidP="00F03AB1">
      <w:pPr>
        <w:ind w:firstLine="720"/>
        <w:jc w:val="both"/>
        <w:rPr>
          <w:rFonts w:ascii="Times New Roman" w:hAnsi="Times New Roman" w:cs="Times New Roman"/>
          <w:b/>
          <w:bCs/>
          <w:sz w:val="28"/>
          <w:szCs w:val="28"/>
        </w:rPr>
      </w:pPr>
      <w:r w:rsidRPr="004A30FF">
        <w:rPr>
          <w:rFonts w:ascii="Times New Roman" w:hAnsi="Times New Roman" w:cs="Times New Roman"/>
          <w:b/>
          <w:bCs/>
          <w:sz w:val="28"/>
          <w:szCs w:val="28"/>
        </w:rPr>
        <w:br w:type="page"/>
      </w:r>
    </w:p>
    <w:p w14:paraId="5F267D8F" w14:textId="1713F457" w:rsidR="00AD20B5" w:rsidRPr="004A30FF" w:rsidRDefault="00ED5A98" w:rsidP="00ED5A98">
      <w:pPr>
        <w:spacing w:line="360" w:lineRule="auto"/>
        <w:jc w:val="center"/>
        <w:rPr>
          <w:rFonts w:ascii="Times New Roman" w:hAnsi="Times New Roman" w:cs="Times New Roman"/>
          <w:b/>
          <w:bCs/>
          <w:sz w:val="28"/>
          <w:szCs w:val="28"/>
        </w:rPr>
      </w:pPr>
      <w:r w:rsidRPr="004A30FF">
        <w:rPr>
          <w:rFonts w:ascii="Times New Roman" w:hAnsi="Times New Roman" w:cs="Times New Roman"/>
          <w:b/>
          <w:bCs/>
          <w:sz w:val="28"/>
          <w:szCs w:val="28"/>
        </w:rPr>
        <w:lastRenderedPageBreak/>
        <w:t xml:space="preserve">Приложение 1. </w:t>
      </w:r>
      <w:r w:rsidR="00C94975" w:rsidRPr="004A30FF">
        <w:rPr>
          <w:rFonts w:ascii="Times New Roman" w:hAnsi="Times New Roman" w:cs="Times New Roman"/>
          <w:b/>
          <w:bCs/>
          <w:sz w:val="28"/>
          <w:szCs w:val="28"/>
        </w:rPr>
        <w:t>Главна книга на ДГ „Осми март“ гр. Радомир</w:t>
      </w:r>
      <w:r w:rsidR="00A770D1" w:rsidRPr="004A30FF">
        <w:rPr>
          <w:rFonts w:ascii="Times New Roman" w:hAnsi="Times New Roman" w:cs="Times New Roman"/>
          <w:b/>
          <w:bCs/>
          <w:sz w:val="28"/>
          <w:szCs w:val="28"/>
        </w:rPr>
        <w:t xml:space="preserve"> до месец Декември 2023г. с натрупване</w:t>
      </w:r>
    </w:p>
    <w:p w14:paraId="5203D3DC" w14:textId="0D838B24" w:rsidR="000D40AB" w:rsidRPr="004A30FF" w:rsidRDefault="000D40AB" w:rsidP="000D40AB">
      <w:pPr>
        <w:spacing w:line="360" w:lineRule="auto"/>
        <w:rPr>
          <w:rFonts w:ascii="Times New Roman" w:hAnsi="Times New Roman" w:cs="Times New Roman"/>
          <w:b/>
          <w:bCs/>
          <w:sz w:val="24"/>
          <w:szCs w:val="24"/>
        </w:rPr>
      </w:pPr>
      <w:r w:rsidRPr="004A30FF">
        <w:rPr>
          <w:rFonts w:ascii="Times New Roman" w:hAnsi="Times New Roman" w:cs="Times New Roman"/>
          <w:b/>
          <w:bCs/>
          <w:sz w:val="24"/>
          <w:szCs w:val="24"/>
        </w:rPr>
        <w:t>Таблица 3.1</w:t>
      </w:r>
    </w:p>
    <w:tbl>
      <w:tblPr>
        <w:tblStyle w:val="TableGrid0"/>
        <w:tblW w:w="0" w:type="auto"/>
        <w:tblLook w:val="04A0" w:firstRow="1" w:lastRow="0" w:firstColumn="1" w:lastColumn="0" w:noHBand="0" w:noVBand="1"/>
      </w:tblPr>
      <w:tblGrid>
        <w:gridCol w:w="2337"/>
        <w:gridCol w:w="2337"/>
        <w:gridCol w:w="2338"/>
        <w:gridCol w:w="2338"/>
      </w:tblGrid>
      <w:tr w:rsidR="004B54CE" w:rsidRPr="004A30FF" w14:paraId="60111E2F" w14:textId="77777777" w:rsidTr="004B54CE">
        <w:tc>
          <w:tcPr>
            <w:tcW w:w="2337" w:type="dxa"/>
          </w:tcPr>
          <w:p w14:paraId="400302C5" w14:textId="77777777" w:rsidR="004B54CE" w:rsidRPr="004A30FF" w:rsidRDefault="002C61C5"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1001</w:t>
            </w:r>
          </w:p>
          <w:p w14:paraId="013F5B4A" w14:textId="052EC984" w:rsidR="00E27D59" w:rsidRPr="004A30FF" w:rsidRDefault="00E27D59"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769DC49A" w14:textId="53118B62" w:rsidR="004B54CE" w:rsidRPr="004A30FF" w:rsidRDefault="00E27D59"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Разполагаем капитал</w:t>
            </w:r>
          </w:p>
        </w:tc>
        <w:tc>
          <w:tcPr>
            <w:tcW w:w="2338" w:type="dxa"/>
          </w:tcPr>
          <w:p w14:paraId="1D8C33EC" w14:textId="31D4B44F" w:rsidR="004B54CE" w:rsidRPr="004A30FF" w:rsidRDefault="004A42D8"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1001 и кредита на сметката в лева</w:t>
            </w:r>
          </w:p>
        </w:tc>
        <w:tc>
          <w:tcPr>
            <w:tcW w:w="2338" w:type="dxa"/>
          </w:tcPr>
          <w:p w14:paraId="26B09A03" w14:textId="2EC96304" w:rsidR="004B54CE" w:rsidRPr="004A30FF" w:rsidRDefault="004A42D8"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1001 и деби</w:t>
            </w:r>
            <w:r w:rsidR="00670403" w:rsidRPr="004A30FF">
              <w:rPr>
                <w:rFonts w:ascii="Times New Roman" w:hAnsi="Times New Roman" w:cs="Times New Roman"/>
                <w:sz w:val="24"/>
                <w:szCs w:val="24"/>
              </w:rPr>
              <w:t>та на сметката в лева</w:t>
            </w:r>
          </w:p>
        </w:tc>
      </w:tr>
      <w:tr w:rsidR="004B54CE" w:rsidRPr="004A30FF" w14:paraId="14BDC93B" w14:textId="77777777" w:rsidTr="004B54CE">
        <w:tc>
          <w:tcPr>
            <w:tcW w:w="2337" w:type="dxa"/>
          </w:tcPr>
          <w:p w14:paraId="0BBFDAA7" w14:textId="77777777" w:rsidR="004B54CE" w:rsidRPr="004A30FF" w:rsidRDefault="004B54CE" w:rsidP="000D40AB">
            <w:pPr>
              <w:spacing w:line="360" w:lineRule="auto"/>
              <w:jc w:val="right"/>
              <w:rPr>
                <w:rFonts w:ascii="Times New Roman" w:hAnsi="Times New Roman" w:cs="Times New Roman"/>
                <w:sz w:val="24"/>
                <w:szCs w:val="24"/>
              </w:rPr>
            </w:pPr>
          </w:p>
        </w:tc>
        <w:tc>
          <w:tcPr>
            <w:tcW w:w="2337" w:type="dxa"/>
          </w:tcPr>
          <w:p w14:paraId="5A33E985" w14:textId="3DAD6012" w:rsidR="004B54CE" w:rsidRPr="004A30FF" w:rsidRDefault="00E27D59"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Начално салдо</w:t>
            </w:r>
          </w:p>
        </w:tc>
        <w:tc>
          <w:tcPr>
            <w:tcW w:w="2338" w:type="dxa"/>
          </w:tcPr>
          <w:p w14:paraId="14927DA5" w14:textId="49D1E44C" w:rsidR="004B54CE" w:rsidRPr="004A30FF" w:rsidRDefault="00670403"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52EACCC0" w14:textId="6046F5A2" w:rsidR="004B54CE" w:rsidRPr="004A30FF" w:rsidRDefault="00670403"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183,148.60</w:t>
            </w:r>
          </w:p>
        </w:tc>
      </w:tr>
    </w:tbl>
    <w:p w14:paraId="3551ECBD" w14:textId="2F3DDF15" w:rsidR="00670403" w:rsidRPr="004A30FF" w:rsidRDefault="00670403"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0D40AB"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               </w:t>
      </w:r>
      <w:r w:rsidR="000D40AB"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183,418.60</w:t>
      </w:r>
    </w:p>
    <w:p w14:paraId="7FB8FF12" w14:textId="550D99D2" w:rsidR="00670403" w:rsidRPr="004A30FF" w:rsidRDefault="00670403"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0D40AB" w:rsidRPr="004A30FF">
        <w:rPr>
          <w:rFonts w:ascii="Times New Roman" w:hAnsi="Times New Roman" w:cs="Times New Roman"/>
          <w:sz w:val="24"/>
          <w:szCs w:val="24"/>
        </w:rPr>
        <w:t xml:space="preserve">                 </w:t>
      </w:r>
      <w:r w:rsidRPr="004A30FF">
        <w:rPr>
          <w:rFonts w:ascii="Times New Roman" w:hAnsi="Times New Roman" w:cs="Times New Roman"/>
          <w:sz w:val="24"/>
          <w:szCs w:val="24"/>
        </w:rPr>
        <w:t>183,418.60</w:t>
      </w:r>
    </w:p>
    <w:tbl>
      <w:tblPr>
        <w:tblStyle w:val="TableGrid0"/>
        <w:tblW w:w="0" w:type="auto"/>
        <w:tblLook w:val="04A0" w:firstRow="1" w:lastRow="0" w:firstColumn="1" w:lastColumn="0" w:noHBand="0" w:noVBand="1"/>
      </w:tblPr>
      <w:tblGrid>
        <w:gridCol w:w="2337"/>
        <w:gridCol w:w="2337"/>
        <w:gridCol w:w="2338"/>
        <w:gridCol w:w="2338"/>
      </w:tblGrid>
      <w:tr w:rsidR="00084EB0" w:rsidRPr="004A30FF" w14:paraId="7DD5B32B" w14:textId="77777777" w:rsidTr="00084EB0">
        <w:tc>
          <w:tcPr>
            <w:tcW w:w="2337" w:type="dxa"/>
          </w:tcPr>
          <w:p w14:paraId="0690670C" w14:textId="77777777" w:rsidR="00084EB0" w:rsidRPr="004A30FF" w:rsidRDefault="00084EB0"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1101</w:t>
            </w:r>
          </w:p>
          <w:p w14:paraId="41C5DAFC" w14:textId="2FDD03A5" w:rsidR="00084EB0" w:rsidRPr="004A30FF" w:rsidRDefault="00084EB0"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 xml:space="preserve">Със сметка </w:t>
            </w:r>
          </w:p>
        </w:tc>
        <w:tc>
          <w:tcPr>
            <w:tcW w:w="2337" w:type="dxa"/>
          </w:tcPr>
          <w:p w14:paraId="5E6ED05C" w14:textId="2F7B88E4" w:rsidR="00084EB0" w:rsidRPr="004A30FF" w:rsidRDefault="00084EB0"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Акумулира</w:t>
            </w:r>
            <w:r w:rsidR="00CC060D" w:rsidRPr="004A30FF">
              <w:rPr>
                <w:rFonts w:ascii="Times New Roman" w:hAnsi="Times New Roman" w:cs="Times New Roman"/>
                <w:sz w:val="24"/>
                <w:szCs w:val="24"/>
              </w:rPr>
              <w:t>но изменение на нетните активи</w:t>
            </w:r>
          </w:p>
        </w:tc>
        <w:tc>
          <w:tcPr>
            <w:tcW w:w="2338" w:type="dxa"/>
          </w:tcPr>
          <w:p w14:paraId="5C3C38F4" w14:textId="1A9B9523" w:rsidR="00084EB0" w:rsidRPr="004A30FF" w:rsidRDefault="00665C74"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 xml:space="preserve">По сметката на </w:t>
            </w:r>
            <w:r w:rsidR="00093624" w:rsidRPr="004A30FF">
              <w:rPr>
                <w:rFonts w:ascii="Times New Roman" w:hAnsi="Times New Roman" w:cs="Times New Roman"/>
                <w:sz w:val="24"/>
                <w:szCs w:val="24"/>
              </w:rPr>
              <w:t>1101 и кредита на сметката в лева</w:t>
            </w:r>
          </w:p>
        </w:tc>
        <w:tc>
          <w:tcPr>
            <w:tcW w:w="2338" w:type="dxa"/>
          </w:tcPr>
          <w:p w14:paraId="0D61D930" w14:textId="178C42D6" w:rsidR="00084EB0" w:rsidRPr="004A30FF" w:rsidRDefault="00093624"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1101 и дебита на сметката в лева</w:t>
            </w:r>
          </w:p>
        </w:tc>
      </w:tr>
      <w:tr w:rsidR="00084EB0" w:rsidRPr="004A30FF" w14:paraId="23DF24CD" w14:textId="77777777" w:rsidTr="00084EB0">
        <w:tc>
          <w:tcPr>
            <w:tcW w:w="2337" w:type="dxa"/>
          </w:tcPr>
          <w:p w14:paraId="0A476353" w14:textId="77777777" w:rsidR="00084EB0" w:rsidRPr="004A30FF" w:rsidRDefault="00084EB0" w:rsidP="000D40AB">
            <w:pPr>
              <w:spacing w:line="360" w:lineRule="auto"/>
              <w:jc w:val="right"/>
              <w:rPr>
                <w:rFonts w:ascii="Times New Roman" w:hAnsi="Times New Roman" w:cs="Times New Roman"/>
                <w:sz w:val="24"/>
                <w:szCs w:val="24"/>
              </w:rPr>
            </w:pPr>
          </w:p>
        </w:tc>
        <w:tc>
          <w:tcPr>
            <w:tcW w:w="2337" w:type="dxa"/>
          </w:tcPr>
          <w:p w14:paraId="6FBA0D70" w14:textId="29E48F6C" w:rsidR="00084EB0" w:rsidRPr="004A30FF" w:rsidRDefault="00CC060D"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Начално салдо</w:t>
            </w:r>
          </w:p>
        </w:tc>
        <w:tc>
          <w:tcPr>
            <w:tcW w:w="2338" w:type="dxa"/>
          </w:tcPr>
          <w:p w14:paraId="4FA27AEC" w14:textId="13869164" w:rsidR="00084EB0" w:rsidRPr="004A30FF" w:rsidRDefault="00093624"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275285AE" w14:textId="25B633BF" w:rsidR="00084EB0" w:rsidRPr="004A30FF" w:rsidRDefault="00093624"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59,819.27</w:t>
            </w:r>
          </w:p>
        </w:tc>
      </w:tr>
    </w:tbl>
    <w:p w14:paraId="6E5C16D2" w14:textId="762B8F7F" w:rsidR="00093624" w:rsidRPr="004A30FF" w:rsidRDefault="00A8505C"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0D40AB"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0,00   </w:t>
      </w:r>
      <w:r w:rsidR="000D40AB"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w:t>
      </w:r>
      <w:r w:rsidR="00DD6273" w:rsidRPr="004A30FF">
        <w:rPr>
          <w:rFonts w:ascii="Times New Roman" w:hAnsi="Times New Roman" w:cs="Times New Roman"/>
          <w:sz w:val="24"/>
          <w:szCs w:val="24"/>
        </w:rPr>
        <w:t>59,819.27</w:t>
      </w:r>
    </w:p>
    <w:p w14:paraId="6D7866E6" w14:textId="54B8AAB6" w:rsidR="00DD6273" w:rsidRPr="004A30FF" w:rsidRDefault="00DD6273"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0D40AB"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59,819.27</w:t>
      </w:r>
    </w:p>
    <w:tbl>
      <w:tblPr>
        <w:tblStyle w:val="TableGrid0"/>
        <w:tblW w:w="0" w:type="auto"/>
        <w:tblLook w:val="04A0" w:firstRow="1" w:lastRow="0" w:firstColumn="1" w:lastColumn="0" w:noHBand="0" w:noVBand="1"/>
      </w:tblPr>
      <w:tblGrid>
        <w:gridCol w:w="2337"/>
        <w:gridCol w:w="2337"/>
        <w:gridCol w:w="2338"/>
        <w:gridCol w:w="2338"/>
      </w:tblGrid>
      <w:tr w:rsidR="00406E10" w:rsidRPr="004A30FF" w14:paraId="66147162" w14:textId="77777777" w:rsidTr="00406E10">
        <w:tc>
          <w:tcPr>
            <w:tcW w:w="2337" w:type="dxa"/>
          </w:tcPr>
          <w:p w14:paraId="45376F12" w14:textId="77777777" w:rsidR="00406E10" w:rsidRPr="004A30FF" w:rsidRDefault="00406E10"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2010</w:t>
            </w:r>
          </w:p>
          <w:p w14:paraId="4A4C47DD" w14:textId="14B33265" w:rsidR="00406E10" w:rsidRPr="004A30FF" w:rsidRDefault="00406E10"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6B6DC55F" w14:textId="52654D11" w:rsidR="00406E10" w:rsidRPr="004A30FF" w:rsidRDefault="000921EE"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Прилежащи към сгради и съоръжения земи</w:t>
            </w:r>
          </w:p>
        </w:tc>
        <w:tc>
          <w:tcPr>
            <w:tcW w:w="2338" w:type="dxa"/>
          </w:tcPr>
          <w:p w14:paraId="6D39B06A" w14:textId="754BA466" w:rsidR="00406E10" w:rsidRPr="004A30FF" w:rsidRDefault="003C1604"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2010 и кредита на сметката в лева</w:t>
            </w:r>
          </w:p>
        </w:tc>
        <w:tc>
          <w:tcPr>
            <w:tcW w:w="2338" w:type="dxa"/>
          </w:tcPr>
          <w:p w14:paraId="5931C9B8" w14:textId="41BF3845" w:rsidR="00406E10" w:rsidRPr="004A30FF" w:rsidRDefault="00EF5DBB"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2010 и дебита на сметката в лева</w:t>
            </w:r>
          </w:p>
        </w:tc>
      </w:tr>
      <w:tr w:rsidR="00406E10" w:rsidRPr="004A30FF" w14:paraId="741EAC63" w14:textId="77777777" w:rsidTr="00406E10">
        <w:tc>
          <w:tcPr>
            <w:tcW w:w="2337" w:type="dxa"/>
          </w:tcPr>
          <w:p w14:paraId="394E98C4" w14:textId="77777777" w:rsidR="00406E10" w:rsidRPr="004A30FF" w:rsidRDefault="00406E10" w:rsidP="000D40AB">
            <w:pPr>
              <w:spacing w:line="360" w:lineRule="auto"/>
              <w:jc w:val="right"/>
              <w:rPr>
                <w:rFonts w:ascii="Times New Roman" w:hAnsi="Times New Roman" w:cs="Times New Roman"/>
                <w:sz w:val="24"/>
                <w:szCs w:val="24"/>
              </w:rPr>
            </w:pPr>
          </w:p>
        </w:tc>
        <w:tc>
          <w:tcPr>
            <w:tcW w:w="2337" w:type="dxa"/>
          </w:tcPr>
          <w:p w14:paraId="17475AB7" w14:textId="18DCF302" w:rsidR="00406E10" w:rsidRPr="004A30FF" w:rsidRDefault="000921EE"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Начално салдо</w:t>
            </w:r>
          </w:p>
        </w:tc>
        <w:tc>
          <w:tcPr>
            <w:tcW w:w="2338" w:type="dxa"/>
          </w:tcPr>
          <w:p w14:paraId="276FEB35" w14:textId="1987C724" w:rsidR="00406E10" w:rsidRPr="004A30FF" w:rsidRDefault="00EF5DBB"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58,140.00</w:t>
            </w:r>
          </w:p>
        </w:tc>
        <w:tc>
          <w:tcPr>
            <w:tcW w:w="2338" w:type="dxa"/>
          </w:tcPr>
          <w:p w14:paraId="0B9F2A19" w14:textId="4F8C386D" w:rsidR="00406E10" w:rsidRPr="004A30FF" w:rsidRDefault="00EF5DBB"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3CCAE9D3" w14:textId="16DE9CEC" w:rsidR="000D40AB" w:rsidRPr="004A30FF" w:rsidRDefault="005927A7" w:rsidP="000D40AB">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0D40AB"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58,140.00             </w:t>
      </w:r>
      <w:r w:rsidR="000D40AB"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w:t>
      </w:r>
    </w:p>
    <w:p w14:paraId="45DB7BA2" w14:textId="72072335" w:rsidR="009C13F6" w:rsidRPr="004A30FF" w:rsidRDefault="000D40AB" w:rsidP="000D40AB">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 </w:t>
      </w:r>
      <w:r w:rsidR="005927A7" w:rsidRPr="004A30FF">
        <w:rPr>
          <w:rFonts w:ascii="Times New Roman" w:hAnsi="Times New Roman" w:cs="Times New Roman"/>
          <w:sz w:val="24"/>
          <w:szCs w:val="24"/>
        </w:rPr>
        <w:t xml:space="preserve">Крайно салдо в лева                                  </w:t>
      </w:r>
      <w:r w:rsidRPr="004A30FF">
        <w:rPr>
          <w:rFonts w:ascii="Times New Roman" w:hAnsi="Times New Roman" w:cs="Times New Roman"/>
          <w:sz w:val="24"/>
          <w:szCs w:val="24"/>
        </w:rPr>
        <w:t xml:space="preserve"> </w:t>
      </w:r>
      <w:r w:rsidR="005927A7"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w:t>
      </w:r>
      <w:r w:rsidR="005927A7" w:rsidRPr="004A30FF">
        <w:rPr>
          <w:rFonts w:ascii="Times New Roman" w:hAnsi="Times New Roman" w:cs="Times New Roman"/>
          <w:sz w:val="24"/>
          <w:szCs w:val="24"/>
        </w:rPr>
        <w:t>58,140.00</w:t>
      </w:r>
    </w:p>
    <w:tbl>
      <w:tblPr>
        <w:tblStyle w:val="TableGrid0"/>
        <w:tblW w:w="0" w:type="auto"/>
        <w:tblLook w:val="04A0" w:firstRow="1" w:lastRow="0" w:firstColumn="1" w:lastColumn="0" w:noHBand="0" w:noVBand="1"/>
      </w:tblPr>
      <w:tblGrid>
        <w:gridCol w:w="2337"/>
        <w:gridCol w:w="2337"/>
        <w:gridCol w:w="2338"/>
        <w:gridCol w:w="2338"/>
      </w:tblGrid>
      <w:tr w:rsidR="007D25EF" w:rsidRPr="004A30FF" w14:paraId="16B709D1" w14:textId="77777777" w:rsidTr="007D25EF">
        <w:tc>
          <w:tcPr>
            <w:tcW w:w="2337" w:type="dxa"/>
          </w:tcPr>
          <w:p w14:paraId="5B34DB55" w14:textId="77777777" w:rsidR="007D25EF" w:rsidRPr="004A30FF" w:rsidRDefault="007D25EF"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 xml:space="preserve">Сметка 2031 </w:t>
            </w:r>
          </w:p>
          <w:p w14:paraId="07489C7D" w14:textId="29B56AE5" w:rsidR="007D25EF" w:rsidRPr="004A30FF" w:rsidRDefault="007D25EF"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 xml:space="preserve">Със сметка </w:t>
            </w:r>
          </w:p>
        </w:tc>
        <w:tc>
          <w:tcPr>
            <w:tcW w:w="2337" w:type="dxa"/>
          </w:tcPr>
          <w:p w14:paraId="07A814E5" w14:textId="3DF05167" w:rsidR="007D25EF" w:rsidRPr="004A30FF" w:rsidRDefault="007D25EF"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 xml:space="preserve">Административни </w:t>
            </w:r>
            <w:r w:rsidR="00BB0CF2" w:rsidRPr="004A30FF">
              <w:rPr>
                <w:rFonts w:ascii="Times New Roman" w:hAnsi="Times New Roman" w:cs="Times New Roman"/>
                <w:sz w:val="24"/>
                <w:szCs w:val="24"/>
              </w:rPr>
              <w:t>сгради</w:t>
            </w:r>
          </w:p>
        </w:tc>
        <w:tc>
          <w:tcPr>
            <w:tcW w:w="2338" w:type="dxa"/>
          </w:tcPr>
          <w:p w14:paraId="5636527B" w14:textId="3505730A" w:rsidR="007D25EF" w:rsidRPr="004A30FF" w:rsidRDefault="00BB0CF2"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2031</w:t>
            </w:r>
            <w:r w:rsidR="00AB723F" w:rsidRPr="004A30FF">
              <w:rPr>
                <w:rFonts w:ascii="Times New Roman" w:hAnsi="Times New Roman" w:cs="Times New Roman"/>
                <w:sz w:val="24"/>
                <w:szCs w:val="24"/>
              </w:rPr>
              <w:t xml:space="preserve"> и кредита на сметката в лева</w:t>
            </w:r>
          </w:p>
        </w:tc>
        <w:tc>
          <w:tcPr>
            <w:tcW w:w="2338" w:type="dxa"/>
          </w:tcPr>
          <w:p w14:paraId="7D0728D9" w14:textId="6BB978B4" w:rsidR="007D25EF" w:rsidRPr="004A30FF" w:rsidRDefault="00AB723F"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2031 и дебита на сметката в л</w:t>
            </w:r>
            <w:r w:rsidR="009C13F6" w:rsidRPr="004A30FF">
              <w:rPr>
                <w:rFonts w:ascii="Times New Roman" w:hAnsi="Times New Roman" w:cs="Times New Roman"/>
                <w:sz w:val="24"/>
                <w:szCs w:val="24"/>
              </w:rPr>
              <w:t>ева</w:t>
            </w:r>
          </w:p>
        </w:tc>
      </w:tr>
      <w:tr w:rsidR="007D25EF" w:rsidRPr="004A30FF" w14:paraId="4E56655C" w14:textId="77777777" w:rsidTr="007D25EF">
        <w:tc>
          <w:tcPr>
            <w:tcW w:w="2337" w:type="dxa"/>
          </w:tcPr>
          <w:p w14:paraId="07004982" w14:textId="77777777" w:rsidR="007D25EF" w:rsidRPr="004A30FF" w:rsidRDefault="007D25EF" w:rsidP="000D40AB">
            <w:pPr>
              <w:spacing w:line="360" w:lineRule="auto"/>
              <w:jc w:val="right"/>
              <w:rPr>
                <w:rFonts w:ascii="Times New Roman" w:hAnsi="Times New Roman" w:cs="Times New Roman"/>
                <w:sz w:val="24"/>
                <w:szCs w:val="24"/>
              </w:rPr>
            </w:pPr>
          </w:p>
        </w:tc>
        <w:tc>
          <w:tcPr>
            <w:tcW w:w="2337" w:type="dxa"/>
          </w:tcPr>
          <w:p w14:paraId="3110A4A5" w14:textId="59BEBE5E" w:rsidR="007D25EF" w:rsidRPr="004A30FF" w:rsidRDefault="00BB0CF2"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Начално салдо</w:t>
            </w:r>
          </w:p>
        </w:tc>
        <w:tc>
          <w:tcPr>
            <w:tcW w:w="2338" w:type="dxa"/>
          </w:tcPr>
          <w:p w14:paraId="66890C0E" w14:textId="5251160E" w:rsidR="007D25EF" w:rsidRPr="004A30FF" w:rsidRDefault="009C13F6"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203,371.41</w:t>
            </w:r>
          </w:p>
        </w:tc>
        <w:tc>
          <w:tcPr>
            <w:tcW w:w="2338" w:type="dxa"/>
          </w:tcPr>
          <w:p w14:paraId="32A0652E" w14:textId="24B9D0E4" w:rsidR="007D25EF" w:rsidRPr="004A30FF" w:rsidRDefault="009C13F6"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5CD15474" w14:textId="6F1526C0" w:rsidR="009C13F6" w:rsidRPr="004A30FF" w:rsidRDefault="009A2955"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0D40AB"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203,371.41                 </w:t>
      </w:r>
      <w:r w:rsidR="000D40AB"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w:t>
      </w:r>
    </w:p>
    <w:p w14:paraId="30319FAF" w14:textId="7F1DCD01" w:rsidR="009A2955" w:rsidRPr="004A30FF" w:rsidRDefault="009A2955"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0D40AB" w:rsidRPr="004A30FF">
        <w:rPr>
          <w:rFonts w:ascii="Times New Roman" w:hAnsi="Times New Roman" w:cs="Times New Roman"/>
          <w:sz w:val="24"/>
          <w:szCs w:val="24"/>
        </w:rPr>
        <w:t xml:space="preserve">                  </w:t>
      </w:r>
      <w:r w:rsidRPr="004A30FF">
        <w:rPr>
          <w:rFonts w:ascii="Times New Roman" w:hAnsi="Times New Roman" w:cs="Times New Roman"/>
          <w:sz w:val="24"/>
          <w:szCs w:val="24"/>
        </w:rPr>
        <w:t>203,371.41</w:t>
      </w:r>
    </w:p>
    <w:tbl>
      <w:tblPr>
        <w:tblStyle w:val="TableGrid0"/>
        <w:tblW w:w="0" w:type="auto"/>
        <w:tblLook w:val="04A0" w:firstRow="1" w:lastRow="0" w:firstColumn="1" w:lastColumn="0" w:noHBand="0" w:noVBand="1"/>
      </w:tblPr>
      <w:tblGrid>
        <w:gridCol w:w="2337"/>
        <w:gridCol w:w="2337"/>
        <w:gridCol w:w="2338"/>
        <w:gridCol w:w="2338"/>
      </w:tblGrid>
      <w:tr w:rsidR="00DD4260" w:rsidRPr="004A30FF" w14:paraId="2BD72144" w14:textId="77777777" w:rsidTr="00DD4260">
        <w:tc>
          <w:tcPr>
            <w:tcW w:w="2337" w:type="dxa"/>
          </w:tcPr>
          <w:p w14:paraId="1D257849" w14:textId="77777777" w:rsidR="00DD4260" w:rsidRPr="004A30FF" w:rsidRDefault="006547A0"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lastRenderedPageBreak/>
              <w:t xml:space="preserve">Сметка 2041 </w:t>
            </w:r>
          </w:p>
          <w:p w14:paraId="168DAA5C" w14:textId="517BAC58" w:rsidR="006547A0" w:rsidRPr="004A30FF" w:rsidRDefault="006547A0"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53CD48F0" w14:textId="4EB390C7" w:rsidR="00DD4260" w:rsidRPr="004A30FF" w:rsidRDefault="006547A0"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Компютри и хардуерно оборудване</w:t>
            </w:r>
          </w:p>
        </w:tc>
        <w:tc>
          <w:tcPr>
            <w:tcW w:w="2338" w:type="dxa"/>
          </w:tcPr>
          <w:p w14:paraId="0573FDE7" w14:textId="1B610EB9" w:rsidR="00DD4260" w:rsidRPr="004A30FF" w:rsidRDefault="00F77774"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w:t>
            </w:r>
            <w:r w:rsidR="006547A0" w:rsidRPr="004A30FF">
              <w:rPr>
                <w:rFonts w:ascii="Times New Roman" w:hAnsi="Times New Roman" w:cs="Times New Roman"/>
                <w:sz w:val="24"/>
                <w:szCs w:val="24"/>
              </w:rPr>
              <w:t>о</w:t>
            </w:r>
            <w:r w:rsidRPr="004A30FF">
              <w:rPr>
                <w:rFonts w:ascii="Times New Roman" w:hAnsi="Times New Roman" w:cs="Times New Roman"/>
                <w:sz w:val="24"/>
                <w:szCs w:val="24"/>
              </w:rPr>
              <w:t xml:space="preserve"> дебита на 2041 и кредита на сметката в лева</w:t>
            </w:r>
          </w:p>
        </w:tc>
        <w:tc>
          <w:tcPr>
            <w:tcW w:w="2338" w:type="dxa"/>
          </w:tcPr>
          <w:p w14:paraId="4DE02ACF" w14:textId="0D129E8B" w:rsidR="00DD4260" w:rsidRPr="004A30FF" w:rsidRDefault="00F77774"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2041 и дебита на сметката в лева</w:t>
            </w:r>
          </w:p>
        </w:tc>
      </w:tr>
      <w:tr w:rsidR="00DD4260" w:rsidRPr="004A30FF" w14:paraId="47C7ABFC" w14:textId="77777777" w:rsidTr="00DD4260">
        <w:tc>
          <w:tcPr>
            <w:tcW w:w="2337" w:type="dxa"/>
          </w:tcPr>
          <w:p w14:paraId="7723EDEA" w14:textId="77777777" w:rsidR="00DD4260" w:rsidRPr="004A30FF" w:rsidRDefault="00DD4260" w:rsidP="000D40AB">
            <w:pPr>
              <w:spacing w:line="360" w:lineRule="auto"/>
              <w:jc w:val="right"/>
              <w:rPr>
                <w:rFonts w:ascii="Times New Roman" w:hAnsi="Times New Roman" w:cs="Times New Roman"/>
                <w:sz w:val="24"/>
                <w:szCs w:val="24"/>
              </w:rPr>
            </w:pPr>
          </w:p>
        </w:tc>
        <w:tc>
          <w:tcPr>
            <w:tcW w:w="2337" w:type="dxa"/>
          </w:tcPr>
          <w:p w14:paraId="386B1D66" w14:textId="0D1CE303" w:rsidR="00DD4260" w:rsidRPr="004A30FF" w:rsidRDefault="006547A0"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Начално салдо</w:t>
            </w:r>
          </w:p>
        </w:tc>
        <w:tc>
          <w:tcPr>
            <w:tcW w:w="2338" w:type="dxa"/>
          </w:tcPr>
          <w:p w14:paraId="0053A168" w14:textId="005CEF67" w:rsidR="00DD4260" w:rsidRPr="004A30FF" w:rsidRDefault="00B85077"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5,282.00</w:t>
            </w:r>
          </w:p>
        </w:tc>
        <w:tc>
          <w:tcPr>
            <w:tcW w:w="2338" w:type="dxa"/>
          </w:tcPr>
          <w:p w14:paraId="2363D3F9" w14:textId="0ED3265F" w:rsidR="00DD4260" w:rsidRPr="004A30FF" w:rsidRDefault="00B85077"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25590ECE" w14:textId="2D2E274A" w:rsidR="009A2955" w:rsidRPr="004A30FF" w:rsidRDefault="004C02AC"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0D40AB"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5,282.00         </w:t>
      </w:r>
      <w:r w:rsidR="000D40AB"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w:t>
      </w:r>
    </w:p>
    <w:p w14:paraId="6D317546" w14:textId="47A60045" w:rsidR="004C02AC" w:rsidRPr="004A30FF" w:rsidRDefault="004C02AC"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0D40AB"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5,282.00</w:t>
      </w:r>
    </w:p>
    <w:tbl>
      <w:tblPr>
        <w:tblStyle w:val="TableGrid0"/>
        <w:tblW w:w="0" w:type="auto"/>
        <w:tblLook w:val="04A0" w:firstRow="1" w:lastRow="0" w:firstColumn="1" w:lastColumn="0" w:noHBand="0" w:noVBand="1"/>
      </w:tblPr>
      <w:tblGrid>
        <w:gridCol w:w="2337"/>
        <w:gridCol w:w="2337"/>
        <w:gridCol w:w="2338"/>
        <w:gridCol w:w="2338"/>
      </w:tblGrid>
      <w:tr w:rsidR="00851EF2" w:rsidRPr="004A30FF" w14:paraId="43BA9A0F" w14:textId="77777777" w:rsidTr="00851EF2">
        <w:tc>
          <w:tcPr>
            <w:tcW w:w="2337" w:type="dxa"/>
          </w:tcPr>
          <w:p w14:paraId="5C34F88A" w14:textId="77777777" w:rsidR="00851EF2" w:rsidRPr="004A30FF" w:rsidRDefault="00161EE3"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2049</w:t>
            </w:r>
          </w:p>
          <w:p w14:paraId="19C33FEC" w14:textId="772F9B9F" w:rsidR="003D7F26" w:rsidRPr="004A30FF" w:rsidRDefault="003D7F26"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72780F55" w14:textId="638D6FA2" w:rsidR="00851EF2" w:rsidRPr="004A30FF" w:rsidRDefault="0094538D"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Други машини, съоръжения и оборудване</w:t>
            </w:r>
          </w:p>
        </w:tc>
        <w:tc>
          <w:tcPr>
            <w:tcW w:w="2338" w:type="dxa"/>
          </w:tcPr>
          <w:p w14:paraId="02F11E7A" w14:textId="33505918" w:rsidR="00851EF2" w:rsidRPr="004A30FF" w:rsidRDefault="00BF0C43"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2049 и кредита на сметката в лева</w:t>
            </w:r>
          </w:p>
        </w:tc>
        <w:tc>
          <w:tcPr>
            <w:tcW w:w="2338" w:type="dxa"/>
          </w:tcPr>
          <w:p w14:paraId="772AE5B0" w14:textId="3402DBCB" w:rsidR="00851EF2" w:rsidRPr="004A30FF" w:rsidRDefault="00BF0C43"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 xml:space="preserve">По кредита на 2049 и </w:t>
            </w:r>
            <w:r w:rsidR="003D7F26" w:rsidRPr="004A30FF">
              <w:rPr>
                <w:rFonts w:ascii="Times New Roman" w:hAnsi="Times New Roman" w:cs="Times New Roman"/>
                <w:sz w:val="24"/>
                <w:szCs w:val="24"/>
              </w:rPr>
              <w:t>дебита</w:t>
            </w:r>
            <w:r w:rsidRPr="004A30FF">
              <w:rPr>
                <w:rFonts w:ascii="Times New Roman" w:hAnsi="Times New Roman" w:cs="Times New Roman"/>
                <w:sz w:val="24"/>
                <w:szCs w:val="24"/>
              </w:rPr>
              <w:t xml:space="preserve"> на сметката в лева</w:t>
            </w:r>
          </w:p>
        </w:tc>
      </w:tr>
      <w:tr w:rsidR="00851EF2" w:rsidRPr="004A30FF" w14:paraId="7F2EFAFF" w14:textId="77777777" w:rsidTr="00851EF2">
        <w:tc>
          <w:tcPr>
            <w:tcW w:w="2337" w:type="dxa"/>
          </w:tcPr>
          <w:p w14:paraId="68B50B70" w14:textId="5EEB9CE6" w:rsidR="00851EF2" w:rsidRPr="004A30FF" w:rsidRDefault="00851EF2" w:rsidP="000D40AB">
            <w:pPr>
              <w:spacing w:line="360" w:lineRule="auto"/>
              <w:jc w:val="right"/>
              <w:rPr>
                <w:rFonts w:ascii="Times New Roman" w:hAnsi="Times New Roman" w:cs="Times New Roman"/>
                <w:sz w:val="24"/>
                <w:szCs w:val="24"/>
              </w:rPr>
            </w:pPr>
          </w:p>
        </w:tc>
        <w:tc>
          <w:tcPr>
            <w:tcW w:w="2337" w:type="dxa"/>
          </w:tcPr>
          <w:p w14:paraId="0484A74D" w14:textId="1BCDB0EA" w:rsidR="00851EF2" w:rsidRPr="004A30FF" w:rsidRDefault="0094538D"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Начално салдо</w:t>
            </w:r>
          </w:p>
        </w:tc>
        <w:tc>
          <w:tcPr>
            <w:tcW w:w="2338" w:type="dxa"/>
          </w:tcPr>
          <w:p w14:paraId="7012DFC1" w14:textId="4D10C2BA" w:rsidR="00851EF2" w:rsidRPr="004A30FF" w:rsidRDefault="003D7F26"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15,874.73</w:t>
            </w:r>
          </w:p>
        </w:tc>
        <w:tc>
          <w:tcPr>
            <w:tcW w:w="2338" w:type="dxa"/>
          </w:tcPr>
          <w:p w14:paraId="1F1EE474" w14:textId="6394612F" w:rsidR="00851EF2" w:rsidRPr="004A30FF" w:rsidRDefault="003D7F26"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r w:rsidR="00851EF2" w:rsidRPr="004A30FF" w14:paraId="1A03870E" w14:textId="77777777" w:rsidTr="00851EF2">
        <w:tc>
          <w:tcPr>
            <w:tcW w:w="2337" w:type="dxa"/>
          </w:tcPr>
          <w:p w14:paraId="48600611" w14:textId="2E14F012" w:rsidR="00851EF2" w:rsidRPr="004A30FF" w:rsidRDefault="00161EE3"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4010</w:t>
            </w:r>
          </w:p>
        </w:tc>
        <w:tc>
          <w:tcPr>
            <w:tcW w:w="2337" w:type="dxa"/>
          </w:tcPr>
          <w:p w14:paraId="26D596B7" w14:textId="41B45791" w:rsidR="00851EF2" w:rsidRPr="004A30FF" w:rsidRDefault="00161EE3"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Задължения към доставчици в страната</w:t>
            </w:r>
          </w:p>
        </w:tc>
        <w:tc>
          <w:tcPr>
            <w:tcW w:w="2338" w:type="dxa"/>
          </w:tcPr>
          <w:p w14:paraId="6B03AA78" w14:textId="326194B0" w:rsidR="00851EF2" w:rsidRPr="004A30FF" w:rsidRDefault="003D7F26"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6,900.00</w:t>
            </w:r>
          </w:p>
        </w:tc>
        <w:tc>
          <w:tcPr>
            <w:tcW w:w="2338" w:type="dxa"/>
          </w:tcPr>
          <w:p w14:paraId="06AF9C15" w14:textId="5B86167F" w:rsidR="00851EF2" w:rsidRPr="004A30FF" w:rsidRDefault="003D7F26"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3186F2C4" w14:textId="539E967A" w:rsidR="00B836AF" w:rsidRPr="004A30FF" w:rsidRDefault="009A41FE"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0D40AB"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22,774</w:t>
      </w:r>
      <w:r w:rsidR="00214F21" w:rsidRPr="004A30FF">
        <w:rPr>
          <w:rFonts w:ascii="Times New Roman" w:hAnsi="Times New Roman" w:cs="Times New Roman"/>
          <w:sz w:val="24"/>
          <w:szCs w:val="24"/>
        </w:rPr>
        <w:t>.73</w:t>
      </w:r>
      <w:r w:rsidR="000D40AB" w:rsidRPr="004A30FF">
        <w:rPr>
          <w:rFonts w:ascii="Times New Roman" w:hAnsi="Times New Roman" w:cs="Times New Roman"/>
          <w:sz w:val="24"/>
          <w:szCs w:val="24"/>
        </w:rPr>
        <w:t xml:space="preserve">                               0,00</w:t>
      </w:r>
    </w:p>
    <w:p w14:paraId="31743823" w14:textId="00663547" w:rsidR="00214F21" w:rsidRPr="004A30FF" w:rsidRDefault="00214F21"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0D40AB"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22,774.73</w:t>
      </w:r>
    </w:p>
    <w:tbl>
      <w:tblPr>
        <w:tblStyle w:val="TableGrid0"/>
        <w:tblW w:w="0" w:type="auto"/>
        <w:tblLook w:val="04A0" w:firstRow="1" w:lastRow="0" w:firstColumn="1" w:lastColumn="0" w:noHBand="0" w:noVBand="1"/>
      </w:tblPr>
      <w:tblGrid>
        <w:gridCol w:w="2337"/>
        <w:gridCol w:w="2337"/>
        <w:gridCol w:w="2338"/>
        <w:gridCol w:w="2338"/>
      </w:tblGrid>
      <w:tr w:rsidR="001E44C8" w:rsidRPr="004A30FF" w14:paraId="5CD1E4D3" w14:textId="77777777" w:rsidTr="00AF6F3F">
        <w:tc>
          <w:tcPr>
            <w:tcW w:w="2337" w:type="dxa"/>
          </w:tcPr>
          <w:p w14:paraId="0692FB6E" w14:textId="77777777" w:rsidR="001E44C8" w:rsidRPr="004A30FF" w:rsidRDefault="001E44C8"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2060</w:t>
            </w:r>
          </w:p>
          <w:p w14:paraId="03F013A7" w14:textId="67273522" w:rsidR="001E44C8" w:rsidRPr="004A30FF" w:rsidRDefault="001E44C8"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2C2E93A8" w14:textId="48D7285A" w:rsidR="001E44C8" w:rsidRPr="004A30FF" w:rsidRDefault="001E44C8"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Стопански инвентар</w:t>
            </w:r>
          </w:p>
        </w:tc>
        <w:tc>
          <w:tcPr>
            <w:tcW w:w="2338" w:type="dxa"/>
          </w:tcPr>
          <w:p w14:paraId="11E37165" w14:textId="259D512C" w:rsidR="001E44C8" w:rsidRPr="004A30FF" w:rsidRDefault="001E44C8"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2060 и кредита на сметката в лева</w:t>
            </w:r>
          </w:p>
        </w:tc>
        <w:tc>
          <w:tcPr>
            <w:tcW w:w="2338" w:type="dxa"/>
          </w:tcPr>
          <w:p w14:paraId="5D81EF9B" w14:textId="72444BAB" w:rsidR="001E44C8" w:rsidRPr="004A30FF" w:rsidRDefault="001E44C8"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2060 и дебита на сметката в лева</w:t>
            </w:r>
          </w:p>
        </w:tc>
      </w:tr>
      <w:tr w:rsidR="001E44C8" w:rsidRPr="004A30FF" w14:paraId="4B6D94DE" w14:textId="77777777" w:rsidTr="00AF6F3F">
        <w:tc>
          <w:tcPr>
            <w:tcW w:w="2337" w:type="dxa"/>
          </w:tcPr>
          <w:p w14:paraId="7B44527B" w14:textId="77777777" w:rsidR="001E44C8" w:rsidRPr="004A30FF" w:rsidRDefault="001E44C8" w:rsidP="000D40AB">
            <w:pPr>
              <w:spacing w:line="360" w:lineRule="auto"/>
              <w:jc w:val="right"/>
              <w:rPr>
                <w:rFonts w:ascii="Times New Roman" w:hAnsi="Times New Roman" w:cs="Times New Roman"/>
                <w:sz w:val="24"/>
                <w:szCs w:val="24"/>
              </w:rPr>
            </w:pPr>
          </w:p>
        </w:tc>
        <w:tc>
          <w:tcPr>
            <w:tcW w:w="2337" w:type="dxa"/>
          </w:tcPr>
          <w:p w14:paraId="071D451A" w14:textId="4D5E6697" w:rsidR="001E44C8" w:rsidRPr="004A30FF" w:rsidRDefault="001E44C8"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Начално салдо</w:t>
            </w:r>
          </w:p>
        </w:tc>
        <w:tc>
          <w:tcPr>
            <w:tcW w:w="2338" w:type="dxa"/>
          </w:tcPr>
          <w:p w14:paraId="08F0B936" w14:textId="23636F49" w:rsidR="001E44C8" w:rsidRPr="004A30FF" w:rsidRDefault="00ED6A67"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34,386.58</w:t>
            </w:r>
          </w:p>
        </w:tc>
        <w:tc>
          <w:tcPr>
            <w:tcW w:w="2338" w:type="dxa"/>
          </w:tcPr>
          <w:p w14:paraId="15FDFA07" w14:textId="6F78A9D0" w:rsidR="001E44C8" w:rsidRPr="004A30FF" w:rsidRDefault="00ED6A67"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r w:rsidR="001E44C8" w:rsidRPr="004A30FF" w14:paraId="6C9BBE27" w14:textId="77777777" w:rsidTr="00AF6F3F">
        <w:tc>
          <w:tcPr>
            <w:tcW w:w="2337" w:type="dxa"/>
          </w:tcPr>
          <w:p w14:paraId="45F4D693" w14:textId="275CEE36" w:rsidR="001E44C8" w:rsidRPr="004A30FF" w:rsidRDefault="00B75AFE"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5013</w:t>
            </w:r>
          </w:p>
        </w:tc>
        <w:tc>
          <w:tcPr>
            <w:tcW w:w="2337" w:type="dxa"/>
          </w:tcPr>
          <w:p w14:paraId="5CD89BA5" w14:textId="7005CF17" w:rsidR="001E44C8" w:rsidRPr="004A30FF" w:rsidRDefault="00B75AFE"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Текущи банкови сметки в лева</w:t>
            </w:r>
          </w:p>
        </w:tc>
        <w:tc>
          <w:tcPr>
            <w:tcW w:w="2338" w:type="dxa"/>
          </w:tcPr>
          <w:p w14:paraId="7CD7E566" w14:textId="64ABF795" w:rsidR="001E44C8" w:rsidRPr="004A30FF" w:rsidRDefault="00ED6A67"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4,464.00</w:t>
            </w:r>
          </w:p>
        </w:tc>
        <w:tc>
          <w:tcPr>
            <w:tcW w:w="2338" w:type="dxa"/>
          </w:tcPr>
          <w:p w14:paraId="01887FCE" w14:textId="64E202F0" w:rsidR="001E44C8" w:rsidRPr="004A30FF" w:rsidRDefault="00ED6A67"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r w:rsidR="001E44C8" w:rsidRPr="004A30FF" w14:paraId="2A14A641" w14:textId="77777777" w:rsidTr="00AF6F3F">
        <w:tc>
          <w:tcPr>
            <w:tcW w:w="2337" w:type="dxa"/>
          </w:tcPr>
          <w:p w14:paraId="2DDAC07A" w14:textId="1A7EC9F2" w:rsidR="001E44C8" w:rsidRPr="004A30FF" w:rsidRDefault="00ED6A67"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6146</w:t>
            </w:r>
          </w:p>
        </w:tc>
        <w:tc>
          <w:tcPr>
            <w:tcW w:w="2337" w:type="dxa"/>
          </w:tcPr>
          <w:p w14:paraId="3C16D353" w14:textId="08770A16" w:rsidR="001E44C8" w:rsidRPr="004A30FF" w:rsidRDefault="00B75AFE"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Отчетна стойност на продаден стопански инвентар</w:t>
            </w:r>
          </w:p>
        </w:tc>
        <w:tc>
          <w:tcPr>
            <w:tcW w:w="2338" w:type="dxa"/>
          </w:tcPr>
          <w:p w14:paraId="52B5EA2C" w14:textId="06B31E5D" w:rsidR="001E44C8" w:rsidRPr="004A30FF" w:rsidRDefault="00ED6A67"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27E57DB7" w14:textId="01998D87" w:rsidR="001E44C8" w:rsidRPr="004A30FF" w:rsidRDefault="00ED6A67"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4,778.16</w:t>
            </w:r>
          </w:p>
        </w:tc>
      </w:tr>
    </w:tbl>
    <w:p w14:paraId="2D87241D" w14:textId="679EC800" w:rsidR="00214F21" w:rsidRPr="004A30FF" w:rsidRDefault="008E7E7C"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В</w:t>
      </w:r>
      <w:r w:rsidR="00ED6A67" w:rsidRPr="004A30FF">
        <w:rPr>
          <w:rFonts w:ascii="Times New Roman" w:hAnsi="Times New Roman" w:cs="Times New Roman"/>
          <w:sz w:val="24"/>
          <w:szCs w:val="24"/>
        </w:rPr>
        <w:t>сичко</w:t>
      </w:r>
      <w:r w:rsidRPr="004A30FF">
        <w:rPr>
          <w:rFonts w:ascii="Times New Roman" w:hAnsi="Times New Roman" w:cs="Times New Roman"/>
          <w:sz w:val="24"/>
          <w:szCs w:val="24"/>
        </w:rPr>
        <w:t xml:space="preserve"> обороти за периода                                 </w:t>
      </w:r>
      <w:r w:rsidR="000D40AB" w:rsidRPr="004A30FF">
        <w:rPr>
          <w:rFonts w:ascii="Times New Roman" w:hAnsi="Times New Roman" w:cs="Times New Roman"/>
          <w:sz w:val="24"/>
          <w:szCs w:val="24"/>
        </w:rPr>
        <w:t xml:space="preserve">                     </w:t>
      </w:r>
      <w:r w:rsidRPr="004A30FF">
        <w:rPr>
          <w:rFonts w:ascii="Times New Roman" w:hAnsi="Times New Roman" w:cs="Times New Roman"/>
          <w:sz w:val="24"/>
          <w:szCs w:val="24"/>
        </w:rPr>
        <w:t>38,850.58                        4,778.16</w:t>
      </w:r>
    </w:p>
    <w:p w14:paraId="12DD8AE5" w14:textId="0134B7DE" w:rsidR="008E7E7C" w:rsidRPr="004A30FF" w:rsidRDefault="008E7E7C"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152488" w:rsidRPr="004A30FF">
        <w:rPr>
          <w:rFonts w:ascii="Times New Roman" w:hAnsi="Times New Roman" w:cs="Times New Roman"/>
          <w:sz w:val="24"/>
          <w:szCs w:val="24"/>
        </w:rPr>
        <w:t xml:space="preserve">             </w:t>
      </w:r>
      <w:r w:rsidR="000D40AB" w:rsidRPr="004A30FF">
        <w:rPr>
          <w:rFonts w:ascii="Times New Roman" w:hAnsi="Times New Roman" w:cs="Times New Roman"/>
          <w:sz w:val="24"/>
          <w:szCs w:val="24"/>
        </w:rPr>
        <w:t xml:space="preserve">                   </w:t>
      </w:r>
      <w:r w:rsidR="00152488" w:rsidRPr="004A30FF">
        <w:rPr>
          <w:rFonts w:ascii="Times New Roman" w:hAnsi="Times New Roman" w:cs="Times New Roman"/>
          <w:sz w:val="24"/>
          <w:szCs w:val="24"/>
        </w:rPr>
        <w:t xml:space="preserve">  -34,072.42</w:t>
      </w:r>
    </w:p>
    <w:tbl>
      <w:tblPr>
        <w:tblStyle w:val="TableGrid0"/>
        <w:tblW w:w="0" w:type="auto"/>
        <w:tblLook w:val="04A0" w:firstRow="1" w:lastRow="0" w:firstColumn="1" w:lastColumn="0" w:noHBand="0" w:noVBand="1"/>
      </w:tblPr>
      <w:tblGrid>
        <w:gridCol w:w="2337"/>
        <w:gridCol w:w="2337"/>
        <w:gridCol w:w="2338"/>
        <w:gridCol w:w="2338"/>
      </w:tblGrid>
      <w:tr w:rsidR="00775A07" w:rsidRPr="004A30FF" w14:paraId="0FC9EF91" w14:textId="77777777" w:rsidTr="00B66319">
        <w:tc>
          <w:tcPr>
            <w:tcW w:w="2337" w:type="dxa"/>
          </w:tcPr>
          <w:p w14:paraId="5890B6CB" w14:textId="77777777" w:rsidR="00775A07" w:rsidRPr="004A30FF" w:rsidRDefault="00775A07"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lastRenderedPageBreak/>
              <w:t>Сметка 2413</w:t>
            </w:r>
          </w:p>
          <w:p w14:paraId="4EFDF870" w14:textId="45E43638" w:rsidR="00775A07" w:rsidRPr="004A30FF" w:rsidRDefault="00775A07"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0030C3BF" w14:textId="2421E122" w:rsidR="00775A07" w:rsidRPr="004A30FF" w:rsidRDefault="00775A07"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Амартизация на сгради</w:t>
            </w:r>
          </w:p>
        </w:tc>
        <w:tc>
          <w:tcPr>
            <w:tcW w:w="2338" w:type="dxa"/>
          </w:tcPr>
          <w:p w14:paraId="69D22ECE" w14:textId="68109A14" w:rsidR="00775A07" w:rsidRPr="004A30FF" w:rsidRDefault="00775A07"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2413 и кредита на сметката в лева</w:t>
            </w:r>
          </w:p>
        </w:tc>
        <w:tc>
          <w:tcPr>
            <w:tcW w:w="2338" w:type="dxa"/>
          </w:tcPr>
          <w:p w14:paraId="3F5A8C6C" w14:textId="65E5C015" w:rsidR="00775A07" w:rsidRPr="004A30FF" w:rsidRDefault="00775A07"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2413 и дебита на сметката в лева</w:t>
            </w:r>
          </w:p>
        </w:tc>
      </w:tr>
      <w:tr w:rsidR="00775A07" w:rsidRPr="004A30FF" w14:paraId="5D55927F" w14:textId="77777777" w:rsidTr="00B66319">
        <w:tc>
          <w:tcPr>
            <w:tcW w:w="2337" w:type="dxa"/>
          </w:tcPr>
          <w:p w14:paraId="50F84978" w14:textId="77777777" w:rsidR="00775A07" w:rsidRPr="004A30FF" w:rsidRDefault="00775A07" w:rsidP="000D40AB">
            <w:pPr>
              <w:spacing w:line="360" w:lineRule="auto"/>
              <w:jc w:val="right"/>
              <w:rPr>
                <w:rFonts w:ascii="Times New Roman" w:hAnsi="Times New Roman" w:cs="Times New Roman"/>
                <w:sz w:val="24"/>
                <w:szCs w:val="24"/>
              </w:rPr>
            </w:pPr>
          </w:p>
        </w:tc>
        <w:tc>
          <w:tcPr>
            <w:tcW w:w="2337" w:type="dxa"/>
          </w:tcPr>
          <w:p w14:paraId="6027587C" w14:textId="5FE1F0F4" w:rsidR="00775A07" w:rsidRPr="004A30FF" w:rsidRDefault="00775A07"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Начално салдо</w:t>
            </w:r>
          </w:p>
        </w:tc>
        <w:tc>
          <w:tcPr>
            <w:tcW w:w="2338" w:type="dxa"/>
          </w:tcPr>
          <w:p w14:paraId="607A695B" w14:textId="007C4F29" w:rsidR="00775A07" w:rsidRPr="004A30FF" w:rsidRDefault="003C07FD"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5328BFDE" w14:textId="155DB469" w:rsidR="00775A07" w:rsidRPr="004A30FF" w:rsidRDefault="003C07FD"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15,158.82</w:t>
            </w:r>
          </w:p>
        </w:tc>
      </w:tr>
      <w:tr w:rsidR="00775A07" w:rsidRPr="004A30FF" w14:paraId="033FF5A5" w14:textId="77777777" w:rsidTr="00B66319">
        <w:tc>
          <w:tcPr>
            <w:tcW w:w="2337" w:type="dxa"/>
          </w:tcPr>
          <w:p w14:paraId="36E1ECBA" w14:textId="642EA9BC" w:rsidR="00775A07" w:rsidRPr="004A30FF" w:rsidRDefault="00775A07"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6033</w:t>
            </w:r>
          </w:p>
        </w:tc>
        <w:tc>
          <w:tcPr>
            <w:tcW w:w="2337" w:type="dxa"/>
          </w:tcPr>
          <w:p w14:paraId="14436634" w14:textId="4BE01581" w:rsidR="00775A07" w:rsidRPr="004A30FF" w:rsidRDefault="00775A07"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амортизация на сгради</w:t>
            </w:r>
          </w:p>
        </w:tc>
        <w:tc>
          <w:tcPr>
            <w:tcW w:w="2338" w:type="dxa"/>
          </w:tcPr>
          <w:p w14:paraId="78B48911" w14:textId="1A4D3081" w:rsidR="00775A07" w:rsidRPr="004A30FF" w:rsidRDefault="003C07FD"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40FB4983" w14:textId="6D373E56" w:rsidR="00775A07" w:rsidRPr="004A30FF" w:rsidRDefault="003C07FD"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1,998.48</w:t>
            </w:r>
          </w:p>
        </w:tc>
      </w:tr>
    </w:tbl>
    <w:p w14:paraId="64E08A4C" w14:textId="2CBC8565" w:rsidR="00152488" w:rsidRPr="004A30FF" w:rsidRDefault="005F4701"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0D40AB"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w:t>
      </w:r>
      <w:r w:rsidR="000D40AB" w:rsidRPr="004A30FF">
        <w:rPr>
          <w:rFonts w:ascii="Times New Roman" w:hAnsi="Times New Roman" w:cs="Times New Roman"/>
          <w:sz w:val="24"/>
          <w:szCs w:val="24"/>
        </w:rPr>
        <w:t xml:space="preserve">       </w:t>
      </w:r>
      <w:r w:rsidRPr="004A30FF">
        <w:rPr>
          <w:rFonts w:ascii="Times New Roman" w:hAnsi="Times New Roman" w:cs="Times New Roman"/>
          <w:sz w:val="24"/>
          <w:szCs w:val="24"/>
        </w:rPr>
        <w:t>0,00                        17,157.30</w:t>
      </w:r>
    </w:p>
    <w:p w14:paraId="55E9FA00" w14:textId="0946BCFA" w:rsidR="005F4701" w:rsidRPr="004A30FF" w:rsidRDefault="005F4701"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0D40AB"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17,157.30</w:t>
      </w:r>
    </w:p>
    <w:tbl>
      <w:tblPr>
        <w:tblStyle w:val="TableGrid0"/>
        <w:tblW w:w="0" w:type="auto"/>
        <w:tblLook w:val="04A0" w:firstRow="1" w:lastRow="0" w:firstColumn="1" w:lastColumn="0" w:noHBand="0" w:noVBand="1"/>
      </w:tblPr>
      <w:tblGrid>
        <w:gridCol w:w="2337"/>
        <w:gridCol w:w="2337"/>
        <w:gridCol w:w="2338"/>
        <w:gridCol w:w="2338"/>
      </w:tblGrid>
      <w:tr w:rsidR="00F96DC1" w:rsidRPr="004A30FF" w14:paraId="06853BD4" w14:textId="77777777" w:rsidTr="005B6DEC">
        <w:tc>
          <w:tcPr>
            <w:tcW w:w="2337" w:type="dxa"/>
          </w:tcPr>
          <w:p w14:paraId="5EB77B15" w14:textId="77777777" w:rsidR="00F96DC1" w:rsidRPr="004A30FF" w:rsidRDefault="00F96DC1"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2414</w:t>
            </w:r>
          </w:p>
          <w:p w14:paraId="087FC52E" w14:textId="0F8BB2CD" w:rsidR="00F96DC1" w:rsidRPr="004A30FF" w:rsidRDefault="00F96DC1"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28BC3BC5" w14:textId="21868146" w:rsidR="00F96DC1" w:rsidRPr="004A30FF" w:rsidRDefault="00F96DC1"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Амортизация на машини, съоръжения и оборудване</w:t>
            </w:r>
          </w:p>
        </w:tc>
        <w:tc>
          <w:tcPr>
            <w:tcW w:w="2338" w:type="dxa"/>
          </w:tcPr>
          <w:p w14:paraId="584DC809" w14:textId="55CEB779" w:rsidR="00F96DC1" w:rsidRPr="004A30FF" w:rsidRDefault="00F96DC1"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2414 и кредита на сметката в лева</w:t>
            </w:r>
          </w:p>
        </w:tc>
        <w:tc>
          <w:tcPr>
            <w:tcW w:w="2338" w:type="dxa"/>
          </w:tcPr>
          <w:p w14:paraId="3AFFE872" w14:textId="2BE740C1" w:rsidR="00F96DC1" w:rsidRPr="004A30FF" w:rsidRDefault="00F96DC1"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2414 и дебита на сметката в лева</w:t>
            </w:r>
          </w:p>
        </w:tc>
      </w:tr>
      <w:tr w:rsidR="00F96DC1" w:rsidRPr="004A30FF" w14:paraId="0ACFC97A" w14:textId="77777777" w:rsidTr="005B6DEC">
        <w:tc>
          <w:tcPr>
            <w:tcW w:w="2337" w:type="dxa"/>
          </w:tcPr>
          <w:p w14:paraId="4054E266" w14:textId="77777777" w:rsidR="00F96DC1" w:rsidRPr="004A30FF" w:rsidRDefault="00F96DC1" w:rsidP="000D40AB">
            <w:pPr>
              <w:spacing w:line="360" w:lineRule="auto"/>
              <w:jc w:val="right"/>
              <w:rPr>
                <w:rFonts w:ascii="Times New Roman" w:hAnsi="Times New Roman" w:cs="Times New Roman"/>
                <w:sz w:val="24"/>
                <w:szCs w:val="24"/>
              </w:rPr>
            </w:pPr>
          </w:p>
        </w:tc>
        <w:tc>
          <w:tcPr>
            <w:tcW w:w="2337" w:type="dxa"/>
          </w:tcPr>
          <w:p w14:paraId="137E273E" w14:textId="07AA1C0E" w:rsidR="00F96DC1" w:rsidRPr="004A30FF" w:rsidRDefault="00F96DC1"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Начално салдо</w:t>
            </w:r>
          </w:p>
        </w:tc>
        <w:tc>
          <w:tcPr>
            <w:tcW w:w="2338" w:type="dxa"/>
          </w:tcPr>
          <w:p w14:paraId="69B4343C" w14:textId="43B67A13" w:rsidR="00F96DC1" w:rsidRPr="004A30FF" w:rsidRDefault="000D539E"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4144E346" w14:textId="51B86037" w:rsidR="00F96DC1" w:rsidRPr="004A30FF" w:rsidRDefault="000D539E"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9,242.15</w:t>
            </w:r>
          </w:p>
        </w:tc>
      </w:tr>
      <w:tr w:rsidR="00F96DC1" w:rsidRPr="004A30FF" w14:paraId="198DDCE0" w14:textId="77777777" w:rsidTr="005B6DEC">
        <w:tc>
          <w:tcPr>
            <w:tcW w:w="2337" w:type="dxa"/>
          </w:tcPr>
          <w:p w14:paraId="60710703" w14:textId="5C8F826A" w:rsidR="00F96DC1" w:rsidRPr="004A30FF" w:rsidRDefault="00F96DC1"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6034</w:t>
            </w:r>
          </w:p>
        </w:tc>
        <w:tc>
          <w:tcPr>
            <w:tcW w:w="2337" w:type="dxa"/>
          </w:tcPr>
          <w:p w14:paraId="6B26F90B" w14:textId="05ECEA30" w:rsidR="00F96DC1" w:rsidRPr="004A30FF" w:rsidRDefault="00F96DC1"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амортизация на машини, съоръжения и оборудване</w:t>
            </w:r>
          </w:p>
        </w:tc>
        <w:tc>
          <w:tcPr>
            <w:tcW w:w="2338" w:type="dxa"/>
          </w:tcPr>
          <w:p w14:paraId="512D1DF8" w14:textId="52414C2D" w:rsidR="00F96DC1" w:rsidRPr="004A30FF" w:rsidRDefault="000D539E"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4AE3A06A" w14:textId="77DE0BEC" w:rsidR="00F96DC1" w:rsidRPr="004A30FF" w:rsidRDefault="000D539E" w:rsidP="000D40AB">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1,819.08</w:t>
            </w:r>
          </w:p>
        </w:tc>
      </w:tr>
    </w:tbl>
    <w:p w14:paraId="56A8C9D1" w14:textId="1F7FAB60" w:rsidR="005F4701" w:rsidRPr="004A30FF" w:rsidRDefault="000D539E"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                        </w:t>
      </w:r>
      <w:r w:rsidR="005B27D0" w:rsidRPr="004A30FF">
        <w:rPr>
          <w:rFonts w:ascii="Times New Roman" w:hAnsi="Times New Roman" w:cs="Times New Roman"/>
          <w:sz w:val="24"/>
          <w:szCs w:val="24"/>
        </w:rPr>
        <w:t>11,061.23</w:t>
      </w:r>
    </w:p>
    <w:p w14:paraId="0C5CA34D" w14:textId="55B5F531" w:rsidR="005B27D0" w:rsidRPr="004A30FF" w:rsidRDefault="005B27D0"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11,061.23</w:t>
      </w:r>
    </w:p>
    <w:tbl>
      <w:tblPr>
        <w:tblStyle w:val="TableGrid0"/>
        <w:tblW w:w="0" w:type="auto"/>
        <w:tblLook w:val="04A0" w:firstRow="1" w:lastRow="0" w:firstColumn="1" w:lastColumn="0" w:noHBand="0" w:noVBand="1"/>
      </w:tblPr>
      <w:tblGrid>
        <w:gridCol w:w="2337"/>
        <w:gridCol w:w="2337"/>
        <w:gridCol w:w="2338"/>
        <w:gridCol w:w="2338"/>
      </w:tblGrid>
      <w:tr w:rsidR="005B44AE" w:rsidRPr="004A30FF" w14:paraId="4361878A" w14:textId="77777777" w:rsidTr="005B44AE">
        <w:tc>
          <w:tcPr>
            <w:tcW w:w="2337" w:type="dxa"/>
          </w:tcPr>
          <w:p w14:paraId="69CDFD1E" w14:textId="77777777" w:rsidR="005B44AE" w:rsidRPr="004A30FF" w:rsidRDefault="005B44AE"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2416</w:t>
            </w:r>
          </w:p>
          <w:p w14:paraId="6AB31D20" w14:textId="2C08ED24" w:rsidR="005B44AE" w:rsidRPr="004A30FF" w:rsidRDefault="005B44AE"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74715653" w14:textId="2ABD2E95" w:rsidR="005B44AE" w:rsidRPr="004A30FF" w:rsidRDefault="0041435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Амортизация на стопански инвентар</w:t>
            </w:r>
          </w:p>
        </w:tc>
        <w:tc>
          <w:tcPr>
            <w:tcW w:w="2338" w:type="dxa"/>
          </w:tcPr>
          <w:p w14:paraId="3B09981A" w14:textId="50A23AC6" w:rsidR="005B44AE" w:rsidRPr="004A30FF" w:rsidRDefault="0050418A"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241</w:t>
            </w:r>
            <w:r w:rsidR="005101AA" w:rsidRPr="004A30FF">
              <w:rPr>
                <w:rFonts w:ascii="Times New Roman" w:hAnsi="Times New Roman" w:cs="Times New Roman"/>
                <w:sz w:val="24"/>
                <w:szCs w:val="24"/>
              </w:rPr>
              <w:t>6</w:t>
            </w:r>
            <w:r w:rsidRPr="004A30FF">
              <w:rPr>
                <w:rFonts w:ascii="Times New Roman" w:hAnsi="Times New Roman" w:cs="Times New Roman"/>
                <w:sz w:val="24"/>
                <w:szCs w:val="24"/>
              </w:rPr>
              <w:t xml:space="preserve"> и кредита на сметката в лева</w:t>
            </w:r>
          </w:p>
        </w:tc>
        <w:tc>
          <w:tcPr>
            <w:tcW w:w="2338" w:type="dxa"/>
          </w:tcPr>
          <w:p w14:paraId="7A1CF149" w14:textId="24101048" w:rsidR="005B44AE" w:rsidRPr="004A30FF" w:rsidRDefault="0050418A"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241</w:t>
            </w:r>
            <w:r w:rsidR="005101AA" w:rsidRPr="004A30FF">
              <w:rPr>
                <w:rFonts w:ascii="Times New Roman" w:hAnsi="Times New Roman" w:cs="Times New Roman"/>
                <w:sz w:val="24"/>
                <w:szCs w:val="24"/>
              </w:rPr>
              <w:t>6</w:t>
            </w:r>
            <w:r w:rsidRPr="004A30FF">
              <w:rPr>
                <w:rFonts w:ascii="Times New Roman" w:hAnsi="Times New Roman" w:cs="Times New Roman"/>
                <w:sz w:val="24"/>
                <w:szCs w:val="24"/>
              </w:rPr>
              <w:t xml:space="preserve"> и дебита на сметката в лева</w:t>
            </w:r>
          </w:p>
        </w:tc>
      </w:tr>
      <w:tr w:rsidR="005B44AE" w:rsidRPr="004A30FF" w14:paraId="5D4520C1" w14:textId="77777777" w:rsidTr="005B44AE">
        <w:tc>
          <w:tcPr>
            <w:tcW w:w="2337" w:type="dxa"/>
          </w:tcPr>
          <w:p w14:paraId="0F998317" w14:textId="77777777" w:rsidR="005B44AE" w:rsidRPr="004A30FF" w:rsidRDefault="005B44AE" w:rsidP="006634D4">
            <w:pPr>
              <w:spacing w:line="360" w:lineRule="auto"/>
              <w:jc w:val="right"/>
              <w:rPr>
                <w:rFonts w:ascii="Times New Roman" w:hAnsi="Times New Roman" w:cs="Times New Roman"/>
                <w:sz w:val="24"/>
                <w:szCs w:val="24"/>
              </w:rPr>
            </w:pPr>
          </w:p>
        </w:tc>
        <w:tc>
          <w:tcPr>
            <w:tcW w:w="2337" w:type="dxa"/>
          </w:tcPr>
          <w:p w14:paraId="0F46C78D" w14:textId="04435430" w:rsidR="005B44AE" w:rsidRPr="004A30FF" w:rsidRDefault="0041435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Начално салдо</w:t>
            </w:r>
          </w:p>
        </w:tc>
        <w:tc>
          <w:tcPr>
            <w:tcW w:w="2338" w:type="dxa"/>
          </w:tcPr>
          <w:p w14:paraId="2962168F" w14:textId="36AB0EF4" w:rsidR="005B44AE" w:rsidRPr="004A30FF" w:rsidRDefault="005101AA"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3308377A" w14:textId="1346BA72" w:rsidR="005B44AE" w:rsidRPr="004A30FF" w:rsidRDefault="00574D2C"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5,160.94</w:t>
            </w:r>
          </w:p>
        </w:tc>
      </w:tr>
      <w:tr w:rsidR="005B44AE" w:rsidRPr="004A30FF" w14:paraId="45CC9B79" w14:textId="77777777" w:rsidTr="005B44AE">
        <w:tc>
          <w:tcPr>
            <w:tcW w:w="2337" w:type="dxa"/>
          </w:tcPr>
          <w:p w14:paraId="4006795C" w14:textId="401E9C7B" w:rsidR="005B44AE" w:rsidRPr="004A30FF" w:rsidRDefault="005B44AE"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6036</w:t>
            </w:r>
          </w:p>
        </w:tc>
        <w:tc>
          <w:tcPr>
            <w:tcW w:w="2337" w:type="dxa"/>
          </w:tcPr>
          <w:p w14:paraId="536A91D1" w14:textId="61F79879" w:rsidR="005B44AE" w:rsidRPr="004A30FF" w:rsidRDefault="0041435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амортизация на стопански инвентар</w:t>
            </w:r>
          </w:p>
        </w:tc>
        <w:tc>
          <w:tcPr>
            <w:tcW w:w="2338" w:type="dxa"/>
          </w:tcPr>
          <w:p w14:paraId="3A68DF22" w14:textId="34FDD614" w:rsidR="005B44AE" w:rsidRPr="004A30FF" w:rsidRDefault="005101AA"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6444FDE1" w14:textId="66E5609A" w:rsidR="005B44AE" w:rsidRPr="004A30FF" w:rsidRDefault="00574D2C"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2,663.76</w:t>
            </w:r>
          </w:p>
        </w:tc>
      </w:tr>
      <w:tr w:rsidR="005B44AE" w:rsidRPr="004A30FF" w14:paraId="31A2DBF3" w14:textId="77777777" w:rsidTr="005B44AE">
        <w:tc>
          <w:tcPr>
            <w:tcW w:w="2337" w:type="dxa"/>
          </w:tcPr>
          <w:p w14:paraId="557538AA" w14:textId="40C8A5DE" w:rsidR="005B44AE" w:rsidRPr="004A30FF" w:rsidRDefault="005B44AE"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lastRenderedPageBreak/>
              <w:t>7992</w:t>
            </w:r>
          </w:p>
        </w:tc>
        <w:tc>
          <w:tcPr>
            <w:tcW w:w="2337" w:type="dxa"/>
          </w:tcPr>
          <w:p w14:paraId="0D0BA515" w14:textId="761A2204" w:rsidR="005B44AE" w:rsidRPr="004A30FF" w:rsidRDefault="0050418A"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Увеличение на нефинансовите ДА от други събития</w:t>
            </w:r>
          </w:p>
        </w:tc>
        <w:tc>
          <w:tcPr>
            <w:tcW w:w="2338" w:type="dxa"/>
          </w:tcPr>
          <w:p w14:paraId="12C8C982" w14:textId="6F606AA9" w:rsidR="005B44AE" w:rsidRPr="004A30FF" w:rsidRDefault="005101AA"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1,400.46</w:t>
            </w:r>
          </w:p>
        </w:tc>
        <w:tc>
          <w:tcPr>
            <w:tcW w:w="2338" w:type="dxa"/>
          </w:tcPr>
          <w:p w14:paraId="3BE74084" w14:textId="2474B858" w:rsidR="005B44AE" w:rsidRPr="004A30FF" w:rsidRDefault="00574D2C"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5F36BEDB" w14:textId="70623362" w:rsidR="005B27D0" w:rsidRPr="004A30FF" w:rsidRDefault="00574D2C"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1,400.4</w:t>
      </w:r>
      <w:r w:rsidR="004F4470" w:rsidRPr="004A30FF">
        <w:rPr>
          <w:rFonts w:ascii="Times New Roman" w:hAnsi="Times New Roman" w:cs="Times New Roman"/>
          <w:sz w:val="24"/>
          <w:szCs w:val="24"/>
        </w:rPr>
        <w:t>6</w:t>
      </w:r>
      <w:r w:rsidR="00F421C3" w:rsidRPr="004A30FF">
        <w:rPr>
          <w:rFonts w:ascii="Times New Roman" w:hAnsi="Times New Roman" w:cs="Times New Roman"/>
          <w:sz w:val="24"/>
          <w:szCs w:val="24"/>
        </w:rPr>
        <w:t xml:space="preserve">                    </w:t>
      </w:r>
      <w:r w:rsidR="006634D4" w:rsidRPr="004A30FF">
        <w:rPr>
          <w:rFonts w:ascii="Times New Roman" w:hAnsi="Times New Roman" w:cs="Times New Roman"/>
          <w:sz w:val="24"/>
          <w:szCs w:val="24"/>
        </w:rPr>
        <w:t xml:space="preserve">    </w:t>
      </w:r>
      <w:r w:rsidR="00F421C3" w:rsidRPr="004A30FF">
        <w:rPr>
          <w:rFonts w:ascii="Times New Roman" w:hAnsi="Times New Roman" w:cs="Times New Roman"/>
          <w:sz w:val="24"/>
          <w:szCs w:val="24"/>
        </w:rPr>
        <w:t xml:space="preserve">   </w:t>
      </w:r>
      <w:r w:rsidR="007D2C97" w:rsidRPr="004A30FF">
        <w:rPr>
          <w:rFonts w:ascii="Times New Roman" w:hAnsi="Times New Roman" w:cs="Times New Roman"/>
          <w:sz w:val="24"/>
          <w:szCs w:val="24"/>
        </w:rPr>
        <w:t>7,824.70</w:t>
      </w:r>
    </w:p>
    <w:p w14:paraId="6FE2382F" w14:textId="716364FC" w:rsidR="007D2C97" w:rsidRPr="004A30FF" w:rsidRDefault="007D2C97"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-6,424.24</w:t>
      </w:r>
    </w:p>
    <w:tbl>
      <w:tblPr>
        <w:tblStyle w:val="TableGrid0"/>
        <w:tblW w:w="0" w:type="auto"/>
        <w:tblLook w:val="04A0" w:firstRow="1" w:lastRow="0" w:firstColumn="1" w:lastColumn="0" w:noHBand="0" w:noVBand="1"/>
      </w:tblPr>
      <w:tblGrid>
        <w:gridCol w:w="2337"/>
        <w:gridCol w:w="2337"/>
        <w:gridCol w:w="2338"/>
        <w:gridCol w:w="2338"/>
      </w:tblGrid>
      <w:tr w:rsidR="00876FA0" w:rsidRPr="004A30FF" w14:paraId="59E59153" w14:textId="77777777" w:rsidTr="00876FA0">
        <w:tc>
          <w:tcPr>
            <w:tcW w:w="2337" w:type="dxa"/>
          </w:tcPr>
          <w:p w14:paraId="7035AB26" w14:textId="77777777" w:rsidR="00876FA0" w:rsidRPr="004A30FF" w:rsidRDefault="00862AC8"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30201</w:t>
            </w:r>
          </w:p>
          <w:p w14:paraId="26167E26" w14:textId="7CDFDC3A" w:rsidR="00862AC8" w:rsidRPr="004A30FF" w:rsidRDefault="00862AC8"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47F24342" w14:textId="60A69ACC" w:rsidR="00876FA0" w:rsidRPr="004A30FF" w:rsidRDefault="00862AC8"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храна</w:t>
            </w:r>
          </w:p>
        </w:tc>
        <w:tc>
          <w:tcPr>
            <w:tcW w:w="2338" w:type="dxa"/>
          </w:tcPr>
          <w:p w14:paraId="340B2873" w14:textId="67E10BCB" w:rsidR="00876FA0" w:rsidRPr="004A30FF" w:rsidRDefault="000057A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30201 и кредита на сметката в лева</w:t>
            </w:r>
          </w:p>
        </w:tc>
        <w:tc>
          <w:tcPr>
            <w:tcW w:w="2338" w:type="dxa"/>
          </w:tcPr>
          <w:p w14:paraId="2B1B85B7" w14:textId="2A982346" w:rsidR="00876FA0" w:rsidRPr="004A30FF" w:rsidRDefault="000057A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30201 и дебита на сметката в лева</w:t>
            </w:r>
          </w:p>
        </w:tc>
      </w:tr>
      <w:tr w:rsidR="00876FA0" w:rsidRPr="004A30FF" w14:paraId="3DD05B7B" w14:textId="77777777" w:rsidTr="00876FA0">
        <w:tc>
          <w:tcPr>
            <w:tcW w:w="2337" w:type="dxa"/>
          </w:tcPr>
          <w:p w14:paraId="570500CE" w14:textId="77777777" w:rsidR="00876FA0" w:rsidRPr="004A30FF" w:rsidRDefault="00876FA0" w:rsidP="006634D4">
            <w:pPr>
              <w:spacing w:line="360" w:lineRule="auto"/>
              <w:jc w:val="right"/>
              <w:rPr>
                <w:rFonts w:ascii="Times New Roman" w:hAnsi="Times New Roman" w:cs="Times New Roman"/>
                <w:sz w:val="24"/>
                <w:szCs w:val="24"/>
              </w:rPr>
            </w:pPr>
          </w:p>
        </w:tc>
        <w:tc>
          <w:tcPr>
            <w:tcW w:w="2337" w:type="dxa"/>
          </w:tcPr>
          <w:p w14:paraId="75FCCF00" w14:textId="16301041" w:rsidR="00876FA0" w:rsidRPr="004A30FF" w:rsidRDefault="00862AC8"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Начално салдо</w:t>
            </w:r>
          </w:p>
        </w:tc>
        <w:tc>
          <w:tcPr>
            <w:tcW w:w="2338" w:type="dxa"/>
          </w:tcPr>
          <w:p w14:paraId="7E9E2FFA" w14:textId="511AAAF2" w:rsidR="00876FA0" w:rsidRPr="004A30FF" w:rsidRDefault="00933478"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7,394.89</w:t>
            </w:r>
          </w:p>
        </w:tc>
        <w:tc>
          <w:tcPr>
            <w:tcW w:w="2338" w:type="dxa"/>
          </w:tcPr>
          <w:p w14:paraId="15A38920" w14:textId="1AE97B8A" w:rsidR="00876FA0" w:rsidRPr="004A30FF" w:rsidRDefault="00933478"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r w:rsidR="00876FA0" w:rsidRPr="004A30FF" w14:paraId="17C20DC7" w14:textId="77777777" w:rsidTr="00876FA0">
        <w:tc>
          <w:tcPr>
            <w:tcW w:w="2337" w:type="dxa"/>
          </w:tcPr>
          <w:p w14:paraId="7D5242C4" w14:textId="2A038028" w:rsidR="00876FA0" w:rsidRPr="004A30FF" w:rsidRDefault="00862AC8"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4010</w:t>
            </w:r>
          </w:p>
        </w:tc>
        <w:tc>
          <w:tcPr>
            <w:tcW w:w="2337" w:type="dxa"/>
          </w:tcPr>
          <w:p w14:paraId="57D8452C" w14:textId="238D90E8" w:rsidR="00876FA0" w:rsidRPr="004A30FF" w:rsidRDefault="00862AC8"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Задължения към доставчици</w:t>
            </w:r>
          </w:p>
        </w:tc>
        <w:tc>
          <w:tcPr>
            <w:tcW w:w="2338" w:type="dxa"/>
          </w:tcPr>
          <w:p w14:paraId="1EE29F73" w14:textId="1FD0B4C8" w:rsidR="00876FA0" w:rsidRPr="004A30FF" w:rsidRDefault="00933478"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24,687.46</w:t>
            </w:r>
          </w:p>
        </w:tc>
        <w:tc>
          <w:tcPr>
            <w:tcW w:w="2338" w:type="dxa"/>
          </w:tcPr>
          <w:p w14:paraId="770BB8EB" w14:textId="66629A4C" w:rsidR="00876FA0" w:rsidRPr="004A30FF" w:rsidRDefault="00933478"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r w:rsidR="00876FA0" w:rsidRPr="004A30FF" w14:paraId="0568E5B6" w14:textId="77777777" w:rsidTr="00876FA0">
        <w:tc>
          <w:tcPr>
            <w:tcW w:w="2337" w:type="dxa"/>
          </w:tcPr>
          <w:p w14:paraId="0A974F42" w14:textId="5A96C339" w:rsidR="00876FA0" w:rsidRPr="004A30FF" w:rsidRDefault="00862AC8"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6012</w:t>
            </w:r>
          </w:p>
        </w:tc>
        <w:tc>
          <w:tcPr>
            <w:tcW w:w="2337" w:type="dxa"/>
          </w:tcPr>
          <w:p w14:paraId="69C840C9" w14:textId="58BBFC1D" w:rsidR="00876FA0" w:rsidRPr="004A30FF" w:rsidRDefault="000057A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храна</w:t>
            </w:r>
          </w:p>
        </w:tc>
        <w:tc>
          <w:tcPr>
            <w:tcW w:w="2338" w:type="dxa"/>
          </w:tcPr>
          <w:p w14:paraId="426A467F" w14:textId="3471A473" w:rsidR="00876FA0" w:rsidRPr="004A30FF" w:rsidRDefault="00933478"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021F4A0F" w14:textId="388B7823" w:rsidR="00876FA0" w:rsidRPr="004A30FF" w:rsidRDefault="00933478"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26,154.57</w:t>
            </w:r>
          </w:p>
        </w:tc>
      </w:tr>
      <w:tr w:rsidR="00876FA0" w:rsidRPr="004A30FF" w14:paraId="4D3C8CDA" w14:textId="77777777" w:rsidTr="00876FA0">
        <w:tc>
          <w:tcPr>
            <w:tcW w:w="2337" w:type="dxa"/>
          </w:tcPr>
          <w:p w14:paraId="24413CCE" w14:textId="2FB5276B" w:rsidR="00876FA0" w:rsidRPr="004A30FF" w:rsidRDefault="00862AC8"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6112</w:t>
            </w:r>
          </w:p>
        </w:tc>
        <w:tc>
          <w:tcPr>
            <w:tcW w:w="2337" w:type="dxa"/>
          </w:tcPr>
          <w:p w14:paraId="75C67274" w14:textId="4352DB61" w:rsidR="00876FA0" w:rsidRPr="004A30FF" w:rsidRDefault="000057A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Отчетна стойност на продадени материали</w:t>
            </w:r>
          </w:p>
        </w:tc>
        <w:tc>
          <w:tcPr>
            <w:tcW w:w="2338" w:type="dxa"/>
          </w:tcPr>
          <w:p w14:paraId="5921D5F8" w14:textId="527C76D2" w:rsidR="00876FA0" w:rsidRPr="004A30FF" w:rsidRDefault="00933478"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021A7D10" w14:textId="641C91A5" w:rsidR="00876FA0" w:rsidRPr="004A30FF" w:rsidRDefault="00933478"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3,957.50</w:t>
            </w:r>
          </w:p>
        </w:tc>
      </w:tr>
    </w:tbl>
    <w:p w14:paraId="4FD09313" w14:textId="07B17C31" w:rsidR="007D2C97" w:rsidRPr="004A30FF" w:rsidRDefault="00BF17E4"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Всичко обороти</w:t>
      </w:r>
      <w:r w:rsidR="00A14858" w:rsidRPr="004A30FF">
        <w:rPr>
          <w:rFonts w:ascii="Times New Roman" w:hAnsi="Times New Roman" w:cs="Times New Roman"/>
          <w:sz w:val="24"/>
          <w:szCs w:val="24"/>
        </w:rPr>
        <w:t xml:space="preserve"> за периода                                  </w:t>
      </w:r>
      <w:r w:rsidR="006634D4" w:rsidRPr="004A30FF">
        <w:rPr>
          <w:rFonts w:ascii="Times New Roman" w:hAnsi="Times New Roman" w:cs="Times New Roman"/>
          <w:sz w:val="24"/>
          <w:szCs w:val="24"/>
        </w:rPr>
        <w:t xml:space="preserve">                   </w:t>
      </w:r>
      <w:r w:rsidR="00A14858" w:rsidRPr="004A30FF">
        <w:rPr>
          <w:rFonts w:ascii="Times New Roman" w:hAnsi="Times New Roman" w:cs="Times New Roman"/>
          <w:sz w:val="24"/>
          <w:szCs w:val="24"/>
        </w:rPr>
        <w:t>32,082.35                        30,112.07</w:t>
      </w:r>
    </w:p>
    <w:p w14:paraId="785FB449" w14:textId="20AD285E" w:rsidR="00A14858" w:rsidRPr="004A30FF" w:rsidRDefault="00A14858"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-1,</w:t>
      </w:r>
      <w:r w:rsidR="009351E6" w:rsidRPr="004A30FF">
        <w:rPr>
          <w:rFonts w:ascii="Times New Roman" w:hAnsi="Times New Roman" w:cs="Times New Roman"/>
          <w:sz w:val="24"/>
          <w:szCs w:val="24"/>
        </w:rPr>
        <w:t>970.28</w:t>
      </w:r>
    </w:p>
    <w:tbl>
      <w:tblPr>
        <w:tblStyle w:val="TableGrid0"/>
        <w:tblW w:w="0" w:type="auto"/>
        <w:tblLook w:val="04A0" w:firstRow="1" w:lastRow="0" w:firstColumn="1" w:lastColumn="0" w:noHBand="0" w:noVBand="1"/>
      </w:tblPr>
      <w:tblGrid>
        <w:gridCol w:w="2319"/>
        <w:gridCol w:w="2384"/>
        <w:gridCol w:w="2324"/>
        <w:gridCol w:w="2323"/>
      </w:tblGrid>
      <w:tr w:rsidR="001D764C" w:rsidRPr="004A30FF" w14:paraId="034EF043" w14:textId="77777777" w:rsidTr="00D17BF1">
        <w:tc>
          <w:tcPr>
            <w:tcW w:w="2337" w:type="dxa"/>
          </w:tcPr>
          <w:p w14:paraId="5B12EBFE" w14:textId="77777777" w:rsidR="001D764C" w:rsidRPr="004A30FF" w:rsidRDefault="001D764C"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4010</w:t>
            </w:r>
          </w:p>
          <w:p w14:paraId="3290A5D1" w14:textId="3FB3FCA1" w:rsidR="001D764C" w:rsidRPr="004A30FF" w:rsidRDefault="001D764C"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723612B9" w14:textId="41EB2C97" w:rsidR="001D764C" w:rsidRPr="004A30FF" w:rsidRDefault="001D764C"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Задължения към доставчици в страната</w:t>
            </w:r>
          </w:p>
        </w:tc>
        <w:tc>
          <w:tcPr>
            <w:tcW w:w="2338" w:type="dxa"/>
          </w:tcPr>
          <w:p w14:paraId="1F792E35" w14:textId="523F53BF" w:rsidR="001D764C" w:rsidRPr="004A30FF" w:rsidRDefault="001D764C"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 xml:space="preserve">По дебита на </w:t>
            </w:r>
            <w:r w:rsidR="0070748B" w:rsidRPr="004A30FF">
              <w:rPr>
                <w:rFonts w:ascii="Times New Roman" w:hAnsi="Times New Roman" w:cs="Times New Roman"/>
                <w:sz w:val="24"/>
                <w:szCs w:val="24"/>
              </w:rPr>
              <w:t>4010</w:t>
            </w:r>
            <w:r w:rsidRPr="004A30FF">
              <w:rPr>
                <w:rFonts w:ascii="Times New Roman" w:hAnsi="Times New Roman" w:cs="Times New Roman"/>
                <w:sz w:val="24"/>
                <w:szCs w:val="24"/>
              </w:rPr>
              <w:t xml:space="preserve"> и кредита на сметката в лева</w:t>
            </w:r>
          </w:p>
        </w:tc>
        <w:tc>
          <w:tcPr>
            <w:tcW w:w="2338" w:type="dxa"/>
          </w:tcPr>
          <w:p w14:paraId="06EE696B" w14:textId="3A16610A" w:rsidR="001D764C" w:rsidRPr="004A30FF" w:rsidRDefault="001D764C"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 xml:space="preserve">По кредита на </w:t>
            </w:r>
            <w:r w:rsidR="0070748B" w:rsidRPr="004A30FF">
              <w:rPr>
                <w:rFonts w:ascii="Times New Roman" w:hAnsi="Times New Roman" w:cs="Times New Roman"/>
                <w:sz w:val="24"/>
                <w:szCs w:val="24"/>
              </w:rPr>
              <w:t>4010</w:t>
            </w:r>
            <w:r w:rsidRPr="004A30FF">
              <w:rPr>
                <w:rFonts w:ascii="Times New Roman" w:hAnsi="Times New Roman" w:cs="Times New Roman"/>
                <w:sz w:val="24"/>
                <w:szCs w:val="24"/>
              </w:rPr>
              <w:t xml:space="preserve"> и дебита на сметката в лева</w:t>
            </w:r>
          </w:p>
        </w:tc>
      </w:tr>
      <w:tr w:rsidR="001D764C" w:rsidRPr="004A30FF" w14:paraId="16830E1B" w14:textId="77777777" w:rsidTr="00D17BF1">
        <w:tc>
          <w:tcPr>
            <w:tcW w:w="2337" w:type="dxa"/>
          </w:tcPr>
          <w:p w14:paraId="0663EB46" w14:textId="0C0E14A5" w:rsidR="001D764C" w:rsidRPr="004A30FF" w:rsidRDefault="001D764C"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2049</w:t>
            </w:r>
          </w:p>
        </w:tc>
        <w:tc>
          <w:tcPr>
            <w:tcW w:w="2337" w:type="dxa"/>
          </w:tcPr>
          <w:p w14:paraId="424580FF" w14:textId="77777777" w:rsidR="001D764C" w:rsidRPr="004A30FF" w:rsidRDefault="001D764C" w:rsidP="006634D4">
            <w:pPr>
              <w:spacing w:line="360" w:lineRule="auto"/>
              <w:jc w:val="right"/>
              <w:rPr>
                <w:rFonts w:ascii="Times New Roman" w:hAnsi="Times New Roman" w:cs="Times New Roman"/>
                <w:sz w:val="24"/>
                <w:szCs w:val="24"/>
              </w:rPr>
            </w:pPr>
          </w:p>
        </w:tc>
        <w:tc>
          <w:tcPr>
            <w:tcW w:w="2338" w:type="dxa"/>
          </w:tcPr>
          <w:p w14:paraId="7F7299AE" w14:textId="2BA5EA40" w:rsidR="001D764C" w:rsidRPr="004A30FF" w:rsidRDefault="001D764C"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6A7E9E12" w14:textId="2061061C" w:rsidR="001D764C" w:rsidRPr="004A30FF" w:rsidRDefault="001D764C"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6,900.00</w:t>
            </w:r>
          </w:p>
        </w:tc>
      </w:tr>
      <w:tr w:rsidR="001D764C" w:rsidRPr="004A30FF" w14:paraId="61504830" w14:textId="77777777" w:rsidTr="00D17BF1">
        <w:tc>
          <w:tcPr>
            <w:tcW w:w="2337" w:type="dxa"/>
          </w:tcPr>
          <w:p w14:paraId="3CC0D50F" w14:textId="275C0FE8" w:rsidR="001D764C" w:rsidRPr="004A30FF" w:rsidRDefault="001D764C"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30201</w:t>
            </w:r>
          </w:p>
        </w:tc>
        <w:tc>
          <w:tcPr>
            <w:tcW w:w="2337" w:type="dxa"/>
          </w:tcPr>
          <w:p w14:paraId="4CBA8394" w14:textId="0EB1C145" w:rsidR="001D764C" w:rsidRPr="004A30FF" w:rsidRDefault="001D764C"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храна</w:t>
            </w:r>
          </w:p>
        </w:tc>
        <w:tc>
          <w:tcPr>
            <w:tcW w:w="2338" w:type="dxa"/>
          </w:tcPr>
          <w:p w14:paraId="2A56AA85" w14:textId="3E0CA989" w:rsidR="001D764C" w:rsidRPr="004A30FF" w:rsidRDefault="001D764C"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59D87D6B" w14:textId="6630462C" w:rsidR="001D764C" w:rsidRPr="004A30FF" w:rsidRDefault="001D764C"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24,687.46</w:t>
            </w:r>
          </w:p>
        </w:tc>
      </w:tr>
      <w:tr w:rsidR="001D764C" w:rsidRPr="004A30FF" w14:paraId="4D396BE5" w14:textId="77777777" w:rsidTr="00D17BF1">
        <w:tc>
          <w:tcPr>
            <w:tcW w:w="2337" w:type="dxa"/>
          </w:tcPr>
          <w:p w14:paraId="5FEE3CDE" w14:textId="0E541692" w:rsidR="001D764C" w:rsidRPr="004A30FF" w:rsidRDefault="006E0BF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5013</w:t>
            </w:r>
          </w:p>
        </w:tc>
        <w:tc>
          <w:tcPr>
            <w:tcW w:w="2337" w:type="dxa"/>
          </w:tcPr>
          <w:p w14:paraId="51A1EBE9" w14:textId="2FBEBAD8" w:rsidR="001D764C" w:rsidRPr="004A30FF" w:rsidRDefault="006E0BF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 xml:space="preserve">Текущи банкови </w:t>
            </w:r>
            <w:r w:rsidR="00041EA6" w:rsidRPr="004A30FF">
              <w:rPr>
                <w:rFonts w:ascii="Times New Roman" w:hAnsi="Times New Roman" w:cs="Times New Roman"/>
                <w:sz w:val="24"/>
                <w:szCs w:val="24"/>
              </w:rPr>
              <w:t>сметки в лева</w:t>
            </w:r>
          </w:p>
        </w:tc>
        <w:tc>
          <w:tcPr>
            <w:tcW w:w="2338" w:type="dxa"/>
          </w:tcPr>
          <w:p w14:paraId="4BE42CA0" w14:textId="132E9911" w:rsidR="001D764C" w:rsidRPr="004A30FF" w:rsidRDefault="00041EA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123,799.74</w:t>
            </w:r>
          </w:p>
        </w:tc>
        <w:tc>
          <w:tcPr>
            <w:tcW w:w="2338" w:type="dxa"/>
          </w:tcPr>
          <w:p w14:paraId="0B90CDF2" w14:textId="06A8F9A6" w:rsidR="001D764C" w:rsidRPr="004A30FF" w:rsidRDefault="00041EA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r w:rsidR="001D764C" w:rsidRPr="004A30FF" w14:paraId="5A12C332" w14:textId="77777777" w:rsidTr="00D17BF1">
        <w:tc>
          <w:tcPr>
            <w:tcW w:w="2337" w:type="dxa"/>
          </w:tcPr>
          <w:p w14:paraId="2EED05C3" w14:textId="73D106D0" w:rsidR="001D764C" w:rsidRPr="004A30FF" w:rsidRDefault="00041EA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60104</w:t>
            </w:r>
          </w:p>
        </w:tc>
        <w:tc>
          <w:tcPr>
            <w:tcW w:w="2337" w:type="dxa"/>
          </w:tcPr>
          <w:p w14:paraId="5602CDF3" w14:textId="6C362AAA" w:rsidR="001D764C" w:rsidRPr="004A30FF" w:rsidRDefault="000D035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вода</w:t>
            </w:r>
          </w:p>
        </w:tc>
        <w:tc>
          <w:tcPr>
            <w:tcW w:w="2338" w:type="dxa"/>
          </w:tcPr>
          <w:p w14:paraId="44A3C163" w14:textId="31EBA12D" w:rsidR="001D764C" w:rsidRPr="004A30FF" w:rsidRDefault="0009156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593ED233" w14:textId="57E40A86" w:rsidR="001D764C" w:rsidRPr="004A30FF" w:rsidRDefault="0016173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5,240.21</w:t>
            </w:r>
          </w:p>
        </w:tc>
      </w:tr>
      <w:tr w:rsidR="001D764C" w:rsidRPr="004A30FF" w14:paraId="163873A3" w14:textId="77777777" w:rsidTr="00D17BF1">
        <w:tc>
          <w:tcPr>
            <w:tcW w:w="2337" w:type="dxa"/>
          </w:tcPr>
          <w:p w14:paraId="1CD738BF" w14:textId="0196240A" w:rsidR="001D764C" w:rsidRPr="004A30FF" w:rsidRDefault="00041EA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60105</w:t>
            </w:r>
          </w:p>
        </w:tc>
        <w:tc>
          <w:tcPr>
            <w:tcW w:w="2337" w:type="dxa"/>
          </w:tcPr>
          <w:p w14:paraId="07A8BA3A" w14:textId="7E64CA91" w:rsidR="001D764C" w:rsidRPr="004A30FF" w:rsidRDefault="000D035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ел. Енергия</w:t>
            </w:r>
          </w:p>
        </w:tc>
        <w:tc>
          <w:tcPr>
            <w:tcW w:w="2338" w:type="dxa"/>
          </w:tcPr>
          <w:p w14:paraId="6EFCF771" w14:textId="2BB04853" w:rsidR="001D764C" w:rsidRPr="004A30FF" w:rsidRDefault="0009156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79ADA8FA" w14:textId="7AD7C29B" w:rsidR="001D764C" w:rsidRPr="004A30FF" w:rsidRDefault="0016173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14,838.82</w:t>
            </w:r>
          </w:p>
        </w:tc>
      </w:tr>
      <w:tr w:rsidR="001D764C" w:rsidRPr="004A30FF" w14:paraId="52EF1326" w14:textId="77777777" w:rsidTr="00D17BF1">
        <w:tc>
          <w:tcPr>
            <w:tcW w:w="2337" w:type="dxa"/>
          </w:tcPr>
          <w:p w14:paraId="0EB8EE96" w14:textId="127F458B" w:rsidR="001D764C" w:rsidRPr="004A30FF" w:rsidRDefault="00041EA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60108</w:t>
            </w:r>
          </w:p>
        </w:tc>
        <w:tc>
          <w:tcPr>
            <w:tcW w:w="2337" w:type="dxa"/>
          </w:tcPr>
          <w:p w14:paraId="67A5B713" w14:textId="73B7578A" w:rsidR="001D764C" w:rsidRPr="004A30FF" w:rsidRDefault="0040066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Природен газ за отопление</w:t>
            </w:r>
          </w:p>
        </w:tc>
        <w:tc>
          <w:tcPr>
            <w:tcW w:w="2338" w:type="dxa"/>
          </w:tcPr>
          <w:p w14:paraId="5B6D31C9" w14:textId="31E3187E" w:rsidR="001D764C" w:rsidRPr="004A30FF" w:rsidRDefault="0009156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071BDCB7" w14:textId="318DDFD8" w:rsidR="001D764C" w:rsidRPr="004A30FF" w:rsidRDefault="0016173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16,845.97</w:t>
            </w:r>
          </w:p>
        </w:tc>
      </w:tr>
      <w:tr w:rsidR="001D764C" w:rsidRPr="004A30FF" w14:paraId="2D5109D7" w14:textId="77777777" w:rsidTr="00D17BF1">
        <w:tc>
          <w:tcPr>
            <w:tcW w:w="2337" w:type="dxa"/>
          </w:tcPr>
          <w:p w14:paraId="38BE7B43" w14:textId="4C06A8FF" w:rsidR="001D764C" w:rsidRPr="004A30FF" w:rsidRDefault="00041EA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lastRenderedPageBreak/>
              <w:t>6012</w:t>
            </w:r>
          </w:p>
        </w:tc>
        <w:tc>
          <w:tcPr>
            <w:tcW w:w="2337" w:type="dxa"/>
          </w:tcPr>
          <w:p w14:paraId="7E8B86BD" w14:textId="1DE98103" w:rsidR="001D764C" w:rsidRPr="004A30FF" w:rsidRDefault="0040066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 xml:space="preserve">Разходи за </w:t>
            </w:r>
            <w:r w:rsidR="00761E0D" w:rsidRPr="004A30FF">
              <w:rPr>
                <w:rFonts w:ascii="Times New Roman" w:hAnsi="Times New Roman" w:cs="Times New Roman"/>
                <w:sz w:val="24"/>
                <w:szCs w:val="24"/>
              </w:rPr>
              <w:t>храна</w:t>
            </w:r>
          </w:p>
        </w:tc>
        <w:tc>
          <w:tcPr>
            <w:tcW w:w="2338" w:type="dxa"/>
          </w:tcPr>
          <w:p w14:paraId="49BCF2DA" w14:textId="375DBD69" w:rsidR="001D764C" w:rsidRPr="004A30FF" w:rsidRDefault="0009156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70BD6823" w14:textId="00FBE2E3" w:rsidR="001D764C" w:rsidRPr="004A30FF" w:rsidRDefault="0016173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1,156.40</w:t>
            </w:r>
          </w:p>
        </w:tc>
      </w:tr>
      <w:tr w:rsidR="001D764C" w:rsidRPr="004A30FF" w14:paraId="4603D0A7" w14:textId="77777777" w:rsidTr="00D17BF1">
        <w:tc>
          <w:tcPr>
            <w:tcW w:w="2337" w:type="dxa"/>
          </w:tcPr>
          <w:p w14:paraId="18F35227" w14:textId="7BEA2603" w:rsidR="001D764C" w:rsidRPr="004A30FF" w:rsidRDefault="000D035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6014</w:t>
            </w:r>
          </w:p>
        </w:tc>
        <w:tc>
          <w:tcPr>
            <w:tcW w:w="2337" w:type="dxa"/>
          </w:tcPr>
          <w:p w14:paraId="49A35BDD" w14:textId="11E8F006" w:rsidR="001D764C" w:rsidRPr="004A30FF" w:rsidRDefault="00761E0D"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учебни материали и помагала</w:t>
            </w:r>
          </w:p>
        </w:tc>
        <w:tc>
          <w:tcPr>
            <w:tcW w:w="2338" w:type="dxa"/>
          </w:tcPr>
          <w:p w14:paraId="1B0801E2" w14:textId="0A1EFD58" w:rsidR="001D764C" w:rsidRPr="004A30FF" w:rsidRDefault="0009156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1D3CF15A" w14:textId="71475ED3" w:rsidR="001D764C" w:rsidRPr="004A30FF" w:rsidRDefault="0016173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3,535.68</w:t>
            </w:r>
          </w:p>
        </w:tc>
      </w:tr>
      <w:tr w:rsidR="001D764C" w:rsidRPr="004A30FF" w14:paraId="35825A7D" w14:textId="77777777" w:rsidTr="00D17BF1">
        <w:tc>
          <w:tcPr>
            <w:tcW w:w="2337" w:type="dxa"/>
          </w:tcPr>
          <w:p w14:paraId="1B687109" w14:textId="30F9EDD8" w:rsidR="001D764C" w:rsidRPr="004A30FF" w:rsidRDefault="00E0731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6019</w:t>
            </w:r>
          </w:p>
        </w:tc>
        <w:tc>
          <w:tcPr>
            <w:tcW w:w="2337" w:type="dxa"/>
          </w:tcPr>
          <w:p w14:paraId="10C51BFF" w14:textId="4E8DDBA7" w:rsidR="001D764C" w:rsidRPr="004A30FF" w:rsidRDefault="006F1785"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други материали</w:t>
            </w:r>
          </w:p>
        </w:tc>
        <w:tc>
          <w:tcPr>
            <w:tcW w:w="2338" w:type="dxa"/>
          </w:tcPr>
          <w:p w14:paraId="74CFC22D" w14:textId="2EB89FC4" w:rsidR="001D764C" w:rsidRPr="004A30FF" w:rsidRDefault="0009156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61592F8F" w14:textId="3711E8FC" w:rsidR="001D764C" w:rsidRPr="004A30FF" w:rsidRDefault="0016173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5,256.55</w:t>
            </w:r>
          </w:p>
        </w:tc>
      </w:tr>
      <w:tr w:rsidR="001D764C" w:rsidRPr="004A30FF" w14:paraId="7F694E75" w14:textId="77777777" w:rsidTr="00D17BF1">
        <w:tc>
          <w:tcPr>
            <w:tcW w:w="2337" w:type="dxa"/>
          </w:tcPr>
          <w:p w14:paraId="64D64992" w14:textId="123F7CA7" w:rsidR="001D764C" w:rsidRPr="004A30FF" w:rsidRDefault="00E0731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6021</w:t>
            </w:r>
          </w:p>
        </w:tc>
        <w:tc>
          <w:tcPr>
            <w:tcW w:w="2337" w:type="dxa"/>
          </w:tcPr>
          <w:p w14:paraId="0BD14FEB" w14:textId="75B0CF7E" w:rsidR="001D764C" w:rsidRPr="004A30FF" w:rsidRDefault="006F1785"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текущ ремонт</w:t>
            </w:r>
          </w:p>
        </w:tc>
        <w:tc>
          <w:tcPr>
            <w:tcW w:w="2338" w:type="dxa"/>
          </w:tcPr>
          <w:p w14:paraId="77F390BB" w14:textId="11734ECE" w:rsidR="001D764C" w:rsidRPr="004A30FF" w:rsidRDefault="0009156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56045623" w14:textId="4E9DDFD3" w:rsidR="001D764C" w:rsidRPr="004A30FF" w:rsidRDefault="0016173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5,445.22</w:t>
            </w:r>
          </w:p>
        </w:tc>
      </w:tr>
      <w:tr w:rsidR="001D764C" w:rsidRPr="004A30FF" w14:paraId="0B6F84B8" w14:textId="77777777" w:rsidTr="00D17BF1">
        <w:tc>
          <w:tcPr>
            <w:tcW w:w="2337" w:type="dxa"/>
          </w:tcPr>
          <w:p w14:paraId="05F3E53B" w14:textId="6125A876" w:rsidR="001D764C" w:rsidRPr="004A30FF" w:rsidRDefault="00E0731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6023</w:t>
            </w:r>
          </w:p>
        </w:tc>
        <w:tc>
          <w:tcPr>
            <w:tcW w:w="2337" w:type="dxa"/>
          </w:tcPr>
          <w:p w14:paraId="78ADAC52" w14:textId="1F1DFC09" w:rsidR="001D764C" w:rsidRPr="004A30FF" w:rsidRDefault="00093ED4"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пощенски и телекомуникационни услуги</w:t>
            </w:r>
          </w:p>
        </w:tc>
        <w:tc>
          <w:tcPr>
            <w:tcW w:w="2338" w:type="dxa"/>
          </w:tcPr>
          <w:p w14:paraId="39B8C638" w14:textId="2FBB163C" w:rsidR="001D764C" w:rsidRPr="004A30FF" w:rsidRDefault="0009156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009912B6" w14:textId="66B6B47C" w:rsidR="001D764C" w:rsidRPr="004A30FF" w:rsidRDefault="0016173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1,025.20</w:t>
            </w:r>
          </w:p>
        </w:tc>
      </w:tr>
      <w:tr w:rsidR="001D764C" w:rsidRPr="004A30FF" w14:paraId="22A93694" w14:textId="77777777" w:rsidTr="00D17BF1">
        <w:tc>
          <w:tcPr>
            <w:tcW w:w="2337" w:type="dxa"/>
          </w:tcPr>
          <w:p w14:paraId="50434DF4" w14:textId="27E313C8" w:rsidR="001D764C" w:rsidRPr="004A30FF" w:rsidRDefault="00E0731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6025</w:t>
            </w:r>
          </w:p>
        </w:tc>
        <w:tc>
          <w:tcPr>
            <w:tcW w:w="2337" w:type="dxa"/>
          </w:tcPr>
          <w:p w14:paraId="41125714" w14:textId="5DE03B84" w:rsidR="001D764C" w:rsidRPr="004A30FF" w:rsidRDefault="00912C1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 xml:space="preserve">Разходи за квалификации и </w:t>
            </w:r>
            <w:r w:rsidR="00093ED4" w:rsidRPr="004A30FF">
              <w:rPr>
                <w:rFonts w:ascii="Times New Roman" w:hAnsi="Times New Roman" w:cs="Times New Roman"/>
                <w:sz w:val="24"/>
                <w:szCs w:val="24"/>
              </w:rPr>
              <w:t>преквалификации на персонала</w:t>
            </w:r>
          </w:p>
        </w:tc>
        <w:tc>
          <w:tcPr>
            <w:tcW w:w="2338" w:type="dxa"/>
          </w:tcPr>
          <w:p w14:paraId="77A37CB8" w14:textId="3416C707" w:rsidR="001D764C" w:rsidRPr="004A30FF" w:rsidRDefault="0009156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55F4929B" w14:textId="4C55B916" w:rsidR="001D764C" w:rsidRPr="004A30FF" w:rsidRDefault="0016173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4,175.99</w:t>
            </w:r>
          </w:p>
        </w:tc>
      </w:tr>
      <w:tr w:rsidR="001D764C" w:rsidRPr="004A30FF" w14:paraId="7C1DF9C1" w14:textId="77777777" w:rsidTr="00D17BF1">
        <w:tc>
          <w:tcPr>
            <w:tcW w:w="2337" w:type="dxa"/>
          </w:tcPr>
          <w:p w14:paraId="509F7F51" w14:textId="5ED1B864" w:rsidR="001D764C" w:rsidRPr="004A30FF" w:rsidRDefault="00E0731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6026</w:t>
            </w:r>
          </w:p>
        </w:tc>
        <w:tc>
          <w:tcPr>
            <w:tcW w:w="2337" w:type="dxa"/>
          </w:tcPr>
          <w:p w14:paraId="11E41F12" w14:textId="424D6F6E" w:rsidR="001D764C" w:rsidRPr="004A30FF" w:rsidRDefault="00912C1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поддръжка на софтуер/програми</w:t>
            </w:r>
          </w:p>
        </w:tc>
        <w:tc>
          <w:tcPr>
            <w:tcW w:w="2338" w:type="dxa"/>
          </w:tcPr>
          <w:p w14:paraId="7788A471" w14:textId="13C52A53" w:rsidR="001D764C" w:rsidRPr="004A30FF" w:rsidRDefault="0016173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50197803" w14:textId="70AFAAB7" w:rsidR="001D764C" w:rsidRPr="004A30FF" w:rsidRDefault="0016173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2,301.57</w:t>
            </w:r>
          </w:p>
        </w:tc>
      </w:tr>
      <w:tr w:rsidR="001D764C" w:rsidRPr="004A30FF" w14:paraId="5FF85554" w14:textId="77777777" w:rsidTr="00D17BF1">
        <w:tc>
          <w:tcPr>
            <w:tcW w:w="2337" w:type="dxa"/>
          </w:tcPr>
          <w:p w14:paraId="25036C2F" w14:textId="7D4B4357" w:rsidR="001D764C" w:rsidRPr="004A30FF" w:rsidRDefault="00E0731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6028</w:t>
            </w:r>
          </w:p>
        </w:tc>
        <w:tc>
          <w:tcPr>
            <w:tcW w:w="2337" w:type="dxa"/>
          </w:tcPr>
          <w:p w14:paraId="0F59FF59" w14:textId="0E9C323D" w:rsidR="001D764C" w:rsidRPr="004A30FF" w:rsidRDefault="00097F9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консултански услуги</w:t>
            </w:r>
          </w:p>
        </w:tc>
        <w:tc>
          <w:tcPr>
            <w:tcW w:w="2338" w:type="dxa"/>
          </w:tcPr>
          <w:p w14:paraId="0AA5BC9F" w14:textId="60EF8306" w:rsidR="001D764C" w:rsidRPr="004A30FF" w:rsidRDefault="0016173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1341D796" w14:textId="36F8FE6B" w:rsidR="001D764C" w:rsidRPr="004A30FF" w:rsidRDefault="0016173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1,620.00</w:t>
            </w:r>
          </w:p>
        </w:tc>
      </w:tr>
      <w:tr w:rsidR="001D764C" w:rsidRPr="004A30FF" w14:paraId="4646C229" w14:textId="77777777" w:rsidTr="00D17BF1">
        <w:tc>
          <w:tcPr>
            <w:tcW w:w="2337" w:type="dxa"/>
          </w:tcPr>
          <w:p w14:paraId="54EE6E6D" w14:textId="6CD0179F" w:rsidR="001D764C" w:rsidRPr="004A30FF" w:rsidRDefault="00E0731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6029</w:t>
            </w:r>
          </w:p>
        </w:tc>
        <w:tc>
          <w:tcPr>
            <w:tcW w:w="2337" w:type="dxa"/>
          </w:tcPr>
          <w:p w14:paraId="5A0F2F8D" w14:textId="77A6941B" w:rsidR="001D764C" w:rsidRPr="004A30FF" w:rsidRDefault="0045675F"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Други разходи за външни разходи</w:t>
            </w:r>
          </w:p>
        </w:tc>
        <w:tc>
          <w:tcPr>
            <w:tcW w:w="2338" w:type="dxa"/>
          </w:tcPr>
          <w:p w14:paraId="13A019E7" w14:textId="5795BB3B" w:rsidR="001D764C" w:rsidRPr="004A30FF" w:rsidRDefault="0016173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000E790E" w14:textId="044FF101" w:rsidR="001D764C" w:rsidRPr="004A30FF" w:rsidRDefault="0016173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28,826.78</w:t>
            </w:r>
          </w:p>
        </w:tc>
      </w:tr>
      <w:tr w:rsidR="001D764C" w:rsidRPr="004A30FF" w14:paraId="1E5BC337" w14:textId="77777777" w:rsidTr="00D17BF1">
        <w:tc>
          <w:tcPr>
            <w:tcW w:w="2337" w:type="dxa"/>
          </w:tcPr>
          <w:p w14:paraId="239381F4" w14:textId="052BD398" w:rsidR="001D764C" w:rsidRPr="004A30FF" w:rsidRDefault="0045675F"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6062</w:t>
            </w:r>
          </w:p>
        </w:tc>
        <w:tc>
          <w:tcPr>
            <w:tcW w:w="2337" w:type="dxa"/>
          </w:tcPr>
          <w:p w14:paraId="6CED33B2" w14:textId="1CA4F6E8" w:rsidR="001D764C" w:rsidRPr="004A30FF" w:rsidRDefault="0045675F"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общински такси</w:t>
            </w:r>
          </w:p>
        </w:tc>
        <w:tc>
          <w:tcPr>
            <w:tcW w:w="2338" w:type="dxa"/>
          </w:tcPr>
          <w:p w14:paraId="62E52D7F" w14:textId="52AE2BD4" w:rsidR="001D764C" w:rsidRPr="004A30FF" w:rsidRDefault="0016173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0D0F4877" w14:textId="143EEE4A" w:rsidR="001D764C" w:rsidRPr="004A30FF" w:rsidRDefault="003C561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1,943.91</w:t>
            </w:r>
          </w:p>
        </w:tc>
      </w:tr>
    </w:tbl>
    <w:p w14:paraId="48FBAD59" w14:textId="147A5480" w:rsidR="009351E6" w:rsidRPr="004A30FF" w:rsidRDefault="003C5619"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123,799.74                     </w:t>
      </w:r>
      <w:r w:rsidR="00346513" w:rsidRPr="004A30FF">
        <w:rPr>
          <w:rFonts w:ascii="Times New Roman" w:hAnsi="Times New Roman" w:cs="Times New Roman"/>
          <w:sz w:val="24"/>
          <w:szCs w:val="24"/>
        </w:rPr>
        <w:t>123,799.74</w:t>
      </w:r>
    </w:p>
    <w:p w14:paraId="5A571CB0" w14:textId="185EBF53" w:rsidR="00346513" w:rsidRPr="004A30FF" w:rsidRDefault="00346513"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w:t>
      </w:r>
    </w:p>
    <w:tbl>
      <w:tblPr>
        <w:tblStyle w:val="TableGrid0"/>
        <w:tblW w:w="0" w:type="auto"/>
        <w:tblLook w:val="04A0" w:firstRow="1" w:lastRow="0" w:firstColumn="1" w:lastColumn="0" w:noHBand="0" w:noVBand="1"/>
      </w:tblPr>
      <w:tblGrid>
        <w:gridCol w:w="2306"/>
        <w:gridCol w:w="2464"/>
        <w:gridCol w:w="2290"/>
        <w:gridCol w:w="2290"/>
      </w:tblGrid>
      <w:tr w:rsidR="00676800" w:rsidRPr="004A30FF" w14:paraId="211A0A79" w14:textId="77777777" w:rsidTr="00676800">
        <w:tc>
          <w:tcPr>
            <w:tcW w:w="2306" w:type="dxa"/>
          </w:tcPr>
          <w:p w14:paraId="76CA6D6B" w14:textId="77777777" w:rsidR="00676800" w:rsidRPr="004A30FF" w:rsidRDefault="0067680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4211</w:t>
            </w:r>
          </w:p>
          <w:p w14:paraId="60ADE9D3" w14:textId="0EC3D7F3" w:rsidR="00676800" w:rsidRPr="004A30FF" w:rsidRDefault="0067680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464" w:type="dxa"/>
          </w:tcPr>
          <w:p w14:paraId="0AF03373" w14:textId="6B497194" w:rsidR="00676800" w:rsidRPr="004A30FF" w:rsidRDefault="0067680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Задължения към работници/служители и друг персонал</w:t>
            </w:r>
          </w:p>
        </w:tc>
        <w:tc>
          <w:tcPr>
            <w:tcW w:w="2290" w:type="dxa"/>
          </w:tcPr>
          <w:p w14:paraId="3BF2768E" w14:textId="15529BE9" w:rsidR="00676800" w:rsidRPr="004A30FF" w:rsidRDefault="0067680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4211 и кредита на сметката в лева</w:t>
            </w:r>
          </w:p>
        </w:tc>
        <w:tc>
          <w:tcPr>
            <w:tcW w:w="2290" w:type="dxa"/>
          </w:tcPr>
          <w:p w14:paraId="5FBAECC4" w14:textId="0C9F774B" w:rsidR="00676800" w:rsidRPr="004A30FF" w:rsidRDefault="0067680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4211 и дебита на сметката в лева</w:t>
            </w:r>
          </w:p>
        </w:tc>
      </w:tr>
      <w:tr w:rsidR="00676800" w:rsidRPr="004A30FF" w14:paraId="3B570D79" w14:textId="77777777" w:rsidTr="00676800">
        <w:tc>
          <w:tcPr>
            <w:tcW w:w="2306" w:type="dxa"/>
          </w:tcPr>
          <w:p w14:paraId="7F1093AD" w14:textId="48C2830A" w:rsidR="00676800" w:rsidRPr="004A30FF" w:rsidRDefault="0067680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lastRenderedPageBreak/>
              <w:t>4510</w:t>
            </w:r>
          </w:p>
        </w:tc>
        <w:tc>
          <w:tcPr>
            <w:tcW w:w="2464" w:type="dxa"/>
          </w:tcPr>
          <w:p w14:paraId="39FE5E3E" w14:textId="18AD502C" w:rsidR="00676800" w:rsidRPr="004A30FF" w:rsidRDefault="003B663F"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Разчети за данъци върху доходите на физически лица</w:t>
            </w:r>
          </w:p>
        </w:tc>
        <w:tc>
          <w:tcPr>
            <w:tcW w:w="2290" w:type="dxa"/>
          </w:tcPr>
          <w:p w14:paraId="6E7236E1" w14:textId="32CEE358" w:rsidR="00676800" w:rsidRPr="004A30FF" w:rsidRDefault="0055632E"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31,625.05</w:t>
            </w:r>
          </w:p>
        </w:tc>
        <w:tc>
          <w:tcPr>
            <w:tcW w:w="2290" w:type="dxa"/>
          </w:tcPr>
          <w:p w14:paraId="2EB04515" w14:textId="465E7E44" w:rsidR="00676800" w:rsidRPr="004A30FF" w:rsidRDefault="004B614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r w:rsidR="00676800" w:rsidRPr="004A30FF" w14:paraId="16A3DFD8" w14:textId="77777777" w:rsidTr="00676800">
        <w:tc>
          <w:tcPr>
            <w:tcW w:w="2306" w:type="dxa"/>
          </w:tcPr>
          <w:p w14:paraId="15ACA271" w14:textId="3D28E9C8" w:rsidR="00676800" w:rsidRPr="004A30FF" w:rsidRDefault="0067680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4555</w:t>
            </w:r>
          </w:p>
        </w:tc>
        <w:tc>
          <w:tcPr>
            <w:tcW w:w="2464" w:type="dxa"/>
          </w:tcPr>
          <w:p w14:paraId="1AE08778" w14:textId="24B67431" w:rsidR="00676800" w:rsidRPr="004A30FF" w:rsidRDefault="003B663F"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Разчети за вноски за ДОО</w:t>
            </w:r>
          </w:p>
        </w:tc>
        <w:tc>
          <w:tcPr>
            <w:tcW w:w="2290" w:type="dxa"/>
          </w:tcPr>
          <w:p w14:paraId="32B9C5D6" w14:textId="4EEC4FF5" w:rsidR="00676800" w:rsidRPr="004A30FF" w:rsidRDefault="0055632E"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34,032.55</w:t>
            </w:r>
          </w:p>
        </w:tc>
        <w:tc>
          <w:tcPr>
            <w:tcW w:w="2290" w:type="dxa"/>
          </w:tcPr>
          <w:p w14:paraId="1BE761E9" w14:textId="608FA729" w:rsidR="00676800" w:rsidRPr="004A30FF" w:rsidRDefault="004B614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r w:rsidR="00676800" w:rsidRPr="004A30FF" w14:paraId="47350BCF" w14:textId="77777777" w:rsidTr="00676800">
        <w:tc>
          <w:tcPr>
            <w:tcW w:w="2306" w:type="dxa"/>
          </w:tcPr>
          <w:p w14:paraId="27CF1DCA" w14:textId="47935A05" w:rsidR="00676800" w:rsidRPr="004A30FF" w:rsidRDefault="0067680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4556</w:t>
            </w:r>
          </w:p>
        </w:tc>
        <w:tc>
          <w:tcPr>
            <w:tcW w:w="2464" w:type="dxa"/>
          </w:tcPr>
          <w:p w14:paraId="4FB68A53" w14:textId="5A033A30" w:rsidR="00676800" w:rsidRPr="004A30FF" w:rsidRDefault="008C5C1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Разчети за здравни вноски за НЗК</w:t>
            </w:r>
          </w:p>
        </w:tc>
        <w:tc>
          <w:tcPr>
            <w:tcW w:w="2290" w:type="dxa"/>
          </w:tcPr>
          <w:p w14:paraId="28E577FB" w14:textId="74E0F38F" w:rsidR="00676800" w:rsidRPr="004A30FF" w:rsidRDefault="0055632E"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12,995.80</w:t>
            </w:r>
          </w:p>
        </w:tc>
        <w:tc>
          <w:tcPr>
            <w:tcW w:w="2290" w:type="dxa"/>
          </w:tcPr>
          <w:p w14:paraId="0638AC42" w14:textId="013DB25C" w:rsidR="00676800" w:rsidRPr="004A30FF" w:rsidRDefault="004B614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r w:rsidR="00676800" w:rsidRPr="004A30FF" w14:paraId="17E17EF1" w14:textId="77777777" w:rsidTr="00676800">
        <w:tc>
          <w:tcPr>
            <w:tcW w:w="2306" w:type="dxa"/>
          </w:tcPr>
          <w:p w14:paraId="5912E801" w14:textId="13DEC491" w:rsidR="00676800" w:rsidRPr="004A30FF" w:rsidRDefault="0067680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4557</w:t>
            </w:r>
          </w:p>
        </w:tc>
        <w:tc>
          <w:tcPr>
            <w:tcW w:w="2464" w:type="dxa"/>
          </w:tcPr>
          <w:p w14:paraId="455B461B" w14:textId="0B49ED22" w:rsidR="00676800" w:rsidRPr="004A30FF" w:rsidRDefault="008C5C1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Разчети за ДЗПО</w:t>
            </w:r>
          </w:p>
        </w:tc>
        <w:tc>
          <w:tcPr>
            <w:tcW w:w="2290" w:type="dxa"/>
          </w:tcPr>
          <w:p w14:paraId="599D482F" w14:textId="32BC8922" w:rsidR="00676800" w:rsidRPr="004A30FF" w:rsidRDefault="0055632E"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8,934.54</w:t>
            </w:r>
          </w:p>
        </w:tc>
        <w:tc>
          <w:tcPr>
            <w:tcW w:w="2290" w:type="dxa"/>
          </w:tcPr>
          <w:p w14:paraId="01E70CC4" w14:textId="35D6A055" w:rsidR="00676800" w:rsidRPr="004A30FF" w:rsidRDefault="004B614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r w:rsidR="00676800" w:rsidRPr="004A30FF" w14:paraId="41CE190A" w14:textId="77777777" w:rsidTr="00676800">
        <w:tc>
          <w:tcPr>
            <w:tcW w:w="2306" w:type="dxa"/>
          </w:tcPr>
          <w:p w14:paraId="40CF9ED2" w14:textId="7E5D5A52" w:rsidR="00676800" w:rsidRPr="004A30FF" w:rsidRDefault="0067680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5013</w:t>
            </w:r>
          </w:p>
        </w:tc>
        <w:tc>
          <w:tcPr>
            <w:tcW w:w="2464" w:type="dxa"/>
          </w:tcPr>
          <w:p w14:paraId="780CC2C4" w14:textId="612D04A6" w:rsidR="00676800" w:rsidRPr="004A30FF" w:rsidRDefault="008C5C1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Текущи банкови сметки в левове</w:t>
            </w:r>
          </w:p>
        </w:tc>
        <w:tc>
          <w:tcPr>
            <w:tcW w:w="2290" w:type="dxa"/>
          </w:tcPr>
          <w:p w14:paraId="1C98C94C" w14:textId="0AF81F4F" w:rsidR="00676800" w:rsidRPr="004A30FF" w:rsidRDefault="0055632E"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353,407.88</w:t>
            </w:r>
          </w:p>
        </w:tc>
        <w:tc>
          <w:tcPr>
            <w:tcW w:w="2290" w:type="dxa"/>
          </w:tcPr>
          <w:p w14:paraId="2C6F3842" w14:textId="541581E0" w:rsidR="00676800" w:rsidRPr="004A30FF" w:rsidRDefault="004B614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r w:rsidR="00676800" w:rsidRPr="004A30FF" w14:paraId="2F66E09F" w14:textId="77777777" w:rsidTr="00676800">
        <w:tc>
          <w:tcPr>
            <w:tcW w:w="2306" w:type="dxa"/>
          </w:tcPr>
          <w:p w14:paraId="1AA35F0A" w14:textId="47E43200" w:rsidR="00676800" w:rsidRPr="004A30FF" w:rsidRDefault="0067680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6041</w:t>
            </w:r>
          </w:p>
        </w:tc>
        <w:tc>
          <w:tcPr>
            <w:tcW w:w="2464" w:type="dxa"/>
          </w:tcPr>
          <w:p w14:paraId="0881C446" w14:textId="26CE6A67" w:rsidR="00676800" w:rsidRPr="004A30FF" w:rsidRDefault="008C5C1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заплати и възнаграждения на персонал</w:t>
            </w:r>
          </w:p>
        </w:tc>
        <w:tc>
          <w:tcPr>
            <w:tcW w:w="2290" w:type="dxa"/>
          </w:tcPr>
          <w:p w14:paraId="75536966" w14:textId="3EE140C4" w:rsidR="00676800" w:rsidRPr="004A30FF" w:rsidRDefault="004B614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290" w:type="dxa"/>
          </w:tcPr>
          <w:p w14:paraId="1BFF6232" w14:textId="19D538E2" w:rsidR="00676800" w:rsidRPr="004A30FF" w:rsidRDefault="004B614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437,038.32</w:t>
            </w:r>
          </w:p>
        </w:tc>
      </w:tr>
      <w:tr w:rsidR="00676800" w:rsidRPr="004A30FF" w14:paraId="7A6419A2" w14:textId="77777777" w:rsidTr="00676800">
        <w:tc>
          <w:tcPr>
            <w:tcW w:w="2306" w:type="dxa"/>
          </w:tcPr>
          <w:p w14:paraId="18C4000B" w14:textId="23B564C1" w:rsidR="00676800" w:rsidRPr="004A30FF" w:rsidRDefault="0067680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6049</w:t>
            </w:r>
          </w:p>
        </w:tc>
        <w:tc>
          <w:tcPr>
            <w:tcW w:w="2464" w:type="dxa"/>
          </w:tcPr>
          <w:p w14:paraId="32425607" w14:textId="7AECDCF6" w:rsidR="00676800" w:rsidRPr="004A30FF" w:rsidRDefault="00996AB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възнаграждения на персонал в натура</w:t>
            </w:r>
          </w:p>
        </w:tc>
        <w:tc>
          <w:tcPr>
            <w:tcW w:w="2290" w:type="dxa"/>
          </w:tcPr>
          <w:p w14:paraId="35EB0E94" w14:textId="600B09E2" w:rsidR="00676800" w:rsidRPr="004A30FF" w:rsidRDefault="004B614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290" w:type="dxa"/>
          </w:tcPr>
          <w:p w14:paraId="159B1AE9" w14:textId="0CD81503" w:rsidR="00676800" w:rsidRPr="004A30FF" w:rsidRDefault="004B614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3,957.50</w:t>
            </w:r>
          </w:p>
        </w:tc>
      </w:tr>
    </w:tbl>
    <w:p w14:paraId="0658DCA7" w14:textId="54BC62D4" w:rsidR="00E56496" w:rsidRPr="004A30FF" w:rsidRDefault="009003C3"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440,</w:t>
      </w:r>
      <w:r w:rsidR="00E56496" w:rsidRPr="004A30FF">
        <w:rPr>
          <w:rFonts w:ascii="Times New Roman" w:hAnsi="Times New Roman" w:cs="Times New Roman"/>
          <w:sz w:val="24"/>
          <w:szCs w:val="24"/>
        </w:rPr>
        <w:t>995.82                     440,995.82</w:t>
      </w:r>
    </w:p>
    <w:p w14:paraId="7F93824E" w14:textId="189FB966" w:rsidR="00E56496" w:rsidRPr="004A30FF" w:rsidRDefault="00E56496"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w:t>
      </w:r>
    </w:p>
    <w:tbl>
      <w:tblPr>
        <w:tblStyle w:val="TableGrid0"/>
        <w:tblW w:w="0" w:type="auto"/>
        <w:tblLook w:val="04A0" w:firstRow="1" w:lastRow="0" w:firstColumn="1" w:lastColumn="0" w:noHBand="0" w:noVBand="1"/>
      </w:tblPr>
      <w:tblGrid>
        <w:gridCol w:w="2337"/>
        <w:gridCol w:w="2337"/>
        <w:gridCol w:w="2338"/>
        <w:gridCol w:w="2338"/>
      </w:tblGrid>
      <w:tr w:rsidR="00414803" w:rsidRPr="004A30FF" w14:paraId="25450379" w14:textId="77777777" w:rsidTr="0092417C">
        <w:tc>
          <w:tcPr>
            <w:tcW w:w="2337" w:type="dxa"/>
          </w:tcPr>
          <w:p w14:paraId="3284CC3D" w14:textId="77777777" w:rsidR="00414803" w:rsidRPr="004A30FF" w:rsidRDefault="00414803"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4230</w:t>
            </w:r>
          </w:p>
          <w:p w14:paraId="321F0418" w14:textId="27AF412D" w:rsidR="00414803" w:rsidRPr="004A30FF" w:rsidRDefault="00414803"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6AECD493" w14:textId="147B3BA2" w:rsidR="00414803" w:rsidRPr="004A30FF" w:rsidRDefault="00414803"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Провизии за бъдещи плащания към персонала</w:t>
            </w:r>
          </w:p>
        </w:tc>
        <w:tc>
          <w:tcPr>
            <w:tcW w:w="2338" w:type="dxa"/>
          </w:tcPr>
          <w:p w14:paraId="1AA3ECA9" w14:textId="7FE8042D" w:rsidR="00414803" w:rsidRPr="004A30FF" w:rsidRDefault="00414803"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4230 и кредита на сметката в лева</w:t>
            </w:r>
          </w:p>
        </w:tc>
        <w:tc>
          <w:tcPr>
            <w:tcW w:w="2338" w:type="dxa"/>
          </w:tcPr>
          <w:p w14:paraId="1DBAE08B" w14:textId="6F00E613" w:rsidR="00414803" w:rsidRPr="004A30FF" w:rsidRDefault="00414803"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4230 и дебита на сметката в лева</w:t>
            </w:r>
          </w:p>
        </w:tc>
      </w:tr>
      <w:tr w:rsidR="00414803" w:rsidRPr="004A30FF" w14:paraId="275C5D23" w14:textId="77777777" w:rsidTr="0092417C">
        <w:tc>
          <w:tcPr>
            <w:tcW w:w="2337" w:type="dxa"/>
          </w:tcPr>
          <w:p w14:paraId="63A2FDAA" w14:textId="77777777" w:rsidR="00414803" w:rsidRPr="004A30FF" w:rsidRDefault="00414803" w:rsidP="006634D4">
            <w:pPr>
              <w:spacing w:line="360" w:lineRule="auto"/>
              <w:jc w:val="right"/>
              <w:rPr>
                <w:rFonts w:ascii="Times New Roman" w:hAnsi="Times New Roman" w:cs="Times New Roman"/>
                <w:sz w:val="24"/>
                <w:szCs w:val="24"/>
              </w:rPr>
            </w:pPr>
          </w:p>
        </w:tc>
        <w:tc>
          <w:tcPr>
            <w:tcW w:w="2337" w:type="dxa"/>
          </w:tcPr>
          <w:p w14:paraId="7EEA523F" w14:textId="0DABF4A5" w:rsidR="00414803" w:rsidRPr="004A30FF" w:rsidRDefault="00414803"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Начално салдо</w:t>
            </w:r>
          </w:p>
        </w:tc>
        <w:tc>
          <w:tcPr>
            <w:tcW w:w="2338" w:type="dxa"/>
          </w:tcPr>
          <w:p w14:paraId="7E6245E0" w14:textId="30F3B61B" w:rsidR="00414803" w:rsidRPr="004A30FF" w:rsidRDefault="00414803"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1B1FA07B" w14:textId="297CF15C" w:rsidR="00414803" w:rsidRPr="004A30FF" w:rsidRDefault="00414803"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52,394.30</w:t>
            </w:r>
          </w:p>
        </w:tc>
      </w:tr>
      <w:tr w:rsidR="00414803" w:rsidRPr="004A30FF" w14:paraId="3F076748" w14:textId="77777777" w:rsidTr="0092417C">
        <w:tc>
          <w:tcPr>
            <w:tcW w:w="2337" w:type="dxa"/>
          </w:tcPr>
          <w:p w14:paraId="1D6DC203" w14:textId="1FEA5261" w:rsidR="00414803" w:rsidRPr="004A30FF" w:rsidRDefault="00414803"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6047</w:t>
            </w:r>
          </w:p>
        </w:tc>
        <w:tc>
          <w:tcPr>
            <w:tcW w:w="2337" w:type="dxa"/>
          </w:tcPr>
          <w:p w14:paraId="16B8ACB5" w14:textId="74143FD9" w:rsidR="00414803" w:rsidRPr="004A30FF" w:rsidRDefault="00414803"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провизии за персонала</w:t>
            </w:r>
          </w:p>
        </w:tc>
        <w:tc>
          <w:tcPr>
            <w:tcW w:w="2338" w:type="dxa"/>
          </w:tcPr>
          <w:p w14:paraId="45C65766" w14:textId="31806BED" w:rsidR="00414803" w:rsidRPr="004A30FF" w:rsidRDefault="00414803"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6513AE02" w14:textId="212EBF10" w:rsidR="00414803" w:rsidRPr="004A30FF" w:rsidRDefault="00414803"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69,135.35</w:t>
            </w:r>
          </w:p>
        </w:tc>
      </w:tr>
      <w:tr w:rsidR="00414803" w:rsidRPr="004A30FF" w14:paraId="4BD482DD" w14:textId="77777777" w:rsidTr="0092417C">
        <w:tc>
          <w:tcPr>
            <w:tcW w:w="2337" w:type="dxa"/>
          </w:tcPr>
          <w:p w14:paraId="1A1205DB" w14:textId="76CACE34" w:rsidR="00414803" w:rsidRPr="004A30FF" w:rsidRDefault="00414803"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6048</w:t>
            </w:r>
          </w:p>
        </w:tc>
        <w:tc>
          <w:tcPr>
            <w:tcW w:w="2337" w:type="dxa"/>
          </w:tcPr>
          <w:p w14:paraId="40776E16" w14:textId="6A83C7AD" w:rsidR="00414803" w:rsidRPr="004A30FF" w:rsidRDefault="00414803"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Сторнирани разходи за персонал</w:t>
            </w:r>
          </w:p>
        </w:tc>
        <w:tc>
          <w:tcPr>
            <w:tcW w:w="2338" w:type="dxa"/>
          </w:tcPr>
          <w:p w14:paraId="40C71F6E" w14:textId="226FA4AE" w:rsidR="00414803" w:rsidRPr="004A30FF" w:rsidRDefault="00414803"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52,394.30</w:t>
            </w:r>
          </w:p>
        </w:tc>
        <w:tc>
          <w:tcPr>
            <w:tcW w:w="2338" w:type="dxa"/>
          </w:tcPr>
          <w:p w14:paraId="320D85D8" w14:textId="4674515C" w:rsidR="00414803" w:rsidRPr="004A30FF" w:rsidRDefault="00414803"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27599538" w14:textId="327115FD" w:rsidR="009A2955" w:rsidRPr="004A30FF" w:rsidRDefault="009003C3"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 </w:t>
      </w:r>
      <w:r w:rsidR="003E01C9" w:rsidRPr="004A30FF">
        <w:rPr>
          <w:rFonts w:ascii="Times New Roman" w:hAnsi="Times New Roman" w:cs="Times New Roman"/>
          <w:sz w:val="24"/>
          <w:szCs w:val="24"/>
        </w:rPr>
        <w:t xml:space="preserve">Всичко обороти за периода                             </w:t>
      </w:r>
      <w:r w:rsidR="006634D4" w:rsidRPr="004A30FF">
        <w:rPr>
          <w:rFonts w:ascii="Times New Roman" w:hAnsi="Times New Roman" w:cs="Times New Roman"/>
          <w:sz w:val="24"/>
          <w:szCs w:val="24"/>
        </w:rPr>
        <w:t xml:space="preserve">                    </w:t>
      </w:r>
      <w:r w:rsidR="003E01C9" w:rsidRPr="004A30FF">
        <w:rPr>
          <w:rFonts w:ascii="Times New Roman" w:hAnsi="Times New Roman" w:cs="Times New Roman"/>
          <w:sz w:val="24"/>
          <w:szCs w:val="24"/>
        </w:rPr>
        <w:t xml:space="preserve">   52,394.30                      </w:t>
      </w:r>
      <w:r w:rsidR="0034109C" w:rsidRPr="004A30FF">
        <w:rPr>
          <w:rFonts w:ascii="Times New Roman" w:hAnsi="Times New Roman" w:cs="Times New Roman"/>
          <w:sz w:val="24"/>
          <w:szCs w:val="24"/>
        </w:rPr>
        <w:t>121,529.65</w:t>
      </w:r>
    </w:p>
    <w:p w14:paraId="33FD95F9" w14:textId="5F239E2A" w:rsidR="0034109C" w:rsidRPr="004A30FF" w:rsidRDefault="0034109C"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-69,135.35</w:t>
      </w:r>
    </w:p>
    <w:tbl>
      <w:tblPr>
        <w:tblStyle w:val="TableGrid0"/>
        <w:tblW w:w="0" w:type="auto"/>
        <w:tblLook w:val="04A0" w:firstRow="1" w:lastRow="0" w:firstColumn="1" w:lastColumn="0" w:noHBand="0" w:noVBand="1"/>
      </w:tblPr>
      <w:tblGrid>
        <w:gridCol w:w="2316"/>
        <w:gridCol w:w="2316"/>
        <w:gridCol w:w="2317"/>
        <w:gridCol w:w="2317"/>
      </w:tblGrid>
      <w:tr w:rsidR="00F96834" w:rsidRPr="004A30FF" w14:paraId="13383EBE" w14:textId="77777777" w:rsidTr="00F96834">
        <w:trPr>
          <w:trHeight w:val="440"/>
        </w:trPr>
        <w:tc>
          <w:tcPr>
            <w:tcW w:w="2316" w:type="dxa"/>
          </w:tcPr>
          <w:p w14:paraId="76568941" w14:textId="77777777" w:rsidR="00F96834" w:rsidRPr="004A30FF" w:rsidRDefault="00F96834"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lastRenderedPageBreak/>
              <w:t>Сметка 4301</w:t>
            </w:r>
          </w:p>
          <w:p w14:paraId="69D98F4D" w14:textId="1C2B011D" w:rsidR="00F96834" w:rsidRPr="004A30FF" w:rsidRDefault="00F96834"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p w14:paraId="03A53FBB" w14:textId="3E1D3121" w:rsidR="00F96834" w:rsidRPr="004A30FF" w:rsidRDefault="00F96834" w:rsidP="006634D4">
            <w:pPr>
              <w:spacing w:line="360" w:lineRule="auto"/>
              <w:jc w:val="right"/>
              <w:rPr>
                <w:rFonts w:ascii="Times New Roman" w:hAnsi="Times New Roman" w:cs="Times New Roman"/>
                <w:sz w:val="24"/>
                <w:szCs w:val="24"/>
              </w:rPr>
            </w:pPr>
          </w:p>
        </w:tc>
        <w:tc>
          <w:tcPr>
            <w:tcW w:w="2316" w:type="dxa"/>
          </w:tcPr>
          <w:p w14:paraId="758A9583" w14:textId="3E24BDA0" w:rsidR="00F96834" w:rsidRPr="004A30FF" w:rsidRDefault="00D3543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 xml:space="preserve">Вземания от данъци, </w:t>
            </w:r>
            <w:r w:rsidR="00493060" w:rsidRPr="004A30FF">
              <w:rPr>
                <w:rFonts w:ascii="Times New Roman" w:hAnsi="Times New Roman" w:cs="Times New Roman"/>
                <w:sz w:val="24"/>
                <w:szCs w:val="24"/>
              </w:rPr>
              <w:t>осигурителни вноски, такси и администрация</w:t>
            </w:r>
          </w:p>
        </w:tc>
        <w:tc>
          <w:tcPr>
            <w:tcW w:w="2317" w:type="dxa"/>
          </w:tcPr>
          <w:p w14:paraId="6096C5B6" w14:textId="161D1A3D" w:rsidR="00F96834" w:rsidRPr="004A30FF" w:rsidRDefault="00F96834"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4301 и кредита на сметката в лева</w:t>
            </w:r>
          </w:p>
        </w:tc>
        <w:tc>
          <w:tcPr>
            <w:tcW w:w="2317" w:type="dxa"/>
          </w:tcPr>
          <w:p w14:paraId="132BD287" w14:textId="6EF884A9" w:rsidR="00F96834" w:rsidRPr="004A30FF" w:rsidRDefault="00F96834"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4301 и дебита на сметката в лева</w:t>
            </w:r>
          </w:p>
        </w:tc>
      </w:tr>
      <w:tr w:rsidR="00F96834" w:rsidRPr="004A30FF" w14:paraId="1A7A853E" w14:textId="77777777" w:rsidTr="00F96834">
        <w:trPr>
          <w:trHeight w:val="197"/>
        </w:trPr>
        <w:tc>
          <w:tcPr>
            <w:tcW w:w="2316" w:type="dxa"/>
          </w:tcPr>
          <w:p w14:paraId="6FCBAD40" w14:textId="77777777" w:rsidR="00F96834" w:rsidRPr="004A30FF" w:rsidRDefault="00F96834" w:rsidP="006634D4">
            <w:pPr>
              <w:spacing w:line="360" w:lineRule="auto"/>
              <w:jc w:val="right"/>
              <w:rPr>
                <w:rFonts w:ascii="Times New Roman" w:hAnsi="Times New Roman" w:cs="Times New Roman"/>
                <w:sz w:val="24"/>
                <w:szCs w:val="24"/>
              </w:rPr>
            </w:pPr>
          </w:p>
        </w:tc>
        <w:tc>
          <w:tcPr>
            <w:tcW w:w="2316" w:type="dxa"/>
          </w:tcPr>
          <w:p w14:paraId="73C27339" w14:textId="1D381A3B" w:rsidR="00F96834" w:rsidRPr="004A30FF" w:rsidRDefault="003F7555"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Начално салдо</w:t>
            </w:r>
          </w:p>
        </w:tc>
        <w:tc>
          <w:tcPr>
            <w:tcW w:w="2317" w:type="dxa"/>
          </w:tcPr>
          <w:p w14:paraId="05CB3F08" w14:textId="76DD800F" w:rsidR="00F96834" w:rsidRPr="004A30FF" w:rsidRDefault="003F7555"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744,47</w:t>
            </w:r>
          </w:p>
        </w:tc>
        <w:tc>
          <w:tcPr>
            <w:tcW w:w="2317" w:type="dxa"/>
          </w:tcPr>
          <w:p w14:paraId="613DC9FB" w14:textId="60E5F74A" w:rsidR="00F96834" w:rsidRPr="004A30FF" w:rsidRDefault="003F7555"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2EB4F11E" w14:textId="188B686F" w:rsidR="0034109C" w:rsidRPr="004A30FF" w:rsidRDefault="003F7555"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w:t>
      </w:r>
      <w:r w:rsidR="0056018D" w:rsidRPr="004A30FF">
        <w:rPr>
          <w:rFonts w:ascii="Times New Roman" w:hAnsi="Times New Roman" w:cs="Times New Roman"/>
          <w:sz w:val="24"/>
          <w:szCs w:val="24"/>
        </w:rPr>
        <w:t xml:space="preserve">обороти за периода                           </w:t>
      </w:r>
      <w:r w:rsidR="006634D4" w:rsidRPr="004A30FF">
        <w:rPr>
          <w:rFonts w:ascii="Times New Roman" w:hAnsi="Times New Roman" w:cs="Times New Roman"/>
          <w:sz w:val="24"/>
          <w:szCs w:val="24"/>
        </w:rPr>
        <w:t xml:space="preserve">                     </w:t>
      </w:r>
      <w:r w:rsidR="0056018D" w:rsidRPr="004A30FF">
        <w:rPr>
          <w:rFonts w:ascii="Times New Roman" w:hAnsi="Times New Roman" w:cs="Times New Roman"/>
          <w:sz w:val="24"/>
          <w:szCs w:val="24"/>
        </w:rPr>
        <w:t xml:space="preserve">         744,47                      </w:t>
      </w:r>
      <w:r w:rsidR="006634D4" w:rsidRPr="004A30FF">
        <w:rPr>
          <w:rFonts w:ascii="Times New Roman" w:hAnsi="Times New Roman" w:cs="Times New Roman"/>
          <w:sz w:val="24"/>
          <w:szCs w:val="24"/>
        </w:rPr>
        <w:t xml:space="preserve">   </w:t>
      </w:r>
      <w:r w:rsidR="0056018D" w:rsidRPr="004A30FF">
        <w:rPr>
          <w:rFonts w:ascii="Times New Roman" w:hAnsi="Times New Roman" w:cs="Times New Roman"/>
          <w:sz w:val="24"/>
          <w:szCs w:val="24"/>
        </w:rPr>
        <w:t xml:space="preserve">      0,00</w:t>
      </w:r>
    </w:p>
    <w:p w14:paraId="2A809C72" w14:textId="4B5A3B9C" w:rsidR="0056018D" w:rsidRPr="004A30FF" w:rsidRDefault="0056018D"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w:t>
      </w:r>
      <w:r w:rsidR="001B4BEB" w:rsidRPr="004A30FF">
        <w:rPr>
          <w:rFonts w:ascii="Times New Roman" w:hAnsi="Times New Roman" w:cs="Times New Roman"/>
          <w:sz w:val="24"/>
          <w:szCs w:val="24"/>
        </w:rPr>
        <w:t xml:space="preserve">в лева                                             </w:t>
      </w:r>
      <w:r w:rsidR="006634D4" w:rsidRPr="004A30FF">
        <w:rPr>
          <w:rFonts w:ascii="Times New Roman" w:hAnsi="Times New Roman" w:cs="Times New Roman"/>
          <w:sz w:val="24"/>
          <w:szCs w:val="24"/>
        </w:rPr>
        <w:t xml:space="preserve">                    </w:t>
      </w:r>
      <w:r w:rsidR="001B4BEB" w:rsidRPr="004A30FF">
        <w:rPr>
          <w:rFonts w:ascii="Times New Roman" w:hAnsi="Times New Roman" w:cs="Times New Roman"/>
          <w:sz w:val="24"/>
          <w:szCs w:val="24"/>
        </w:rPr>
        <w:t xml:space="preserve">   744,47</w:t>
      </w:r>
    </w:p>
    <w:tbl>
      <w:tblPr>
        <w:tblStyle w:val="TableGrid0"/>
        <w:tblW w:w="0" w:type="auto"/>
        <w:tblLook w:val="04A0" w:firstRow="1" w:lastRow="0" w:firstColumn="1" w:lastColumn="0" w:noHBand="0" w:noVBand="1"/>
      </w:tblPr>
      <w:tblGrid>
        <w:gridCol w:w="2290"/>
        <w:gridCol w:w="2464"/>
        <w:gridCol w:w="2298"/>
        <w:gridCol w:w="2298"/>
      </w:tblGrid>
      <w:tr w:rsidR="009E03E9" w:rsidRPr="004A30FF" w14:paraId="634FE59B" w14:textId="77777777" w:rsidTr="00362E82">
        <w:tc>
          <w:tcPr>
            <w:tcW w:w="2337" w:type="dxa"/>
          </w:tcPr>
          <w:p w14:paraId="0541191E" w14:textId="77777777" w:rsidR="009E03E9" w:rsidRPr="004A30FF" w:rsidRDefault="009E03E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4510</w:t>
            </w:r>
          </w:p>
          <w:p w14:paraId="6D87706B" w14:textId="45660C65" w:rsidR="009E03E9" w:rsidRPr="004A30FF" w:rsidRDefault="009E03E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7FF0A570" w14:textId="5F7DD231" w:rsidR="009E03E9" w:rsidRPr="004A30FF" w:rsidRDefault="009E03E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Разчети за данъци върху доходите на ФЛ</w:t>
            </w:r>
          </w:p>
        </w:tc>
        <w:tc>
          <w:tcPr>
            <w:tcW w:w="2338" w:type="dxa"/>
          </w:tcPr>
          <w:p w14:paraId="4E07C188" w14:textId="4B326924" w:rsidR="009E03E9" w:rsidRPr="004A30FF" w:rsidRDefault="009E03E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4510 и кредита на сметката в лева</w:t>
            </w:r>
          </w:p>
        </w:tc>
        <w:tc>
          <w:tcPr>
            <w:tcW w:w="2338" w:type="dxa"/>
          </w:tcPr>
          <w:p w14:paraId="1A986463" w14:textId="22FEC5E3" w:rsidR="009E03E9" w:rsidRPr="004A30FF" w:rsidRDefault="009E03E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4</w:t>
            </w:r>
            <w:r w:rsidR="00EB2866" w:rsidRPr="004A30FF">
              <w:rPr>
                <w:rFonts w:ascii="Times New Roman" w:hAnsi="Times New Roman" w:cs="Times New Roman"/>
                <w:sz w:val="24"/>
                <w:szCs w:val="24"/>
              </w:rPr>
              <w:t>5</w:t>
            </w:r>
            <w:r w:rsidRPr="004A30FF">
              <w:rPr>
                <w:rFonts w:ascii="Times New Roman" w:hAnsi="Times New Roman" w:cs="Times New Roman"/>
                <w:sz w:val="24"/>
                <w:szCs w:val="24"/>
              </w:rPr>
              <w:t>1</w:t>
            </w:r>
            <w:r w:rsidR="00EB2866" w:rsidRPr="004A30FF">
              <w:rPr>
                <w:rFonts w:ascii="Times New Roman" w:hAnsi="Times New Roman" w:cs="Times New Roman"/>
                <w:sz w:val="24"/>
                <w:szCs w:val="24"/>
              </w:rPr>
              <w:t>0</w:t>
            </w:r>
            <w:r w:rsidRPr="004A30FF">
              <w:rPr>
                <w:rFonts w:ascii="Times New Roman" w:hAnsi="Times New Roman" w:cs="Times New Roman"/>
                <w:sz w:val="24"/>
                <w:szCs w:val="24"/>
              </w:rPr>
              <w:t xml:space="preserve"> и дебита на сметката в лева</w:t>
            </w:r>
          </w:p>
        </w:tc>
      </w:tr>
      <w:tr w:rsidR="009E03E9" w:rsidRPr="004A30FF" w14:paraId="7C436F6B" w14:textId="77777777" w:rsidTr="00362E82">
        <w:tc>
          <w:tcPr>
            <w:tcW w:w="2337" w:type="dxa"/>
          </w:tcPr>
          <w:p w14:paraId="0B285BA1" w14:textId="502584CA" w:rsidR="009E03E9" w:rsidRPr="004A30FF" w:rsidRDefault="00EB286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4211</w:t>
            </w:r>
          </w:p>
        </w:tc>
        <w:tc>
          <w:tcPr>
            <w:tcW w:w="2337" w:type="dxa"/>
          </w:tcPr>
          <w:p w14:paraId="264FEDAE" w14:textId="17FA9F48" w:rsidR="009E03E9" w:rsidRPr="004A30FF" w:rsidRDefault="00030043"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Задължения към работници/служители и друг персонал</w:t>
            </w:r>
          </w:p>
        </w:tc>
        <w:tc>
          <w:tcPr>
            <w:tcW w:w="2338" w:type="dxa"/>
          </w:tcPr>
          <w:p w14:paraId="635DFCE8" w14:textId="14C645EC" w:rsidR="009E03E9" w:rsidRPr="004A30FF" w:rsidRDefault="00030043"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27BC422D" w14:textId="42C6C51A" w:rsidR="009E03E9" w:rsidRPr="004A30FF" w:rsidRDefault="00030043"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31,625.05</w:t>
            </w:r>
          </w:p>
        </w:tc>
      </w:tr>
      <w:tr w:rsidR="009E03E9" w:rsidRPr="004A30FF" w14:paraId="612AA700" w14:textId="77777777" w:rsidTr="00362E82">
        <w:tc>
          <w:tcPr>
            <w:tcW w:w="2337" w:type="dxa"/>
          </w:tcPr>
          <w:p w14:paraId="4216491E" w14:textId="635ED9FF" w:rsidR="009E03E9" w:rsidRPr="004A30FF" w:rsidRDefault="00EB286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5013</w:t>
            </w:r>
          </w:p>
        </w:tc>
        <w:tc>
          <w:tcPr>
            <w:tcW w:w="2337" w:type="dxa"/>
          </w:tcPr>
          <w:p w14:paraId="6BFFD771" w14:textId="1164BCE4" w:rsidR="009E03E9" w:rsidRPr="004A30FF" w:rsidRDefault="00EB286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Текущи банкови сметки в левове</w:t>
            </w:r>
          </w:p>
        </w:tc>
        <w:tc>
          <w:tcPr>
            <w:tcW w:w="2338" w:type="dxa"/>
          </w:tcPr>
          <w:p w14:paraId="50F8F832" w14:textId="13C2686C" w:rsidR="009E03E9" w:rsidRPr="004A30FF" w:rsidRDefault="00030043"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31,625.05</w:t>
            </w:r>
          </w:p>
        </w:tc>
        <w:tc>
          <w:tcPr>
            <w:tcW w:w="2338" w:type="dxa"/>
          </w:tcPr>
          <w:p w14:paraId="7A567099" w14:textId="68BAB8A0" w:rsidR="009E03E9" w:rsidRPr="004A30FF" w:rsidRDefault="00030043"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7E1D847A" w14:textId="25741D65" w:rsidR="001857E5" w:rsidRPr="004A30FF" w:rsidRDefault="001857E5"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31,625.05                      31,625.05</w:t>
      </w:r>
    </w:p>
    <w:p w14:paraId="1F8281E7" w14:textId="7393F183" w:rsidR="001B4BEB" w:rsidRPr="004A30FF" w:rsidRDefault="00030043"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Крайно салдо</w:t>
      </w:r>
      <w:r w:rsidR="001857E5" w:rsidRPr="004A30FF">
        <w:rPr>
          <w:rFonts w:ascii="Times New Roman" w:hAnsi="Times New Roman" w:cs="Times New Roman"/>
          <w:sz w:val="24"/>
          <w:szCs w:val="24"/>
        </w:rPr>
        <w:t xml:space="preserve"> в </w:t>
      </w:r>
      <w:r w:rsidR="00BB0318" w:rsidRPr="004A30FF">
        <w:rPr>
          <w:rFonts w:ascii="Times New Roman" w:hAnsi="Times New Roman" w:cs="Times New Roman"/>
          <w:sz w:val="24"/>
          <w:szCs w:val="24"/>
        </w:rPr>
        <w:t xml:space="preserve">лева                             </w:t>
      </w:r>
      <w:r w:rsidR="006634D4" w:rsidRPr="004A30FF">
        <w:rPr>
          <w:rFonts w:ascii="Times New Roman" w:hAnsi="Times New Roman" w:cs="Times New Roman"/>
          <w:sz w:val="24"/>
          <w:szCs w:val="24"/>
        </w:rPr>
        <w:t xml:space="preserve">                 </w:t>
      </w:r>
      <w:r w:rsidR="00BB0318" w:rsidRPr="004A30FF">
        <w:rPr>
          <w:rFonts w:ascii="Times New Roman" w:hAnsi="Times New Roman" w:cs="Times New Roman"/>
          <w:sz w:val="24"/>
          <w:szCs w:val="24"/>
        </w:rPr>
        <w:t xml:space="preserve">                                                               0,00</w:t>
      </w:r>
    </w:p>
    <w:tbl>
      <w:tblPr>
        <w:tblStyle w:val="TableGrid0"/>
        <w:tblW w:w="0" w:type="auto"/>
        <w:tblLook w:val="04A0" w:firstRow="1" w:lastRow="0" w:firstColumn="1" w:lastColumn="0" w:noHBand="0" w:noVBand="1"/>
      </w:tblPr>
      <w:tblGrid>
        <w:gridCol w:w="2306"/>
        <w:gridCol w:w="2464"/>
        <w:gridCol w:w="2290"/>
        <w:gridCol w:w="2290"/>
      </w:tblGrid>
      <w:tr w:rsidR="000A41F1" w:rsidRPr="004A30FF" w14:paraId="7F03C3B1" w14:textId="77777777" w:rsidTr="000A41F1">
        <w:tc>
          <w:tcPr>
            <w:tcW w:w="2306" w:type="dxa"/>
          </w:tcPr>
          <w:p w14:paraId="195ED1B8" w14:textId="77777777" w:rsidR="000A41F1" w:rsidRPr="004A30FF" w:rsidRDefault="000A41F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4555</w:t>
            </w:r>
          </w:p>
          <w:p w14:paraId="7715B273" w14:textId="771E74F4" w:rsidR="000A41F1" w:rsidRPr="004A30FF" w:rsidRDefault="000A41F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464" w:type="dxa"/>
          </w:tcPr>
          <w:p w14:paraId="166BDAF8" w14:textId="7CE6B697" w:rsidR="000A41F1" w:rsidRPr="004A30FF" w:rsidRDefault="000A41F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Разчети за вноски за ДОО</w:t>
            </w:r>
          </w:p>
        </w:tc>
        <w:tc>
          <w:tcPr>
            <w:tcW w:w="2290" w:type="dxa"/>
          </w:tcPr>
          <w:p w14:paraId="42BC12DE" w14:textId="09B55B4F" w:rsidR="000A41F1" w:rsidRPr="004A30FF" w:rsidRDefault="000A41F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4555 и кредита на сметката в лева</w:t>
            </w:r>
          </w:p>
        </w:tc>
        <w:tc>
          <w:tcPr>
            <w:tcW w:w="2290" w:type="dxa"/>
          </w:tcPr>
          <w:p w14:paraId="442CA005" w14:textId="65E03B60" w:rsidR="000A41F1" w:rsidRPr="004A30FF" w:rsidRDefault="000A41F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4555 и дебита на сметката в лева</w:t>
            </w:r>
          </w:p>
        </w:tc>
      </w:tr>
      <w:tr w:rsidR="000A41F1" w:rsidRPr="004A30FF" w14:paraId="6DDD3AFF" w14:textId="77777777" w:rsidTr="000A41F1">
        <w:tc>
          <w:tcPr>
            <w:tcW w:w="2306" w:type="dxa"/>
          </w:tcPr>
          <w:p w14:paraId="4E77625F" w14:textId="2EA378FE" w:rsidR="000A41F1" w:rsidRPr="004A30FF" w:rsidRDefault="000A41F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4211</w:t>
            </w:r>
          </w:p>
        </w:tc>
        <w:tc>
          <w:tcPr>
            <w:tcW w:w="2464" w:type="dxa"/>
          </w:tcPr>
          <w:p w14:paraId="5505C721" w14:textId="073E1784" w:rsidR="000A41F1" w:rsidRPr="004A30FF" w:rsidRDefault="000A41F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Задължения към работници/служители и друг персонал</w:t>
            </w:r>
          </w:p>
        </w:tc>
        <w:tc>
          <w:tcPr>
            <w:tcW w:w="2290" w:type="dxa"/>
          </w:tcPr>
          <w:p w14:paraId="59B5170D" w14:textId="5D4EE159" w:rsidR="000A41F1" w:rsidRPr="004A30FF" w:rsidRDefault="001A1FB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290" w:type="dxa"/>
          </w:tcPr>
          <w:p w14:paraId="1342344D" w14:textId="5EFC5ED2" w:rsidR="000A41F1" w:rsidRPr="004A30FF" w:rsidRDefault="001A1FB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34,032.55</w:t>
            </w:r>
          </w:p>
        </w:tc>
      </w:tr>
      <w:tr w:rsidR="000A41F1" w:rsidRPr="004A30FF" w14:paraId="5A578F82" w14:textId="77777777" w:rsidTr="000A41F1">
        <w:tc>
          <w:tcPr>
            <w:tcW w:w="2306" w:type="dxa"/>
          </w:tcPr>
          <w:p w14:paraId="5B2D3E59" w14:textId="13E3CB46" w:rsidR="000A41F1" w:rsidRPr="004A30FF" w:rsidRDefault="000A41F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5013</w:t>
            </w:r>
          </w:p>
        </w:tc>
        <w:tc>
          <w:tcPr>
            <w:tcW w:w="2464" w:type="dxa"/>
          </w:tcPr>
          <w:p w14:paraId="71BDC3F5" w14:textId="199B8396" w:rsidR="000A41F1" w:rsidRPr="004A30FF" w:rsidRDefault="000A41F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Текущи банкови сметки в левове</w:t>
            </w:r>
          </w:p>
        </w:tc>
        <w:tc>
          <w:tcPr>
            <w:tcW w:w="2290" w:type="dxa"/>
          </w:tcPr>
          <w:p w14:paraId="18136FDD" w14:textId="155D07BA" w:rsidR="000A41F1" w:rsidRPr="004A30FF" w:rsidRDefault="001A1FB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91,815.18</w:t>
            </w:r>
          </w:p>
        </w:tc>
        <w:tc>
          <w:tcPr>
            <w:tcW w:w="2290" w:type="dxa"/>
          </w:tcPr>
          <w:p w14:paraId="3CB72D74" w14:textId="5FC31DFF" w:rsidR="000A41F1" w:rsidRPr="004A30FF" w:rsidRDefault="001A1FB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r w:rsidR="000A41F1" w:rsidRPr="004A30FF" w14:paraId="2A4A2135" w14:textId="77777777" w:rsidTr="000A41F1">
        <w:tc>
          <w:tcPr>
            <w:tcW w:w="2306" w:type="dxa"/>
          </w:tcPr>
          <w:p w14:paraId="6C295C4B" w14:textId="63D89149" w:rsidR="000A41F1" w:rsidRPr="004A30FF" w:rsidRDefault="000A41F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6051</w:t>
            </w:r>
          </w:p>
        </w:tc>
        <w:tc>
          <w:tcPr>
            <w:tcW w:w="2464" w:type="dxa"/>
          </w:tcPr>
          <w:p w14:paraId="09C6A2EF" w14:textId="3A2ACA37" w:rsidR="000A41F1" w:rsidRPr="004A30FF" w:rsidRDefault="000A41F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осигурителни вноски за ДОО</w:t>
            </w:r>
          </w:p>
        </w:tc>
        <w:tc>
          <w:tcPr>
            <w:tcW w:w="2290" w:type="dxa"/>
          </w:tcPr>
          <w:p w14:paraId="24655DB4" w14:textId="05F028EF" w:rsidR="000A41F1" w:rsidRPr="004A30FF" w:rsidRDefault="001A1FB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290" w:type="dxa"/>
          </w:tcPr>
          <w:p w14:paraId="5FC882AD" w14:textId="5B9B9781" w:rsidR="000A41F1" w:rsidRPr="004A30FF" w:rsidRDefault="001A1FB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57,782.63</w:t>
            </w:r>
          </w:p>
        </w:tc>
      </w:tr>
    </w:tbl>
    <w:p w14:paraId="0B44819E" w14:textId="580CD997" w:rsidR="00BB0318" w:rsidRPr="004A30FF" w:rsidRDefault="001A1FB1"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lastRenderedPageBreak/>
        <w:t xml:space="preserve">Всичко обороти за периода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91,815.18                        91,815.18</w:t>
      </w:r>
    </w:p>
    <w:p w14:paraId="64B54BDB" w14:textId="1C6F0BE9" w:rsidR="001A1FB1" w:rsidRPr="004A30FF" w:rsidRDefault="001A1FB1"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w:t>
      </w:r>
    </w:p>
    <w:tbl>
      <w:tblPr>
        <w:tblStyle w:val="TableGrid0"/>
        <w:tblW w:w="0" w:type="auto"/>
        <w:tblLook w:val="04A0" w:firstRow="1" w:lastRow="0" w:firstColumn="1" w:lastColumn="0" w:noHBand="0" w:noVBand="1"/>
      </w:tblPr>
      <w:tblGrid>
        <w:gridCol w:w="2306"/>
        <w:gridCol w:w="2464"/>
        <w:gridCol w:w="2290"/>
        <w:gridCol w:w="2290"/>
      </w:tblGrid>
      <w:tr w:rsidR="00DA2CD7" w:rsidRPr="004A30FF" w14:paraId="6DB1BF9D" w14:textId="77777777" w:rsidTr="00DA2CD7">
        <w:tc>
          <w:tcPr>
            <w:tcW w:w="2306" w:type="dxa"/>
          </w:tcPr>
          <w:p w14:paraId="64CC2AC5" w14:textId="77777777" w:rsidR="00DA2CD7" w:rsidRPr="004A30FF" w:rsidRDefault="00DA2CD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4556</w:t>
            </w:r>
          </w:p>
          <w:p w14:paraId="79E49B60" w14:textId="5AE27249" w:rsidR="00DA2CD7" w:rsidRPr="004A30FF" w:rsidRDefault="00DA2CD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464" w:type="dxa"/>
          </w:tcPr>
          <w:p w14:paraId="5229A869" w14:textId="52FD7BA1" w:rsidR="00DA2CD7" w:rsidRPr="004A30FF" w:rsidRDefault="00DA2CD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Разчети за здравни вноски за НЗК</w:t>
            </w:r>
          </w:p>
        </w:tc>
        <w:tc>
          <w:tcPr>
            <w:tcW w:w="2290" w:type="dxa"/>
          </w:tcPr>
          <w:p w14:paraId="232EABC6" w14:textId="29721626" w:rsidR="00DA2CD7" w:rsidRPr="004A30FF" w:rsidRDefault="00DA2CD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4556 и кредита на сметката в лева</w:t>
            </w:r>
          </w:p>
        </w:tc>
        <w:tc>
          <w:tcPr>
            <w:tcW w:w="2290" w:type="dxa"/>
          </w:tcPr>
          <w:p w14:paraId="5080866C" w14:textId="2EE7C9C0" w:rsidR="00DA2CD7" w:rsidRPr="004A30FF" w:rsidRDefault="00DA2CD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4556 и дебита на сметката в лева</w:t>
            </w:r>
          </w:p>
        </w:tc>
      </w:tr>
      <w:tr w:rsidR="00DA2CD7" w:rsidRPr="004A30FF" w14:paraId="6CC830ED" w14:textId="77777777" w:rsidTr="00DA2CD7">
        <w:tc>
          <w:tcPr>
            <w:tcW w:w="2306" w:type="dxa"/>
          </w:tcPr>
          <w:p w14:paraId="5710D6D4" w14:textId="04E07EA8" w:rsidR="00DA2CD7" w:rsidRPr="004A30FF" w:rsidRDefault="00DA2CD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4211</w:t>
            </w:r>
          </w:p>
        </w:tc>
        <w:tc>
          <w:tcPr>
            <w:tcW w:w="2464" w:type="dxa"/>
          </w:tcPr>
          <w:p w14:paraId="3C0E7954" w14:textId="1DA1F9C7" w:rsidR="00DA2CD7" w:rsidRPr="004A30FF" w:rsidRDefault="00DA2CD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Задължения към работници/служители и друг персонал</w:t>
            </w:r>
          </w:p>
        </w:tc>
        <w:tc>
          <w:tcPr>
            <w:tcW w:w="2290" w:type="dxa"/>
          </w:tcPr>
          <w:p w14:paraId="12515E17" w14:textId="48D7BD2A" w:rsidR="00DA2CD7" w:rsidRPr="004A30FF" w:rsidRDefault="00223AD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290" w:type="dxa"/>
          </w:tcPr>
          <w:p w14:paraId="56935246" w14:textId="49216349" w:rsidR="00DA2CD7" w:rsidRPr="004A30FF" w:rsidRDefault="00CF591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12,9958.80</w:t>
            </w:r>
          </w:p>
        </w:tc>
      </w:tr>
      <w:tr w:rsidR="00DA2CD7" w:rsidRPr="004A30FF" w14:paraId="4BC05D88" w14:textId="77777777" w:rsidTr="00DA2CD7">
        <w:tc>
          <w:tcPr>
            <w:tcW w:w="2306" w:type="dxa"/>
          </w:tcPr>
          <w:p w14:paraId="5709EAB5" w14:textId="654438A7" w:rsidR="00DA2CD7" w:rsidRPr="004A30FF" w:rsidRDefault="00DA2CD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5013</w:t>
            </w:r>
          </w:p>
        </w:tc>
        <w:tc>
          <w:tcPr>
            <w:tcW w:w="2464" w:type="dxa"/>
          </w:tcPr>
          <w:p w14:paraId="327E1046" w14:textId="5449D2DE" w:rsidR="00DA2CD7" w:rsidRPr="004A30FF" w:rsidRDefault="00DA2CD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Текущи банкови сметки в лева</w:t>
            </w:r>
          </w:p>
        </w:tc>
        <w:tc>
          <w:tcPr>
            <w:tcW w:w="2290" w:type="dxa"/>
          </w:tcPr>
          <w:p w14:paraId="29432433" w14:textId="6C2C05F0" w:rsidR="00DA2CD7" w:rsidRPr="004A30FF" w:rsidRDefault="00223AD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33,288.36</w:t>
            </w:r>
          </w:p>
        </w:tc>
        <w:tc>
          <w:tcPr>
            <w:tcW w:w="2290" w:type="dxa"/>
          </w:tcPr>
          <w:p w14:paraId="0FD0790B" w14:textId="6F1B0C33" w:rsidR="00DA2CD7" w:rsidRPr="004A30FF" w:rsidRDefault="00CF591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r w:rsidR="00DA2CD7" w:rsidRPr="004A30FF" w14:paraId="1F8DFF39" w14:textId="77777777" w:rsidTr="00DA2CD7">
        <w:tc>
          <w:tcPr>
            <w:tcW w:w="2306" w:type="dxa"/>
          </w:tcPr>
          <w:p w14:paraId="2DD10FA3" w14:textId="511BBE87" w:rsidR="00DA2CD7" w:rsidRPr="004A30FF" w:rsidRDefault="00DA2CD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6052</w:t>
            </w:r>
          </w:p>
        </w:tc>
        <w:tc>
          <w:tcPr>
            <w:tcW w:w="2464" w:type="dxa"/>
          </w:tcPr>
          <w:p w14:paraId="4851A2E7" w14:textId="637302BE" w:rsidR="00DA2CD7" w:rsidRPr="004A30FF" w:rsidRDefault="00DA2CD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здравно осигуряване</w:t>
            </w:r>
          </w:p>
        </w:tc>
        <w:tc>
          <w:tcPr>
            <w:tcW w:w="2290" w:type="dxa"/>
          </w:tcPr>
          <w:p w14:paraId="7EE344B7" w14:textId="20FBED41" w:rsidR="00DA2CD7" w:rsidRPr="004A30FF" w:rsidRDefault="00223AD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290" w:type="dxa"/>
          </w:tcPr>
          <w:p w14:paraId="6FD027A6" w14:textId="708F6FF3" w:rsidR="00DA2CD7" w:rsidRPr="004A30FF" w:rsidRDefault="00CF591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20,292.56</w:t>
            </w:r>
          </w:p>
        </w:tc>
      </w:tr>
    </w:tbl>
    <w:p w14:paraId="54E0C7CC" w14:textId="5CEBF84C" w:rsidR="001857E5" w:rsidRPr="004A30FF" w:rsidRDefault="00CF5910"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33,288.36                      33,288.36</w:t>
      </w:r>
    </w:p>
    <w:p w14:paraId="3ACEC2F9" w14:textId="2DF5E34C" w:rsidR="00CF5910" w:rsidRPr="004A30FF" w:rsidRDefault="00CF5910"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w:t>
      </w:r>
    </w:p>
    <w:tbl>
      <w:tblPr>
        <w:tblStyle w:val="TableGrid0"/>
        <w:tblW w:w="0" w:type="auto"/>
        <w:tblLook w:val="04A0" w:firstRow="1" w:lastRow="0" w:firstColumn="1" w:lastColumn="0" w:noHBand="0" w:noVBand="1"/>
      </w:tblPr>
      <w:tblGrid>
        <w:gridCol w:w="2306"/>
        <w:gridCol w:w="2464"/>
        <w:gridCol w:w="2290"/>
        <w:gridCol w:w="2290"/>
      </w:tblGrid>
      <w:tr w:rsidR="009C19C9" w:rsidRPr="004A30FF" w14:paraId="059BF330" w14:textId="77777777" w:rsidTr="009C19C9">
        <w:tc>
          <w:tcPr>
            <w:tcW w:w="2306" w:type="dxa"/>
          </w:tcPr>
          <w:p w14:paraId="4AED2533" w14:textId="43EFF50B" w:rsidR="009C19C9" w:rsidRPr="004A30FF" w:rsidRDefault="009C19C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4557</w:t>
            </w:r>
          </w:p>
          <w:p w14:paraId="77E99D41" w14:textId="06B8F55D" w:rsidR="009C19C9" w:rsidRPr="004A30FF" w:rsidRDefault="009C19C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464" w:type="dxa"/>
          </w:tcPr>
          <w:p w14:paraId="5842BC53" w14:textId="3D67FFD3" w:rsidR="009C19C9" w:rsidRPr="004A30FF" w:rsidRDefault="009C19C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Разчети за ДЗПО</w:t>
            </w:r>
          </w:p>
        </w:tc>
        <w:tc>
          <w:tcPr>
            <w:tcW w:w="2290" w:type="dxa"/>
          </w:tcPr>
          <w:p w14:paraId="133FA3C8" w14:textId="49FF932E" w:rsidR="009C19C9" w:rsidRPr="004A30FF" w:rsidRDefault="009C19C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4557 и кредита на сметката в лева</w:t>
            </w:r>
          </w:p>
        </w:tc>
        <w:tc>
          <w:tcPr>
            <w:tcW w:w="2290" w:type="dxa"/>
          </w:tcPr>
          <w:p w14:paraId="0B7AEB27" w14:textId="53ED3854" w:rsidR="009C19C9" w:rsidRPr="004A30FF" w:rsidRDefault="009C19C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4557 и дебита на сметката в лева</w:t>
            </w:r>
          </w:p>
        </w:tc>
      </w:tr>
      <w:tr w:rsidR="009C19C9" w:rsidRPr="004A30FF" w14:paraId="2DB52718" w14:textId="77777777" w:rsidTr="009C19C9">
        <w:tc>
          <w:tcPr>
            <w:tcW w:w="2306" w:type="dxa"/>
          </w:tcPr>
          <w:p w14:paraId="4ACD3EDF" w14:textId="0677CCED" w:rsidR="009C19C9" w:rsidRPr="004A30FF" w:rsidRDefault="009C19C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4211</w:t>
            </w:r>
          </w:p>
        </w:tc>
        <w:tc>
          <w:tcPr>
            <w:tcW w:w="2464" w:type="dxa"/>
          </w:tcPr>
          <w:p w14:paraId="3EF1C0F6" w14:textId="52C7C341" w:rsidR="009C19C9" w:rsidRPr="004A30FF" w:rsidRDefault="009C19C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Задължения към работници/служители и друг персонал</w:t>
            </w:r>
          </w:p>
        </w:tc>
        <w:tc>
          <w:tcPr>
            <w:tcW w:w="2290" w:type="dxa"/>
          </w:tcPr>
          <w:p w14:paraId="5B846FF0" w14:textId="1A869CE5" w:rsidR="009C19C9" w:rsidRPr="004A30FF" w:rsidRDefault="0087204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290" w:type="dxa"/>
          </w:tcPr>
          <w:p w14:paraId="02C72A79" w14:textId="3392475F" w:rsidR="009C19C9" w:rsidRPr="004A30FF" w:rsidRDefault="0087204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8,934.54</w:t>
            </w:r>
          </w:p>
        </w:tc>
      </w:tr>
      <w:tr w:rsidR="009C19C9" w:rsidRPr="004A30FF" w14:paraId="57AAF889" w14:textId="77777777" w:rsidTr="009C19C9">
        <w:tc>
          <w:tcPr>
            <w:tcW w:w="2306" w:type="dxa"/>
          </w:tcPr>
          <w:p w14:paraId="19A993F9" w14:textId="062A125D" w:rsidR="009C19C9" w:rsidRPr="004A30FF" w:rsidRDefault="009C19C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5013</w:t>
            </w:r>
          </w:p>
        </w:tc>
        <w:tc>
          <w:tcPr>
            <w:tcW w:w="2464" w:type="dxa"/>
          </w:tcPr>
          <w:p w14:paraId="199E702E" w14:textId="26961B38" w:rsidR="009C19C9" w:rsidRPr="004A30FF" w:rsidRDefault="009C19C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Текущи банкови сметки в лева</w:t>
            </w:r>
          </w:p>
        </w:tc>
        <w:tc>
          <w:tcPr>
            <w:tcW w:w="2290" w:type="dxa"/>
          </w:tcPr>
          <w:p w14:paraId="6E425B71" w14:textId="38938C32" w:rsidR="009C19C9" w:rsidRPr="004A30FF" w:rsidRDefault="0087204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20,305.79</w:t>
            </w:r>
          </w:p>
        </w:tc>
        <w:tc>
          <w:tcPr>
            <w:tcW w:w="2290" w:type="dxa"/>
          </w:tcPr>
          <w:p w14:paraId="02BAE9E0" w14:textId="0F675D76" w:rsidR="009C19C9" w:rsidRPr="004A30FF" w:rsidRDefault="0087204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r w:rsidR="009C19C9" w:rsidRPr="004A30FF" w14:paraId="394E0ABE" w14:textId="77777777" w:rsidTr="009C19C9">
        <w:tc>
          <w:tcPr>
            <w:tcW w:w="2306" w:type="dxa"/>
          </w:tcPr>
          <w:p w14:paraId="550D8885" w14:textId="3448487D" w:rsidR="009C19C9" w:rsidRPr="004A30FF" w:rsidRDefault="009C19C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6055</w:t>
            </w:r>
          </w:p>
        </w:tc>
        <w:tc>
          <w:tcPr>
            <w:tcW w:w="2464" w:type="dxa"/>
          </w:tcPr>
          <w:p w14:paraId="033B449D" w14:textId="6E2EE183" w:rsidR="009C19C9" w:rsidRPr="004A30FF" w:rsidRDefault="009C19C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ДЗПО</w:t>
            </w:r>
          </w:p>
        </w:tc>
        <w:tc>
          <w:tcPr>
            <w:tcW w:w="2290" w:type="dxa"/>
          </w:tcPr>
          <w:p w14:paraId="13C3FCE6" w14:textId="6ED4F83A" w:rsidR="009C19C9" w:rsidRPr="004A30FF" w:rsidRDefault="0087204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290" w:type="dxa"/>
          </w:tcPr>
          <w:p w14:paraId="60C9D06F" w14:textId="2CF99A84" w:rsidR="009C19C9" w:rsidRPr="004A30FF" w:rsidRDefault="0087204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11,371.25</w:t>
            </w:r>
          </w:p>
        </w:tc>
      </w:tr>
    </w:tbl>
    <w:p w14:paraId="7FFAD046" w14:textId="66B13463" w:rsidR="009C13F6" w:rsidRPr="004A30FF" w:rsidRDefault="00872040"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20,305.79</w:t>
      </w:r>
      <w:r w:rsidR="00270197" w:rsidRPr="004A30FF">
        <w:rPr>
          <w:rFonts w:ascii="Times New Roman" w:hAnsi="Times New Roman" w:cs="Times New Roman"/>
          <w:sz w:val="24"/>
          <w:szCs w:val="24"/>
        </w:rPr>
        <w:t xml:space="preserve">                      20,305.79</w:t>
      </w:r>
    </w:p>
    <w:p w14:paraId="354317DD" w14:textId="64000978" w:rsidR="00270197" w:rsidRPr="004A30FF" w:rsidRDefault="00270197"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w:t>
      </w:r>
    </w:p>
    <w:tbl>
      <w:tblPr>
        <w:tblStyle w:val="TableGrid0"/>
        <w:tblW w:w="0" w:type="auto"/>
        <w:tblLook w:val="04A0" w:firstRow="1" w:lastRow="0" w:firstColumn="1" w:lastColumn="0" w:noHBand="0" w:noVBand="1"/>
      </w:tblPr>
      <w:tblGrid>
        <w:gridCol w:w="2337"/>
        <w:gridCol w:w="2337"/>
        <w:gridCol w:w="2338"/>
        <w:gridCol w:w="2338"/>
      </w:tblGrid>
      <w:tr w:rsidR="0092335B" w:rsidRPr="004A30FF" w14:paraId="51871E08" w14:textId="77777777" w:rsidTr="00FB3AD9">
        <w:tc>
          <w:tcPr>
            <w:tcW w:w="2337" w:type="dxa"/>
          </w:tcPr>
          <w:p w14:paraId="7E4A5E40" w14:textId="77777777" w:rsidR="0092335B" w:rsidRPr="004A30FF" w:rsidRDefault="0092335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5011</w:t>
            </w:r>
          </w:p>
          <w:p w14:paraId="031C5CAD" w14:textId="1BAF055E" w:rsidR="0092335B" w:rsidRPr="004A30FF" w:rsidRDefault="0092335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721C0820" w14:textId="7F12AD9D" w:rsidR="0092335B" w:rsidRPr="004A30FF" w:rsidRDefault="0092335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Касови наличности в лева</w:t>
            </w:r>
          </w:p>
        </w:tc>
        <w:tc>
          <w:tcPr>
            <w:tcW w:w="2338" w:type="dxa"/>
          </w:tcPr>
          <w:p w14:paraId="3870A512" w14:textId="723A1B4D" w:rsidR="0092335B" w:rsidRPr="004A30FF" w:rsidRDefault="0092335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5011 и кредита на сметката в лева</w:t>
            </w:r>
          </w:p>
        </w:tc>
        <w:tc>
          <w:tcPr>
            <w:tcW w:w="2338" w:type="dxa"/>
          </w:tcPr>
          <w:p w14:paraId="54796E3E" w14:textId="6C5A45B6" w:rsidR="0092335B" w:rsidRPr="004A30FF" w:rsidRDefault="0092335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5011 и дебита на сметката в лева</w:t>
            </w:r>
          </w:p>
        </w:tc>
      </w:tr>
      <w:tr w:rsidR="0092335B" w:rsidRPr="004A30FF" w14:paraId="72947784" w14:textId="77777777" w:rsidTr="00FB3AD9">
        <w:tc>
          <w:tcPr>
            <w:tcW w:w="2337" w:type="dxa"/>
          </w:tcPr>
          <w:p w14:paraId="47980D1F" w14:textId="4B1EC32D" w:rsidR="0092335B" w:rsidRPr="004A30FF" w:rsidRDefault="0092335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lastRenderedPageBreak/>
              <w:t>5013</w:t>
            </w:r>
          </w:p>
        </w:tc>
        <w:tc>
          <w:tcPr>
            <w:tcW w:w="2337" w:type="dxa"/>
          </w:tcPr>
          <w:p w14:paraId="2F3C2D8A" w14:textId="0CFBB9B5" w:rsidR="0092335B" w:rsidRPr="004A30FF" w:rsidRDefault="00F459E8"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Текущи банкови сметки в лева</w:t>
            </w:r>
          </w:p>
        </w:tc>
        <w:tc>
          <w:tcPr>
            <w:tcW w:w="2338" w:type="dxa"/>
          </w:tcPr>
          <w:p w14:paraId="32ABC15A" w14:textId="2E86D4DC" w:rsidR="0092335B" w:rsidRPr="004A30FF" w:rsidRDefault="00891644"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400.00</w:t>
            </w:r>
          </w:p>
        </w:tc>
        <w:tc>
          <w:tcPr>
            <w:tcW w:w="2338" w:type="dxa"/>
          </w:tcPr>
          <w:p w14:paraId="022578B5" w14:textId="3F9677DC" w:rsidR="0092335B" w:rsidRPr="004A30FF" w:rsidRDefault="0096533D"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r w:rsidR="0092335B" w:rsidRPr="004A30FF" w14:paraId="25EFE9BC" w14:textId="77777777" w:rsidTr="00FB3AD9">
        <w:tc>
          <w:tcPr>
            <w:tcW w:w="2337" w:type="dxa"/>
          </w:tcPr>
          <w:p w14:paraId="44B9F2E6" w14:textId="483A9467" w:rsidR="0092335B" w:rsidRPr="004A30FF" w:rsidRDefault="0092335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6012</w:t>
            </w:r>
          </w:p>
        </w:tc>
        <w:tc>
          <w:tcPr>
            <w:tcW w:w="2337" w:type="dxa"/>
          </w:tcPr>
          <w:p w14:paraId="2CA83A59" w14:textId="0161AD00" w:rsidR="0092335B" w:rsidRPr="004A30FF" w:rsidRDefault="00F459E8"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храна</w:t>
            </w:r>
          </w:p>
        </w:tc>
        <w:tc>
          <w:tcPr>
            <w:tcW w:w="2338" w:type="dxa"/>
          </w:tcPr>
          <w:p w14:paraId="4CD3252C" w14:textId="45A236A4" w:rsidR="0092335B" w:rsidRPr="004A30FF" w:rsidRDefault="00891644"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5B45F5B4" w14:textId="31093645" w:rsidR="0092335B" w:rsidRPr="004A30FF" w:rsidRDefault="0096533D"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-832,74</w:t>
            </w:r>
          </w:p>
        </w:tc>
      </w:tr>
      <w:tr w:rsidR="0092335B" w:rsidRPr="004A30FF" w14:paraId="01FDC5C7" w14:textId="77777777" w:rsidTr="00FB3AD9">
        <w:tc>
          <w:tcPr>
            <w:tcW w:w="2337" w:type="dxa"/>
          </w:tcPr>
          <w:p w14:paraId="7FE6A7FC" w14:textId="1A8AF742" w:rsidR="0092335B" w:rsidRPr="004A30FF" w:rsidRDefault="0092335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6019</w:t>
            </w:r>
          </w:p>
        </w:tc>
        <w:tc>
          <w:tcPr>
            <w:tcW w:w="2337" w:type="dxa"/>
          </w:tcPr>
          <w:p w14:paraId="4EC774D1" w14:textId="67004B6D" w:rsidR="0092335B" w:rsidRPr="004A30FF" w:rsidRDefault="00F459E8"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други материали</w:t>
            </w:r>
          </w:p>
        </w:tc>
        <w:tc>
          <w:tcPr>
            <w:tcW w:w="2338" w:type="dxa"/>
          </w:tcPr>
          <w:p w14:paraId="54D962F2" w14:textId="27FBBD3F" w:rsidR="0092335B" w:rsidRPr="004A30FF" w:rsidRDefault="00891644"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32B5C2C5" w14:textId="718BEEE7" w:rsidR="0092335B" w:rsidRPr="004A30FF" w:rsidRDefault="0096533D"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982,09</w:t>
            </w:r>
          </w:p>
        </w:tc>
      </w:tr>
      <w:tr w:rsidR="0092335B" w:rsidRPr="004A30FF" w14:paraId="737F1D3B" w14:textId="77777777" w:rsidTr="00FB3AD9">
        <w:tc>
          <w:tcPr>
            <w:tcW w:w="2337" w:type="dxa"/>
          </w:tcPr>
          <w:p w14:paraId="7F991E55" w14:textId="1F126E23" w:rsidR="0092335B" w:rsidRPr="004A30FF" w:rsidRDefault="0092335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6025</w:t>
            </w:r>
          </w:p>
        </w:tc>
        <w:tc>
          <w:tcPr>
            <w:tcW w:w="2337" w:type="dxa"/>
          </w:tcPr>
          <w:p w14:paraId="302DA82E" w14:textId="512A9383" w:rsidR="0092335B" w:rsidRPr="004A30FF" w:rsidRDefault="00E63128"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квалификация и преквалификация на персонала</w:t>
            </w:r>
          </w:p>
        </w:tc>
        <w:tc>
          <w:tcPr>
            <w:tcW w:w="2338" w:type="dxa"/>
          </w:tcPr>
          <w:p w14:paraId="6299BC82" w14:textId="4B861240" w:rsidR="0092335B" w:rsidRPr="004A30FF" w:rsidRDefault="00891644"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3EE1B239" w14:textId="0DDFF496" w:rsidR="0092335B" w:rsidRPr="004A30FF" w:rsidRDefault="0096533D"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92,27</w:t>
            </w:r>
          </w:p>
        </w:tc>
      </w:tr>
      <w:tr w:rsidR="0092335B" w:rsidRPr="004A30FF" w14:paraId="6AFD80B8" w14:textId="77777777" w:rsidTr="00FB3AD9">
        <w:tc>
          <w:tcPr>
            <w:tcW w:w="2337" w:type="dxa"/>
          </w:tcPr>
          <w:p w14:paraId="6E91492E" w14:textId="1764509E" w:rsidR="0092335B" w:rsidRPr="004A30FF" w:rsidRDefault="0092335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6026</w:t>
            </w:r>
          </w:p>
        </w:tc>
        <w:tc>
          <w:tcPr>
            <w:tcW w:w="2337" w:type="dxa"/>
          </w:tcPr>
          <w:p w14:paraId="56B16784" w14:textId="565AF1B1" w:rsidR="0092335B" w:rsidRPr="004A30FF" w:rsidRDefault="00E63128"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поддръжка на софтуер</w:t>
            </w:r>
            <w:r w:rsidR="000B01F5" w:rsidRPr="004A30FF">
              <w:rPr>
                <w:rFonts w:ascii="Times New Roman" w:hAnsi="Times New Roman" w:cs="Times New Roman"/>
                <w:sz w:val="24"/>
                <w:szCs w:val="24"/>
              </w:rPr>
              <w:t>/програми</w:t>
            </w:r>
          </w:p>
        </w:tc>
        <w:tc>
          <w:tcPr>
            <w:tcW w:w="2338" w:type="dxa"/>
          </w:tcPr>
          <w:p w14:paraId="6EDD0BE4" w14:textId="45749DE4" w:rsidR="0092335B" w:rsidRPr="004A30FF" w:rsidRDefault="00891644"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311E1AF9" w14:textId="4C74C159" w:rsidR="0092335B" w:rsidRPr="004A30FF" w:rsidRDefault="003E4DE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24,50</w:t>
            </w:r>
          </w:p>
        </w:tc>
      </w:tr>
      <w:tr w:rsidR="0092335B" w:rsidRPr="004A30FF" w14:paraId="242DEA34" w14:textId="77777777" w:rsidTr="00FB3AD9">
        <w:tc>
          <w:tcPr>
            <w:tcW w:w="2337" w:type="dxa"/>
          </w:tcPr>
          <w:p w14:paraId="1A4010E0" w14:textId="404C9AB4" w:rsidR="0092335B" w:rsidRPr="004A30FF" w:rsidRDefault="0092335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6029</w:t>
            </w:r>
          </w:p>
        </w:tc>
        <w:tc>
          <w:tcPr>
            <w:tcW w:w="2337" w:type="dxa"/>
          </w:tcPr>
          <w:p w14:paraId="26D428EF" w14:textId="02D04EF9" w:rsidR="0092335B" w:rsidRPr="004A30FF" w:rsidRDefault="000B01F5"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Други разходи за външни услуги</w:t>
            </w:r>
          </w:p>
        </w:tc>
        <w:tc>
          <w:tcPr>
            <w:tcW w:w="2338" w:type="dxa"/>
          </w:tcPr>
          <w:p w14:paraId="34331E35" w14:textId="02148545" w:rsidR="0092335B" w:rsidRPr="004A30FF" w:rsidRDefault="00891644"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281AB8BD" w14:textId="19EF8DDA" w:rsidR="0092335B" w:rsidRPr="004A30FF" w:rsidRDefault="0096533D"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297</w:t>
            </w:r>
            <w:r w:rsidR="003E4DE2" w:rsidRPr="004A30FF">
              <w:rPr>
                <w:rFonts w:ascii="Times New Roman" w:hAnsi="Times New Roman" w:cs="Times New Roman"/>
                <w:sz w:val="24"/>
                <w:szCs w:val="24"/>
              </w:rPr>
              <w:t>,68</w:t>
            </w:r>
          </w:p>
        </w:tc>
      </w:tr>
      <w:tr w:rsidR="0092335B" w:rsidRPr="004A30FF" w14:paraId="720E6357" w14:textId="77777777" w:rsidTr="00FB3AD9">
        <w:tc>
          <w:tcPr>
            <w:tcW w:w="2337" w:type="dxa"/>
          </w:tcPr>
          <w:p w14:paraId="107E8192" w14:textId="7479D89F" w:rsidR="0092335B" w:rsidRPr="004A30FF" w:rsidRDefault="0092335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7411</w:t>
            </w:r>
          </w:p>
        </w:tc>
        <w:tc>
          <w:tcPr>
            <w:tcW w:w="2337" w:type="dxa"/>
          </w:tcPr>
          <w:p w14:paraId="603D65C0" w14:textId="12E071DC" w:rsidR="0092335B" w:rsidRPr="004A30FF" w:rsidRDefault="000B01F5"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Получени помощи и дарения от страната</w:t>
            </w:r>
          </w:p>
        </w:tc>
        <w:tc>
          <w:tcPr>
            <w:tcW w:w="2338" w:type="dxa"/>
          </w:tcPr>
          <w:p w14:paraId="2E755AEE" w14:textId="2B08AD45" w:rsidR="0092335B" w:rsidRPr="004A30FF" w:rsidRDefault="0096533D"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163,80</w:t>
            </w:r>
          </w:p>
        </w:tc>
        <w:tc>
          <w:tcPr>
            <w:tcW w:w="2338" w:type="dxa"/>
          </w:tcPr>
          <w:p w14:paraId="672E30AE" w14:textId="6064BD47" w:rsidR="0092335B" w:rsidRPr="004A30FF" w:rsidRDefault="0096533D"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733523B5" w14:textId="548479E2" w:rsidR="00270197" w:rsidRPr="004A30FF" w:rsidRDefault="003E4DE2"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w:t>
      </w:r>
      <w:r w:rsidR="00DC1683" w:rsidRPr="004A30FF">
        <w:rPr>
          <w:rFonts w:ascii="Times New Roman" w:hAnsi="Times New Roman" w:cs="Times New Roman"/>
          <w:sz w:val="24"/>
          <w:szCs w:val="24"/>
        </w:rPr>
        <w:t>563,80                            563,80</w:t>
      </w:r>
    </w:p>
    <w:p w14:paraId="03993D72" w14:textId="1FD5F30E" w:rsidR="00DC1683" w:rsidRPr="004A30FF" w:rsidRDefault="00DC1683"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w:t>
      </w:r>
    </w:p>
    <w:tbl>
      <w:tblPr>
        <w:tblStyle w:val="TableGrid0"/>
        <w:tblW w:w="0" w:type="auto"/>
        <w:tblLook w:val="04A0" w:firstRow="1" w:lastRow="0" w:firstColumn="1" w:lastColumn="0" w:noHBand="0" w:noVBand="1"/>
      </w:tblPr>
      <w:tblGrid>
        <w:gridCol w:w="2286"/>
        <w:gridCol w:w="2464"/>
        <w:gridCol w:w="2300"/>
        <w:gridCol w:w="2300"/>
      </w:tblGrid>
      <w:tr w:rsidR="00AF27C8" w:rsidRPr="004A30FF" w14:paraId="3B098BC6" w14:textId="77777777" w:rsidTr="00DE3257">
        <w:tc>
          <w:tcPr>
            <w:tcW w:w="2337" w:type="dxa"/>
          </w:tcPr>
          <w:p w14:paraId="72B1F98A" w14:textId="77777777" w:rsidR="00AF27C8" w:rsidRPr="004A30FF" w:rsidRDefault="00AF27C8"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5013</w:t>
            </w:r>
          </w:p>
          <w:p w14:paraId="415C3E16" w14:textId="5E625675" w:rsidR="00AF27C8" w:rsidRPr="004A30FF" w:rsidRDefault="00AF27C8"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0AC6BC78" w14:textId="08914472" w:rsidR="00AF27C8" w:rsidRPr="004A30FF" w:rsidRDefault="00AF27C8"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 xml:space="preserve">Текущи банкови </w:t>
            </w:r>
            <w:r w:rsidR="009C05EB" w:rsidRPr="004A30FF">
              <w:rPr>
                <w:rFonts w:ascii="Times New Roman" w:hAnsi="Times New Roman" w:cs="Times New Roman"/>
                <w:sz w:val="24"/>
                <w:szCs w:val="24"/>
              </w:rPr>
              <w:t>сметки в лева</w:t>
            </w:r>
          </w:p>
        </w:tc>
        <w:tc>
          <w:tcPr>
            <w:tcW w:w="2338" w:type="dxa"/>
          </w:tcPr>
          <w:p w14:paraId="0538FF58" w14:textId="15BF4AD5" w:rsidR="00AF27C8" w:rsidRPr="004A30FF" w:rsidRDefault="00AF27C8"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501</w:t>
            </w:r>
            <w:r w:rsidR="009C05EB" w:rsidRPr="004A30FF">
              <w:rPr>
                <w:rFonts w:ascii="Times New Roman" w:hAnsi="Times New Roman" w:cs="Times New Roman"/>
                <w:sz w:val="24"/>
                <w:szCs w:val="24"/>
              </w:rPr>
              <w:t>3</w:t>
            </w:r>
            <w:r w:rsidRPr="004A30FF">
              <w:rPr>
                <w:rFonts w:ascii="Times New Roman" w:hAnsi="Times New Roman" w:cs="Times New Roman"/>
                <w:sz w:val="24"/>
                <w:szCs w:val="24"/>
              </w:rPr>
              <w:t xml:space="preserve"> и кредита на сметката в лева</w:t>
            </w:r>
          </w:p>
        </w:tc>
        <w:tc>
          <w:tcPr>
            <w:tcW w:w="2338" w:type="dxa"/>
          </w:tcPr>
          <w:p w14:paraId="76A88BD6" w14:textId="1C372868" w:rsidR="00AF27C8" w:rsidRPr="004A30FF" w:rsidRDefault="00AF27C8"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501</w:t>
            </w:r>
            <w:r w:rsidR="009C05EB" w:rsidRPr="004A30FF">
              <w:rPr>
                <w:rFonts w:ascii="Times New Roman" w:hAnsi="Times New Roman" w:cs="Times New Roman"/>
                <w:sz w:val="24"/>
                <w:szCs w:val="24"/>
              </w:rPr>
              <w:t>3</w:t>
            </w:r>
            <w:r w:rsidRPr="004A30FF">
              <w:rPr>
                <w:rFonts w:ascii="Times New Roman" w:hAnsi="Times New Roman" w:cs="Times New Roman"/>
                <w:sz w:val="24"/>
                <w:szCs w:val="24"/>
              </w:rPr>
              <w:t xml:space="preserve"> и дебита на сметката в лева</w:t>
            </w:r>
          </w:p>
        </w:tc>
      </w:tr>
      <w:tr w:rsidR="00AF27C8" w:rsidRPr="004A30FF" w14:paraId="68635704" w14:textId="77777777" w:rsidTr="00DE3257">
        <w:tc>
          <w:tcPr>
            <w:tcW w:w="2337" w:type="dxa"/>
          </w:tcPr>
          <w:p w14:paraId="78440EA8" w14:textId="0C019F7F" w:rsidR="00AF27C8" w:rsidRPr="004A30FF" w:rsidRDefault="009C05E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2060</w:t>
            </w:r>
          </w:p>
        </w:tc>
        <w:tc>
          <w:tcPr>
            <w:tcW w:w="2337" w:type="dxa"/>
          </w:tcPr>
          <w:p w14:paraId="65F33A2A" w14:textId="6D6C4037" w:rsidR="00AF27C8" w:rsidRPr="004A30FF" w:rsidRDefault="00FB0254"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Стопански инвентар</w:t>
            </w:r>
          </w:p>
        </w:tc>
        <w:tc>
          <w:tcPr>
            <w:tcW w:w="2338" w:type="dxa"/>
          </w:tcPr>
          <w:p w14:paraId="3F0B5644" w14:textId="1A0ECA54" w:rsidR="00AF27C8" w:rsidRPr="004A30FF" w:rsidRDefault="006928D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30F955F5" w14:textId="641CDC80" w:rsidR="00AF27C8" w:rsidRPr="004A30FF" w:rsidRDefault="006928D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4,464.00</w:t>
            </w:r>
          </w:p>
        </w:tc>
      </w:tr>
      <w:tr w:rsidR="00AF27C8" w:rsidRPr="004A30FF" w14:paraId="02D56979" w14:textId="77777777" w:rsidTr="00DE3257">
        <w:tc>
          <w:tcPr>
            <w:tcW w:w="2337" w:type="dxa"/>
          </w:tcPr>
          <w:p w14:paraId="460E2B70" w14:textId="06D6F514" w:rsidR="00AF27C8" w:rsidRPr="004A30FF" w:rsidRDefault="009C05E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4010</w:t>
            </w:r>
          </w:p>
        </w:tc>
        <w:tc>
          <w:tcPr>
            <w:tcW w:w="2337" w:type="dxa"/>
          </w:tcPr>
          <w:p w14:paraId="28A5529D" w14:textId="46861128" w:rsidR="00AF27C8" w:rsidRPr="004A30FF" w:rsidRDefault="00FB0254"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Задължения към доставчици в страната</w:t>
            </w:r>
          </w:p>
        </w:tc>
        <w:tc>
          <w:tcPr>
            <w:tcW w:w="2338" w:type="dxa"/>
          </w:tcPr>
          <w:p w14:paraId="695F0C3A" w14:textId="0022E671" w:rsidR="00AF27C8" w:rsidRPr="004A30FF" w:rsidRDefault="006928D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7E64F9F0" w14:textId="18C5037D" w:rsidR="00AF27C8" w:rsidRPr="004A30FF" w:rsidRDefault="006928D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123,799.74</w:t>
            </w:r>
          </w:p>
        </w:tc>
      </w:tr>
      <w:tr w:rsidR="00AF27C8" w:rsidRPr="004A30FF" w14:paraId="7F5F88A9" w14:textId="77777777" w:rsidTr="00DE3257">
        <w:tc>
          <w:tcPr>
            <w:tcW w:w="2337" w:type="dxa"/>
          </w:tcPr>
          <w:p w14:paraId="503BEF0B" w14:textId="3A19C94C" w:rsidR="00AF27C8" w:rsidRPr="004A30FF" w:rsidRDefault="009C05E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4211</w:t>
            </w:r>
          </w:p>
        </w:tc>
        <w:tc>
          <w:tcPr>
            <w:tcW w:w="2337" w:type="dxa"/>
          </w:tcPr>
          <w:p w14:paraId="264E59A8" w14:textId="32DA05C5" w:rsidR="00AF27C8" w:rsidRPr="004A30FF" w:rsidRDefault="00FB0254"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Задължения към работници/служители</w:t>
            </w:r>
            <w:r w:rsidR="002E109B" w:rsidRPr="004A30FF">
              <w:rPr>
                <w:rFonts w:ascii="Times New Roman" w:hAnsi="Times New Roman" w:cs="Times New Roman"/>
                <w:sz w:val="24"/>
                <w:szCs w:val="24"/>
              </w:rPr>
              <w:t xml:space="preserve"> и друг персонал</w:t>
            </w:r>
          </w:p>
        </w:tc>
        <w:tc>
          <w:tcPr>
            <w:tcW w:w="2338" w:type="dxa"/>
          </w:tcPr>
          <w:p w14:paraId="26D258A6" w14:textId="368F5580" w:rsidR="00AF27C8" w:rsidRPr="004A30FF" w:rsidRDefault="006928D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6E9FB13E" w14:textId="16F94D0B" w:rsidR="00AF27C8" w:rsidRPr="004A30FF" w:rsidRDefault="006928D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353,407.88</w:t>
            </w:r>
          </w:p>
        </w:tc>
      </w:tr>
      <w:tr w:rsidR="00AF27C8" w:rsidRPr="004A30FF" w14:paraId="0EF77AF3" w14:textId="77777777" w:rsidTr="00DE3257">
        <w:tc>
          <w:tcPr>
            <w:tcW w:w="2337" w:type="dxa"/>
          </w:tcPr>
          <w:p w14:paraId="0F0AC664" w14:textId="25623DD2" w:rsidR="00AF27C8" w:rsidRPr="004A30FF" w:rsidRDefault="009C05E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lastRenderedPageBreak/>
              <w:t>4510</w:t>
            </w:r>
          </w:p>
        </w:tc>
        <w:tc>
          <w:tcPr>
            <w:tcW w:w="2337" w:type="dxa"/>
          </w:tcPr>
          <w:p w14:paraId="2B699BB5" w14:textId="3F194725" w:rsidR="00AF27C8" w:rsidRPr="004A30FF" w:rsidRDefault="002E109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Разчети за данъци върху доходите на ФЛ</w:t>
            </w:r>
          </w:p>
        </w:tc>
        <w:tc>
          <w:tcPr>
            <w:tcW w:w="2338" w:type="dxa"/>
          </w:tcPr>
          <w:p w14:paraId="0D873D22" w14:textId="79A3F7B7" w:rsidR="00AF27C8" w:rsidRPr="004A30FF" w:rsidRDefault="006928D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1840F4AE" w14:textId="5F9396C1" w:rsidR="00AF27C8" w:rsidRPr="004A30FF" w:rsidRDefault="00DE2D34"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31,625.05</w:t>
            </w:r>
          </w:p>
        </w:tc>
      </w:tr>
      <w:tr w:rsidR="00AF27C8" w:rsidRPr="004A30FF" w14:paraId="7D11B0A3" w14:textId="77777777" w:rsidTr="00DE3257">
        <w:tc>
          <w:tcPr>
            <w:tcW w:w="2337" w:type="dxa"/>
          </w:tcPr>
          <w:p w14:paraId="4734778C" w14:textId="56E3F28B" w:rsidR="00AF27C8" w:rsidRPr="004A30FF" w:rsidRDefault="00181513"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4555</w:t>
            </w:r>
          </w:p>
        </w:tc>
        <w:tc>
          <w:tcPr>
            <w:tcW w:w="2337" w:type="dxa"/>
          </w:tcPr>
          <w:p w14:paraId="42DB0356" w14:textId="52002367" w:rsidR="00AF27C8" w:rsidRPr="004A30FF" w:rsidRDefault="0086036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Разчети за вноски за ДОО</w:t>
            </w:r>
          </w:p>
        </w:tc>
        <w:tc>
          <w:tcPr>
            <w:tcW w:w="2338" w:type="dxa"/>
          </w:tcPr>
          <w:p w14:paraId="671BCD09" w14:textId="38EABA95" w:rsidR="00AF27C8" w:rsidRPr="004A30FF" w:rsidRDefault="006928D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3095C775" w14:textId="214EAE58" w:rsidR="00AF27C8" w:rsidRPr="004A30FF" w:rsidRDefault="00DE2D34"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91,815.18</w:t>
            </w:r>
          </w:p>
        </w:tc>
      </w:tr>
      <w:tr w:rsidR="00AF27C8" w:rsidRPr="004A30FF" w14:paraId="44022FC3" w14:textId="77777777" w:rsidTr="00DE3257">
        <w:tc>
          <w:tcPr>
            <w:tcW w:w="2337" w:type="dxa"/>
          </w:tcPr>
          <w:p w14:paraId="2AB254F4" w14:textId="48D4BC41" w:rsidR="00AF27C8" w:rsidRPr="004A30FF" w:rsidRDefault="00181513"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4556</w:t>
            </w:r>
          </w:p>
        </w:tc>
        <w:tc>
          <w:tcPr>
            <w:tcW w:w="2337" w:type="dxa"/>
          </w:tcPr>
          <w:p w14:paraId="1671D24F" w14:textId="648F31BE" w:rsidR="00AF27C8" w:rsidRPr="004A30FF" w:rsidRDefault="0086036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Разчети за здравни вноски за НЗК</w:t>
            </w:r>
          </w:p>
        </w:tc>
        <w:tc>
          <w:tcPr>
            <w:tcW w:w="2338" w:type="dxa"/>
          </w:tcPr>
          <w:p w14:paraId="279DE6FC" w14:textId="22151D75" w:rsidR="00AF27C8" w:rsidRPr="004A30FF" w:rsidRDefault="006928D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6FB3138E" w14:textId="204A6A1A" w:rsidR="00AF27C8" w:rsidRPr="004A30FF" w:rsidRDefault="00DE2D34"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33,288.36</w:t>
            </w:r>
          </w:p>
        </w:tc>
      </w:tr>
      <w:tr w:rsidR="00AF27C8" w:rsidRPr="004A30FF" w14:paraId="323B03CC" w14:textId="77777777" w:rsidTr="00DE3257">
        <w:tc>
          <w:tcPr>
            <w:tcW w:w="2337" w:type="dxa"/>
          </w:tcPr>
          <w:p w14:paraId="22EF2B60" w14:textId="029F073B" w:rsidR="00AF27C8" w:rsidRPr="004A30FF" w:rsidRDefault="00181513"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4557</w:t>
            </w:r>
          </w:p>
        </w:tc>
        <w:tc>
          <w:tcPr>
            <w:tcW w:w="2337" w:type="dxa"/>
          </w:tcPr>
          <w:p w14:paraId="4C5FCC0E" w14:textId="0F6C4444" w:rsidR="00AF27C8" w:rsidRPr="004A30FF" w:rsidRDefault="0086036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Разчети за ДЗПО</w:t>
            </w:r>
          </w:p>
        </w:tc>
        <w:tc>
          <w:tcPr>
            <w:tcW w:w="2338" w:type="dxa"/>
          </w:tcPr>
          <w:p w14:paraId="1224082F" w14:textId="6A57D90E" w:rsidR="00AF27C8" w:rsidRPr="004A30FF" w:rsidRDefault="006928D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0B5AB76A" w14:textId="68935B0F" w:rsidR="00AF27C8" w:rsidRPr="004A30FF" w:rsidRDefault="00DE2D34"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20,305.79</w:t>
            </w:r>
          </w:p>
        </w:tc>
      </w:tr>
      <w:tr w:rsidR="00AF27C8" w:rsidRPr="004A30FF" w14:paraId="7F7DBEC4" w14:textId="77777777" w:rsidTr="00DE3257">
        <w:tc>
          <w:tcPr>
            <w:tcW w:w="2337" w:type="dxa"/>
          </w:tcPr>
          <w:p w14:paraId="1D0D7BFC" w14:textId="2359EA39" w:rsidR="00AF27C8" w:rsidRPr="004A30FF" w:rsidRDefault="00181513"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5011</w:t>
            </w:r>
          </w:p>
        </w:tc>
        <w:tc>
          <w:tcPr>
            <w:tcW w:w="2337" w:type="dxa"/>
          </w:tcPr>
          <w:p w14:paraId="295A21FA" w14:textId="0A79F34F" w:rsidR="00AF27C8" w:rsidRPr="004A30FF" w:rsidRDefault="003E1EA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Касови наличности в лева</w:t>
            </w:r>
          </w:p>
        </w:tc>
        <w:tc>
          <w:tcPr>
            <w:tcW w:w="2338" w:type="dxa"/>
          </w:tcPr>
          <w:p w14:paraId="01D64CD7" w14:textId="71224F4D" w:rsidR="00AF27C8" w:rsidRPr="004A30FF" w:rsidRDefault="006928D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154E7F7E" w14:textId="7D1E6AAA" w:rsidR="00AF27C8" w:rsidRPr="004A30FF" w:rsidRDefault="002D6C1C"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400,00</w:t>
            </w:r>
          </w:p>
        </w:tc>
      </w:tr>
      <w:tr w:rsidR="00AF27C8" w:rsidRPr="004A30FF" w14:paraId="41374B23" w14:textId="77777777" w:rsidTr="00DE3257">
        <w:tc>
          <w:tcPr>
            <w:tcW w:w="2337" w:type="dxa"/>
          </w:tcPr>
          <w:p w14:paraId="160C6CAD" w14:textId="5F3C2DE1" w:rsidR="00AF27C8" w:rsidRPr="004A30FF" w:rsidRDefault="00181513"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60104</w:t>
            </w:r>
          </w:p>
        </w:tc>
        <w:tc>
          <w:tcPr>
            <w:tcW w:w="2337" w:type="dxa"/>
          </w:tcPr>
          <w:p w14:paraId="75B1EBE8" w14:textId="2F0D8A7A" w:rsidR="00AF27C8" w:rsidRPr="004A30FF" w:rsidRDefault="003E1EA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вода</w:t>
            </w:r>
          </w:p>
        </w:tc>
        <w:tc>
          <w:tcPr>
            <w:tcW w:w="2338" w:type="dxa"/>
          </w:tcPr>
          <w:p w14:paraId="45B412ED" w14:textId="6F956A03" w:rsidR="00AF27C8" w:rsidRPr="004A30FF" w:rsidRDefault="006928D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2846DA74" w14:textId="58C874C6" w:rsidR="00AF27C8" w:rsidRPr="004A30FF" w:rsidRDefault="002D6C1C"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-1,580.02</w:t>
            </w:r>
          </w:p>
        </w:tc>
      </w:tr>
      <w:tr w:rsidR="00AF27C8" w:rsidRPr="004A30FF" w14:paraId="6E04CEFD" w14:textId="77777777" w:rsidTr="00DE3257">
        <w:tc>
          <w:tcPr>
            <w:tcW w:w="2337" w:type="dxa"/>
          </w:tcPr>
          <w:p w14:paraId="014A63FF" w14:textId="78E4B402" w:rsidR="00AF27C8" w:rsidRPr="004A30FF" w:rsidRDefault="00181513"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60105</w:t>
            </w:r>
          </w:p>
        </w:tc>
        <w:tc>
          <w:tcPr>
            <w:tcW w:w="2337" w:type="dxa"/>
          </w:tcPr>
          <w:p w14:paraId="1DEADECB" w14:textId="32DF89FA" w:rsidR="00AF27C8" w:rsidRPr="004A30FF" w:rsidRDefault="003E1EA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ел. Енергия</w:t>
            </w:r>
          </w:p>
        </w:tc>
        <w:tc>
          <w:tcPr>
            <w:tcW w:w="2338" w:type="dxa"/>
          </w:tcPr>
          <w:p w14:paraId="5671CB37" w14:textId="17CAEC6B" w:rsidR="00AF27C8" w:rsidRPr="004A30FF" w:rsidRDefault="006928D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668DEE88" w14:textId="36CAF88A" w:rsidR="00AF27C8" w:rsidRPr="004A30FF" w:rsidRDefault="002D6C1C"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-3,515.89</w:t>
            </w:r>
          </w:p>
        </w:tc>
      </w:tr>
      <w:tr w:rsidR="00AF27C8" w:rsidRPr="004A30FF" w14:paraId="6B926263" w14:textId="77777777" w:rsidTr="00DE3257">
        <w:tc>
          <w:tcPr>
            <w:tcW w:w="2337" w:type="dxa"/>
          </w:tcPr>
          <w:p w14:paraId="4985BC37" w14:textId="01C2DC8D" w:rsidR="00AF27C8" w:rsidRPr="004A30FF" w:rsidRDefault="00181513"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60108</w:t>
            </w:r>
          </w:p>
        </w:tc>
        <w:tc>
          <w:tcPr>
            <w:tcW w:w="2337" w:type="dxa"/>
          </w:tcPr>
          <w:p w14:paraId="2A927102" w14:textId="028E8F4C" w:rsidR="00AF27C8" w:rsidRPr="004A30FF" w:rsidRDefault="00AC22E5"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Природен газ за отопление</w:t>
            </w:r>
          </w:p>
        </w:tc>
        <w:tc>
          <w:tcPr>
            <w:tcW w:w="2338" w:type="dxa"/>
          </w:tcPr>
          <w:p w14:paraId="4F062A33" w14:textId="67F40E05" w:rsidR="00AF27C8" w:rsidRPr="004A30FF" w:rsidRDefault="006928D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3A8DC384" w14:textId="1F3DCD56" w:rsidR="00AF27C8" w:rsidRPr="004A30FF" w:rsidRDefault="002D6C1C"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3,408.38</w:t>
            </w:r>
          </w:p>
        </w:tc>
      </w:tr>
      <w:tr w:rsidR="00AF27C8" w:rsidRPr="004A30FF" w14:paraId="1D81081E" w14:textId="77777777" w:rsidTr="00DE3257">
        <w:tc>
          <w:tcPr>
            <w:tcW w:w="2337" w:type="dxa"/>
          </w:tcPr>
          <w:p w14:paraId="69D55C16" w14:textId="5CB866EE" w:rsidR="00AF27C8" w:rsidRPr="004A30FF" w:rsidRDefault="00181513"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6015</w:t>
            </w:r>
          </w:p>
        </w:tc>
        <w:tc>
          <w:tcPr>
            <w:tcW w:w="2337" w:type="dxa"/>
          </w:tcPr>
          <w:p w14:paraId="393A9607" w14:textId="3726700B" w:rsidR="00AF27C8" w:rsidRPr="004A30FF" w:rsidRDefault="00AC22E5"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постелен инвентар и работно облекло</w:t>
            </w:r>
          </w:p>
        </w:tc>
        <w:tc>
          <w:tcPr>
            <w:tcW w:w="2338" w:type="dxa"/>
          </w:tcPr>
          <w:p w14:paraId="179A62D0" w14:textId="2131FE2E" w:rsidR="00AF27C8" w:rsidRPr="004A30FF" w:rsidRDefault="006928D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18CD77FE" w14:textId="04B8501E" w:rsidR="00AF27C8" w:rsidRPr="004A30FF" w:rsidRDefault="00A65CE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3,025.00</w:t>
            </w:r>
          </w:p>
        </w:tc>
      </w:tr>
      <w:tr w:rsidR="00AF27C8" w:rsidRPr="004A30FF" w14:paraId="05D84BD8" w14:textId="77777777" w:rsidTr="00DE3257">
        <w:tc>
          <w:tcPr>
            <w:tcW w:w="2337" w:type="dxa"/>
          </w:tcPr>
          <w:p w14:paraId="7A212D41" w14:textId="09992D60" w:rsidR="00AF27C8" w:rsidRPr="004A30FF" w:rsidRDefault="00181513"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6029</w:t>
            </w:r>
          </w:p>
        </w:tc>
        <w:tc>
          <w:tcPr>
            <w:tcW w:w="2337" w:type="dxa"/>
          </w:tcPr>
          <w:p w14:paraId="65D205F4" w14:textId="4ECAB9B1" w:rsidR="00AF27C8" w:rsidRPr="004A30FF" w:rsidRDefault="00AC22E5"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Други разходи за външни услуги</w:t>
            </w:r>
          </w:p>
        </w:tc>
        <w:tc>
          <w:tcPr>
            <w:tcW w:w="2338" w:type="dxa"/>
          </w:tcPr>
          <w:p w14:paraId="453B5ED9" w14:textId="26BB576D" w:rsidR="00AF27C8" w:rsidRPr="004A30FF" w:rsidRDefault="006928D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11B27251" w14:textId="0C9893BF" w:rsidR="00AF27C8" w:rsidRPr="004A30FF" w:rsidRDefault="00A65CE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-4,433.79</w:t>
            </w:r>
          </w:p>
        </w:tc>
      </w:tr>
      <w:tr w:rsidR="00AF27C8" w:rsidRPr="004A30FF" w14:paraId="248DD734" w14:textId="77777777" w:rsidTr="00DE3257">
        <w:tc>
          <w:tcPr>
            <w:tcW w:w="2337" w:type="dxa"/>
          </w:tcPr>
          <w:p w14:paraId="55E25CB5" w14:textId="19824D73" w:rsidR="00AF27C8" w:rsidRPr="004A30FF" w:rsidRDefault="00181513"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6042</w:t>
            </w:r>
          </w:p>
        </w:tc>
        <w:tc>
          <w:tcPr>
            <w:tcW w:w="2337" w:type="dxa"/>
          </w:tcPr>
          <w:p w14:paraId="680B7148" w14:textId="31481E7F" w:rsidR="00AF27C8" w:rsidRPr="004A30FF" w:rsidRDefault="00644FBE"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 xml:space="preserve">Разходи за заплати и възнаграждения на персонал </w:t>
            </w:r>
          </w:p>
        </w:tc>
        <w:tc>
          <w:tcPr>
            <w:tcW w:w="2338" w:type="dxa"/>
          </w:tcPr>
          <w:p w14:paraId="1A05B5B8" w14:textId="79E3DA5D" w:rsidR="00AF27C8" w:rsidRPr="004A30FF" w:rsidRDefault="006928D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68191029" w14:textId="0F6D6A83" w:rsidR="00AF27C8" w:rsidRPr="004A30FF" w:rsidRDefault="00A65CE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4,500.00</w:t>
            </w:r>
          </w:p>
        </w:tc>
      </w:tr>
      <w:tr w:rsidR="00AF27C8" w:rsidRPr="004A30FF" w14:paraId="69EEC543" w14:textId="77777777" w:rsidTr="00DE3257">
        <w:tc>
          <w:tcPr>
            <w:tcW w:w="2337" w:type="dxa"/>
          </w:tcPr>
          <w:p w14:paraId="7085A55A" w14:textId="587FF7CC" w:rsidR="00AF27C8" w:rsidRPr="004A30FF" w:rsidRDefault="001733F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6049</w:t>
            </w:r>
          </w:p>
        </w:tc>
        <w:tc>
          <w:tcPr>
            <w:tcW w:w="2337" w:type="dxa"/>
          </w:tcPr>
          <w:p w14:paraId="52256821" w14:textId="24593C5B" w:rsidR="00AF27C8" w:rsidRPr="004A30FF" w:rsidRDefault="00A03D6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възнаграждения на персонал в натура</w:t>
            </w:r>
          </w:p>
        </w:tc>
        <w:tc>
          <w:tcPr>
            <w:tcW w:w="2338" w:type="dxa"/>
          </w:tcPr>
          <w:p w14:paraId="00188C57" w14:textId="3055D52D" w:rsidR="00AF27C8" w:rsidRPr="004A30FF" w:rsidRDefault="005E49DC"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48CC8A9F" w14:textId="66DCF3AB" w:rsidR="00AF27C8" w:rsidRPr="004A30FF" w:rsidRDefault="009E064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4,588.50</w:t>
            </w:r>
          </w:p>
        </w:tc>
      </w:tr>
      <w:tr w:rsidR="00AF27C8" w:rsidRPr="004A30FF" w14:paraId="33CC4AB8" w14:textId="77777777" w:rsidTr="00DE3257">
        <w:tc>
          <w:tcPr>
            <w:tcW w:w="2337" w:type="dxa"/>
          </w:tcPr>
          <w:p w14:paraId="0812781B" w14:textId="274503C5" w:rsidR="00AF27C8" w:rsidRPr="004A30FF" w:rsidRDefault="001733F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6203</w:t>
            </w:r>
          </w:p>
        </w:tc>
        <w:tc>
          <w:tcPr>
            <w:tcW w:w="2337" w:type="dxa"/>
          </w:tcPr>
          <w:p w14:paraId="47965257" w14:textId="2E219B33" w:rsidR="00AF27C8" w:rsidRPr="004A30FF" w:rsidRDefault="00A03D6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застраховане</w:t>
            </w:r>
          </w:p>
        </w:tc>
        <w:tc>
          <w:tcPr>
            <w:tcW w:w="2338" w:type="dxa"/>
          </w:tcPr>
          <w:p w14:paraId="6CE1A5B9" w14:textId="74886A75" w:rsidR="00AF27C8" w:rsidRPr="004A30FF" w:rsidRDefault="005E49DC"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279FAD69" w14:textId="282AF083" w:rsidR="00AF27C8" w:rsidRPr="004A30FF" w:rsidRDefault="009E064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1,021.42</w:t>
            </w:r>
          </w:p>
        </w:tc>
      </w:tr>
      <w:tr w:rsidR="00AF27C8" w:rsidRPr="004A30FF" w14:paraId="7D114595" w14:textId="77777777" w:rsidTr="00DE3257">
        <w:tc>
          <w:tcPr>
            <w:tcW w:w="2337" w:type="dxa"/>
          </w:tcPr>
          <w:p w14:paraId="3F5B49D0" w14:textId="0CE9AB1E" w:rsidR="00AF27C8" w:rsidRPr="004A30FF" w:rsidRDefault="001733F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7112</w:t>
            </w:r>
          </w:p>
        </w:tc>
        <w:tc>
          <w:tcPr>
            <w:tcW w:w="2337" w:type="dxa"/>
          </w:tcPr>
          <w:p w14:paraId="2C2B89A7" w14:textId="615E95F4" w:rsidR="00AF27C8" w:rsidRPr="004A30FF" w:rsidRDefault="00A03D6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Приходи от продажба на материали</w:t>
            </w:r>
          </w:p>
        </w:tc>
        <w:tc>
          <w:tcPr>
            <w:tcW w:w="2338" w:type="dxa"/>
          </w:tcPr>
          <w:p w14:paraId="1D4CA463" w14:textId="599A6839" w:rsidR="00AF27C8" w:rsidRPr="004A30FF" w:rsidRDefault="005E49DC"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204B1FD7" w14:textId="299E3B99" w:rsidR="00AF27C8" w:rsidRPr="004A30FF" w:rsidRDefault="009E064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-3,957.50</w:t>
            </w:r>
          </w:p>
        </w:tc>
      </w:tr>
      <w:tr w:rsidR="00AF27C8" w:rsidRPr="004A30FF" w14:paraId="18AE0D6E" w14:textId="77777777" w:rsidTr="00DE3257">
        <w:tc>
          <w:tcPr>
            <w:tcW w:w="2337" w:type="dxa"/>
          </w:tcPr>
          <w:p w14:paraId="1AA7541A" w14:textId="6AAA3447" w:rsidR="00AF27C8" w:rsidRPr="004A30FF" w:rsidRDefault="001733F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lastRenderedPageBreak/>
              <w:t>7199</w:t>
            </w:r>
          </w:p>
        </w:tc>
        <w:tc>
          <w:tcPr>
            <w:tcW w:w="2337" w:type="dxa"/>
          </w:tcPr>
          <w:p w14:paraId="20521D5F" w14:textId="5E17A833" w:rsidR="00AF27C8" w:rsidRPr="004A30FF" w:rsidRDefault="00DF17F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Други приходи</w:t>
            </w:r>
          </w:p>
        </w:tc>
        <w:tc>
          <w:tcPr>
            <w:tcW w:w="2338" w:type="dxa"/>
          </w:tcPr>
          <w:p w14:paraId="093D9AA2" w14:textId="6612DFAE" w:rsidR="00AF27C8" w:rsidRPr="004A30FF" w:rsidRDefault="001733F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3,147.39</w:t>
            </w:r>
          </w:p>
        </w:tc>
        <w:tc>
          <w:tcPr>
            <w:tcW w:w="2338" w:type="dxa"/>
          </w:tcPr>
          <w:p w14:paraId="1B61F984" w14:textId="0BE0C998" w:rsidR="00AF27C8" w:rsidRPr="004A30FF" w:rsidRDefault="009E064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r w:rsidR="00AF27C8" w:rsidRPr="004A30FF" w14:paraId="3E4F77A2" w14:textId="77777777" w:rsidTr="00DE3257">
        <w:tc>
          <w:tcPr>
            <w:tcW w:w="2337" w:type="dxa"/>
          </w:tcPr>
          <w:p w14:paraId="6845EB95" w14:textId="2D185A15" w:rsidR="00AF27C8" w:rsidRPr="004A30FF" w:rsidRDefault="001733F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750114</w:t>
            </w:r>
          </w:p>
        </w:tc>
        <w:tc>
          <w:tcPr>
            <w:tcW w:w="2337" w:type="dxa"/>
          </w:tcPr>
          <w:p w14:paraId="5D6B9CED" w14:textId="290603E1" w:rsidR="00AF27C8" w:rsidRPr="004A30FF" w:rsidRDefault="00DF17F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 xml:space="preserve">ДГ „Осми март“ гр. Радомир </w:t>
            </w:r>
          </w:p>
        </w:tc>
        <w:tc>
          <w:tcPr>
            <w:tcW w:w="2338" w:type="dxa"/>
          </w:tcPr>
          <w:p w14:paraId="04701C39" w14:textId="3D89CBF9" w:rsidR="00AF27C8" w:rsidRPr="004A30FF" w:rsidRDefault="005E49DC"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651,815.95</w:t>
            </w:r>
          </w:p>
        </w:tc>
        <w:tc>
          <w:tcPr>
            <w:tcW w:w="2338" w:type="dxa"/>
          </w:tcPr>
          <w:p w14:paraId="5BF76E4D" w14:textId="11E86669" w:rsidR="00AF27C8" w:rsidRPr="004A30FF" w:rsidRDefault="009E064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r w:rsidR="00AF27C8" w:rsidRPr="004A30FF" w14:paraId="3D22DF68" w14:textId="77777777" w:rsidTr="00DE3257">
        <w:tc>
          <w:tcPr>
            <w:tcW w:w="2337" w:type="dxa"/>
          </w:tcPr>
          <w:p w14:paraId="09AD5EC4" w14:textId="5BA16F92" w:rsidR="00AF27C8" w:rsidRPr="004A30FF" w:rsidRDefault="001733F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750114</w:t>
            </w:r>
          </w:p>
        </w:tc>
        <w:tc>
          <w:tcPr>
            <w:tcW w:w="2337" w:type="dxa"/>
          </w:tcPr>
          <w:p w14:paraId="5B1941AB" w14:textId="1F4A835A" w:rsidR="00AF27C8" w:rsidRPr="004A30FF" w:rsidRDefault="00DF17F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ДГ „Осми март“ гр. Радомир</w:t>
            </w:r>
          </w:p>
        </w:tc>
        <w:tc>
          <w:tcPr>
            <w:tcW w:w="2338" w:type="dxa"/>
          </w:tcPr>
          <w:p w14:paraId="72F92D5C" w14:textId="43C51ABC" w:rsidR="00AF27C8" w:rsidRPr="004A30FF" w:rsidRDefault="005E49DC"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5C4E265F" w14:textId="73BC0F77" w:rsidR="00AF27C8" w:rsidRPr="004A30FF" w:rsidRDefault="009E064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4,24</w:t>
            </w:r>
          </w:p>
        </w:tc>
      </w:tr>
      <w:tr w:rsidR="00AF27C8" w:rsidRPr="004A30FF" w14:paraId="69709E63" w14:textId="77777777" w:rsidTr="00DE3257">
        <w:tc>
          <w:tcPr>
            <w:tcW w:w="2337" w:type="dxa"/>
          </w:tcPr>
          <w:p w14:paraId="7DE16AE6" w14:textId="055ECD1C" w:rsidR="00AF27C8" w:rsidRPr="004A30FF" w:rsidRDefault="001733F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7522</w:t>
            </w:r>
          </w:p>
        </w:tc>
        <w:tc>
          <w:tcPr>
            <w:tcW w:w="2337" w:type="dxa"/>
          </w:tcPr>
          <w:p w14:paraId="4BCEFCC1" w14:textId="08D8FD37" w:rsidR="00AF27C8" w:rsidRPr="004A30FF" w:rsidRDefault="00E51DAC"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Касови трансфери от/за бюджети на бю</w:t>
            </w:r>
            <w:r w:rsidR="0004675C" w:rsidRPr="004A30FF">
              <w:rPr>
                <w:rFonts w:ascii="Times New Roman" w:hAnsi="Times New Roman" w:cs="Times New Roman"/>
                <w:sz w:val="24"/>
                <w:szCs w:val="24"/>
              </w:rPr>
              <w:t>джетни организации</w:t>
            </w:r>
          </w:p>
        </w:tc>
        <w:tc>
          <w:tcPr>
            <w:tcW w:w="2338" w:type="dxa"/>
          </w:tcPr>
          <w:p w14:paraId="5EC3540C" w14:textId="08E7E670" w:rsidR="00AF27C8" w:rsidRPr="004A30FF" w:rsidRDefault="005E49DC"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7,500.00</w:t>
            </w:r>
          </w:p>
        </w:tc>
        <w:tc>
          <w:tcPr>
            <w:tcW w:w="2338" w:type="dxa"/>
          </w:tcPr>
          <w:p w14:paraId="067C4BB2" w14:textId="02D9088D" w:rsidR="00AF27C8" w:rsidRPr="004A30FF" w:rsidRDefault="009E064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6954DC30" w14:textId="06B81E35" w:rsidR="00DC1683" w:rsidRPr="004A30FF" w:rsidRDefault="0004675C"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662,166.34</w:t>
      </w:r>
      <w:r w:rsidR="00E45069" w:rsidRPr="004A30FF">
        <w:rPr>
          <w:rFonts w:ascii="Times New Roman" w:hAnsi="Times New Roman" w:cs="Times New Roman"/>
          <w:sz w:val="24"/>
          <w:szCs w:val="24"/>
        </w:rPr>
        <w:t xml:space="preserve">                    662,166.34</w:t>
      </w:r>
    </w:p>
    <w:p w14:paraId="719E7159" w14:textId="4AABEFD6" w:rsidR="00E45069" w:rsidRPr="004A30FF" w:rsidRDefault="00E45069"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w:t>
      </w:r>
    </w:p>
    <w:tbl>
      <w:tblPr>
        <w:tblStyle w:val="TableGrid0"/>
        <w:tblW w:w="0" w:type="auto"/>
        <w:tblLook w:val="04A0" w:firstRow="1" w:lastRow="0" w:firstColumn="1" w:lastColumn="0" w:noHBand="0" w:noVBand="1"/>
      </w:tblPr>
      <w:tblGrid>
        <w:gridCol w:w="2337"/>
        <w:gridCol w:w="2337"/>
        <w:gridCol w:w="2338"/>
        <w:gridCol w:w="2338"/>
      </w:tblGrid>
      <w:tr w:rsidR="00CA7A77" w:rsidRPr="004A30FF" w14:paraId="3AFF8297" w14:textId="77777777" w:rsidTr="009E31E5">
        <w:tc>
          <w:tcPr>
            <w:tcW w:w="2337" w:type="dxa"/>
          </w:tcPr>
          <w:p w14:paraId="4A53F3CC" w14:textId="77777777" w:rsidR="00CA7A77" w:rsidRPr="004A30FF" w:rsidRDefault="00CA7A7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60104</w:t>
            </w:r>
          </w:p>
          <w:p w14:paraId="3516AF6A" w14:textId="6B6B5679" w:rsidR="00CA7A77" w:rsidRPr="004A30FF" w:rsidRDefault="00CA7A7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42545617" w14:textId="3668A0F9" w:rsidR="00CA7A77" w:rsidRPr="004A30FF" w:rsidRDefault="00CA7A7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вода</w:t>
            </w:r>
          </w:p>
        </w:tc>
        <w:tc>
          <w:tcPr>
            <w:tcW w:w="2338" w:type="dxa"/>
          </w:tcPr>
          <w:p w14:paraId="38778F5E" w14:textId="28497910" w:rsidR="00CA7A77" w:rsidRPr="004A30FF" w:rsidRDefault="00CA7A7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60104 и кредита на сметката в лева</w:t>
            </w:r>
          </w:p>
        </w:tc>
        <w:tc>
          <w:tcPr>
            <w:tcW w:w="2338" w:type="dxa"/>
          </w:tcPr>
          <w:p w14:paraId="5DC3C8E9" w14:textId="7E79AB10" w:rsidR="00CA7A77" w:rsidRPr="004A30FF" w:rsidRDefault="00CA7A7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60104 и дебита на сметката в лева</w:t>
            </w:r>
          </w:p>
        </w:tc>
      </w:tr>
      <w:tr w:rsidR="00CA7A77" w:rsidRPr="004A30FF" w14:paraId="359D8D34" w14:textId="77777777" w:rsidTr="009E31E5">
        <w:tc>
          <w:tcPr>
            <w:tcW w:w="2337" w:type="dxa"/>
          </w:tcPr>
          <w:p w14:paraId="77419C91" w14:textId="0870EFAB" w:rsidR="00CA7A77" w:rsidRPr="004A30FF" w:rsidRDefault="00CA7A7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4010</w:t>
            </w:r>
          </w:p>
        </w:tc>
        <w:tc>
          <w:tcPr>
            <w:tcW w:w="2337" w:type="dxa"/>
          </w:tcPr>
          <w:p w14:paraId="2B204BFB" w14:textId="2D28F508" w:rsidR="00CA7A77" w:rsidRPr="004A30FF" w:rsidRDefault="00CA7A7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Задължения към доставчици в лева</w:t>
            </w:r>
          </w:p>
        </w:tc>
        <w:tc>
          <w:tcPr>
            <w:tcW w:w="2338" w:type="dxa"/>
          </w:tcPr>
          <w:p w14:paraId="110FA5D7" w14:textId="3CE966F7" w:rsidR="00CA7A77" w:rsidRPr="004A30FF" w:rsidRDefault="00205295"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5,240.21</w:t>
            </w:r>
          </w:p>
        </w:tc>
        <w:tc>
          <w:tcPr>
            <w:tcW w:w="2338" w:type="dxa"/>
          </w:tcPr>
          <w:p w14:paraId="2059F1CA" w14:textId="512E5DE1" w:rsidR="00CA7A77" w:rsidRPr="004A30FF" w:rsidRDefault="00205295"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r w:rsidR="00CA7A77" w:rsidRPr="004A30FF" w14:paraId="2B727866" w14:textId="77777777" w:rsidTr="009E31E5">
        <w:tc>
          <w:tcPr>
            <w:tcW w:w="2337" w:type="dxa"/>
          </w:tcPr>
          <w:p w14:paraId="783ECDEB" w14:textId="73DA9AC8" w:rsidR="00CA7A77" w:rsidRPr="004A30FF" w:rsidRDefault="00CA7A7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5013</w:t>
            </w:r>
          </w:p>
        </w:tc>
        <w:tc>
          <w:tcPr>
            <w:tcW w:w="2337" w:type="dxa"/>
          </w:tcPr>
          <w:p w14:paraId="1C6E9BE5" w14:textId="02676949" w:rsidR="00CA7A77" w:rsidRPr="004A30FF" w:rsidRDefault="00CA7A7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Текущи банкови сметки в лева</w:t>
            </w:r>
          </w:p>
        </w:tc>
        <w:tc>
          <w:tcPr>
            <w:tcW w:w="2338" w:type="dxa"/>
          </w:tcPr>
          <w:p w14:paraId="5A5F6CD7" w14:textId="4E8D242A" w:rsidR="00CA7A77" w:rsidRPr="004A30FF" w:rsidRDefault="00205295"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-1,580.02</w:t>
            </w:r>
          </w:p>
        </w:tc>
        <w:tc>
          <w:tcPr>
            <w:tcW w:w="2338" w:type="dxa"/>
          </w:tcPr>
          <w:p w14:paraId="19DF6D58" w14:textId="2C4A7E8A" w:rsidR="00CA7A77" w:rsidRPr="004A30FF" w:rsidRDefault="00205295"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3C9B3F92" w14:textId="503D966A" w:rsidR="009E31E5" w:rsidRPr="004A30FF" w:rsidRDefault="00176696"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3,660.19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w:t>
      </w:r>
    </w:p>
    <w:p w14:paraId="7C3375B5" w14:textId="09326A8B" w:rsidR="00176696" w:rsidRPr="004A30FF" w:rsidRDefault="00176696"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Крайно салдо в лева</w:t>
      </w:r>
      <w:r w:rsidR="006861B8" w:rsidRPr="004A30FF">
        <w:rPr>
          <w:rFonts w:ascii="Times New Roman" w:hAnsi="Times New Roman" w:cs="Times New Roman"/>
          <w:sz w:val="24"/>
          <w:szCs w:val="24"/>
        </w:rPr>
        <w:t xml:space="preserve">                                                   </w:t>
      </w:r>
      <w:r w:rsidR="00551A1A" w:rsidRPr="004A30FF">
        <w:rPr>
          <w:rFonts w:ascii="Times New Roman" w:hAnsi="Times New Roman" w:cs="Times New Roman"/>
          <w:sz w:val="24"/>
          <w:szCs w:val="24"/>
        </w:rPr>
        <w:t xml:space="preserve">                                       </w:t>
      </w:r>
      <w:r w:rsidR="006634D4" w:rsidRPr="004A30FF">
        <w:rPr>
          <w:rFonts w:ascii="Times New Roman" w:hAnsi="Times New Roman" w:cs="Times New Roman"/>
          <w:sz w:val="24"/>
          <w:szCs w:val="24"/>
        </w:rPr>
        <w:t xml:space="preserve">               </w:t>
      </w:r>
      <w:r w:rsidR="00551A1A" w:rsidRPr="004A30FF">
        <w:rPr>
          <w:rFonts w:ascii="Times New Roman" w:hAnsi="Times New Roman" w:cs="Times New Roman"/>
          <w:sz w:val="24"/>
          <w:szCs w:val="24"/>
        </w:rPr>
        <w:t xml:space="preserve"> -3,660</w:t>
      </w:r>
      <w:r w:rsidR="006634D4" w:rsidRPr="004A30FF">
        <w:rPr>
          <w:rFonts w:ascii="Times New Roman" w:hAnsi="Times New Roman" w:cs="Times New Roman"/>
          <w:sz w:val="24"/>
          <w:szCs w:val="24"/>
        </w:rPr>
        <w:t>.19</w:t>
      </w:r>
    </w:p>
    <w:tbl>
      <w:tblPr>
        <w:tblStyle w:val="TableGrid0"/>
        <w:tblW w:w="0" w:type="auto"/>
        <w:tblLook w:val="04A0" w:firstRow="1" w:lastRow="0" w:firstColumn="1" w:lastColumn="0" w:noHBand="0" w:noVBand="1"/>
      </w:tblPr>
      <w:tblGrid>
        <w:gridCol w:w="2337"/>
        <w:gridCol w:w="2337"/>
        <w:gridCol w:w="2338"/>
        <w:gridCol w:w="2338"/>
      </w:tblGrid>
      <w:tr w:rsidR="003652F2" w:rsidRPr="004A30FF" w14:paraId="1A30CF2A" w14:textId="77777777" w:rsidTr="00A967D6">
        <w:tc>
          <w:tcPr>
            <w:tcW w:w="2337" w:type="dxa"/>
          </w:tcPr>
          <w:p w14:paraId="48D2835E" w14:textId="77777777" w:rsidR="003652F2" w:rsidRPr="004A30FF" w:rsidRDefault="003652F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60105</w:t>
            </w:r>
          </w:p>
          <w:p w14:paraId="3826EE2A" w14:textId="06151B0B" w:rsidR="003652F2" w:rsidRPr="004A30FF" w:rsidRDefault="003652F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488BA284" w14:textId="7C3E091D" w:rsidR="003652F2" w:rsidRPr="004A30FF" w:rsidRDefault="003652F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ел.енергия</w:t>
            </w:r>
          </w:p>
        </w:tc>
        <w:tc>
          <w:tcPr>
            <w:tcW w:w="2338" w:type="dxa"/>
          </w:tcPr>
          <w:p w14:paraId="2FE672F4" w14:textId="71C719BD" w:rsidR="003652F2" w:rsidRPr="004A30FF" w:rsidRDefault="003652F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60105 и кредита на сметката в лева</w:t>
            </w:r>
          </w:p>
        </w:tc>
        <w:tc>
          <w:tcPr>
            <w:tcW w:w="2338" w:type="dxa"/>
          </w:tcPr>
          <w:p w14:paraId="36D4BBAE" w14:textId="42C87254" w:rsidR="003652F2" w:rsidRPr="004A30FF" w:rsidRDefault="003652F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6010</w:t>
            </w:r>
            <w:r w:rsidR="00D46395" w:rsidRPr="004A30FF">
              <w:rPr>
                <w:rFonts w:ascii="Times New Roman" w:hAnsi="Times New Roman" w:cs="Times New Roman"/>
                <w:sz w:val="24"/>
                <w:szCs w:val="24"/>
              </w:rPr>
              <w:t>5</w:t>
            </w:r>
            <w:r w:rsidRPr="004A30FF">
              <w:rPr>
                <w:rFonts w:ascii="Times New Roman" w:hAnsi="Times New Roman" w:cs="Times New Roman"/>
                <w:sz w:val="24"/>
                <w:szCs w:val="24"/>
              </w:rPr>
              <w:t xml:space="preserve"> и дебита на сметката в лева</w:t>
            </w:r>
          </w:p>
        </w:tc>
      </w:tr>
      <w:tr w:rsidR="003652F2" w:rsidRPr="004A30FF" w14:paraId="37524522" w14:textId="77777777" w:rsidTr="00A967D6">
        <w:tc>
          <w:tcPr>
            <w:tcW w:w="2337" w:type="dxa"/>
          </w:tcPr>
          <w:p w14:paraId="5D8846A3" w14:textId="432BBBF0" w:rsidR="003652F2" w:rsidRPr="004A30FF" w:rsidRDefault="003652F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4010</w:t>
            </w:r>
          </w:p>
        </w:tc>
        <w:tc>
          <w:tcPr>
            <w:tcW w:w="2337" w:type="dxa"/>
          </w:tcPr>
          <w:p w14:paraId="500AC6E3" w14:textId="0D936C32" w:rsidR="003652F2" w:rsidRPr="004A30FF" w:rsidRDefault="003652F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Задължения към доставчици в страната</w:t>
            </w:r>
          </w:p>
        </w:tc>
        <w:tc>
          <w:tcPr>
            <w:tcW w:w="2338" w:type="dxa"/>
          </w:tcPr>
          <w:p w14:paraId="487CCCFA" w14:textId="7FCD1956" w:rsidR="003652F2" w:rsidRPr="004A30FF" w:rsidRDefault="003652F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14,838.80</w:t>
            </w:r>
          </w:p>
        </w:tc>
        <w:tc>
          <w:tcPr>
            <w:tcW w:w="2338" w:type="dxa"/>
          </w:tcPr>
          <w:p w14:paraId="76D07CD7" w14:textId="2A6D98DC" w:rsidR="003652F2" w:rsidRPr="004A30FF" w:rsidRDefault="003652F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r w:rsidR="003652F2" w:rsidRPr="004A30FF" w14:paraId="2507C4DA" w14:textId="77777777" w:rsidTr="00A967D6">
        <w:tc>
          <w:tcPr>
            <w:tcW w:w="2337" w:type="dxa"/>
          </w:tcPr>
          <w:p w14:paraId="6A32FB19" w14:textId="0D0A5E9E" w:rsidR="003652F2" w:rsidRPr="004A30FF" w:rsidRDefault="003652F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5013</w:t>
            </w:r>
          </w:p>
        </w:tc>
        <w:tc>
          <w:tcPr>
            <w:tcW w:w="2337" w:type="dxa"/>
          </w:tcPr>
          <w:p w14:paraId="40D7CE71" w14:textId="141EBF84" w:rsidR="003652F2" w:rsidRPr="004A30FF" w:rsidRDefault="003652F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Текущи банкови сметки в лева</w:t>
            </w:r>
          </w:p>
        </w:tc>
        <w:tc>
          <w:tcPr>
            <w:tcW w:w="2338" w:type="dxa"/>
          </w:tcPr>
          <w:p w14:paraId="32178F28" w14:textId="60915EF7" w:rsidR="003652F2" w:rsidRPr="004A30FF" w:rsidRDefault="003652F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-3,515.89</w:t>
            </w:r>
          </w:p>
        </w:tc>
        <w:tc>
          <w:tcPr>
            <w:tcW w:w="2338" w:type="dxa"/>
          </w:tcPr>
          <w:p w14:paraId="4CDBBDA8" w14:textId="51CF1B21" w:rsidR="003652F2" w:rsidRPr="004A30FF" w:rsidRDefault="003652F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48A60E37" w14:textId="4339378B" w:rsidR="00551A1A" w:rsidRPr="004A30FF" w:rsidRDefault="00D46395"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11,322.91 </w:t>
      </w:r>
      <w:r w:rsidR="009279D5" w:rsidRPr="004A30FF">
        <w:rPr>
          <w:rFonts w:ascii="Times New Roman" w:hAnsi="Times New Roman" w:cs="Times New Roman"/>
          <w:sz w:val="24"/>
          <w:szCs w:val="24"/>
        </w:rPr>
        <w:t xml:space="preserve">           </w:t>
      </w:r>
      <w:r w:rsidR="006634D4" w:rsidRPr="004A30FF">
        <w:rPr>
          <w:rFonts w:ascii="Times New Roman" w:hAnsi="Times New Roman" w:cs="Times New Roman"/>
          <w:sz w:val="24"/>
          <w:szCs w:val="24"/>
        </w:rPr>
        <w:t xml:space="preserve">         </w:t>
      </w:r>
      <w:r w:rsidR="009279D5" w:rsidRPr="004A30FF">
        <w:rPr>
          <w:rFonts w:ascii="Times New Roman" w:hAnsi="Times New Roman" w:cs="Times New Roman"/>
          <w:sz w:val="24"/>
          <w:szCs w:val="24"/>
        </w:rPr>
        <w:t xml:space="preserve">            0,00</w:t>
      </w:r>
    </w:p>
    <w:p w14:paraId="1CE4542A" w14:textId="4FEC852E" w:rsidR="009279D5" w:rsidRPr="004A30FF" w:rsidRDefault="009279D5"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lastRenderedPageBreak/>
        <w:t xml:space="preserve">Крайно салдо в лева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w:t>
      </w:r>
      <w:r w:rsidR="00F255DB" w:rsidRPr="004A30FF">
        <w:rPr>
          <w:rFonts w:ascii="Times New Roman" w:hAnsi="Times New Roman" w:cs="Times New Roman"/>
          <w:sz w:val="24"/>
          <w:szCs w:val="24"/>
        </w:rPr>
        <w:t>11,322.91</w:t>
      </w:r>
    </w:p>
    <w:tbl>
      <w:tblPr>
        <w:tblStyle w:val="TableGrid0"/>
        <w:tblW w:w="0" w:type="auto"/>
        <w:tblLook w:val="04A0" w:firstRow="1" w:lastRow="0" w:firstColumn="1" w:lastColumn="0" w:noHBand="0" w:noVBand="1"/>
      </w:tblPr>
      <w:tblGrid>
        <w:gridCol w:w="2337"/>
        <w:gridCol w:w="2337"/>
        <w:gridCol w:w="2338"/>
        <w:gridCol w:w="2338"/>
      </w:tblGrid>
      <w:tr w:rsidR="007A2B51" w:rsidRPr="004A30FF" w14:paraId="2E2A42D2" w14:textId="77777777" w:rsidTr="00F255DB">
        <w:tc>
          <w:tcPr>
            <w:tcW w:w="2337" w:type="dxa"/>
          </w:tcPr>
          <w:p w14:paraId="200FB309" w14:textId="77777777" w:rsidR="007A2B51" w:rsidRPr="004A30FF" w:rsidRDefault="007A2B5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60108</w:t>
            </w:r>
          </w:p>
          <w:p w14:paraId="00835720" w14:textId="0E2EB634" w:rsidR="007A2B51" w:rsidRPr="004A30FF" w:rsidRDefault="007A2B5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49B21754" w14:textId="43BAA3A4" w:rsidR="007A2B51" w:rsidRPr="004A30FF" w:rsidRDefault="007A2B5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Природен газ за отопление</w:t>
            </w:r>
          </w:p>
        </w:tc>
        <w:tc>
          <w:tcPr>
            <w:tcW w:w="2338" w:type="dxa"/>
          </w:tcPr>
          <w:p w14:paraId="5035CDE7" w14:textId="3DA07CBB" w:rsidR="007A2B51" w:rsidRPr="004A30FF" w:rsidRDefault="007A2B5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60108 и кредита на сметката в лева</w:t>
            </w:r>
          </w:p>
        </w:tc>
        <w:tc>
          <w:tcPr>
            <w:tcW w:w="2338" w:type="dxa"/>
          </w:tcPr>
          <w:p w14:paraId="3B28FACC" w14:textId="6A5217A1" w:rsidR="007A2B51" w:rsidRPr="004A30FF" w:rsidRDefault="007A2B5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60108 и дебита на сметката в лева</w:t>
            </w:r>
          </w:p>
        </w:tc>
      </w:tr>
      <w:tr w:rsidR="007A2B51" w:rsidRPr="004A30FF" w14:paraId="5016BFE3" w14:textId="77777777" w:rsidTr="00F255DB">
        <w:tc>
          <w:tcPr>
            <w:tcW w:w="2337" w:type="dxa"/>
          </w:tcPr>
          <w:p w14:paraId="26523C8B" w14:textId="201649B2" w:rsidR="007A2B51" w:rsidRPr="004A30FF" w:rsidRDefault="007A2B5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4010</w:t>
            </w:r>
          </w:p>
        </w:tc>
        <w:tc>
          <w:tcPr>
            <w:tcW w:w="2337" w:type="dxa"/>
          </w:tcPr>
          <w:p w14:paraId="3BE97A8F" w14:textId="339ECB66" w:rsidR="007A2B51" w:rsidRPr="004A30FF" w:rsidRDefault="007A2B5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Задължения към доставчици в страната</w:t>
            </w:r>
          </w:p>
        </w:tc>
        <w:tc>
          <w:tcPr>
            <w:tcW w:w="2338" w:type="dxa"/>
          </w:tcPr>
          <w:p w14:paraId="070FA688" w14:textId="0100EF17" w:rsidR="007A2B51" w:rsidRPr="004A30FF" w:rsidRDefault="00DE486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16,845.97</w:t>
            </w:r>
          </w:p>
        </w:tc>
        <w:tc>
          <w:tcPr>
            <w:tcW w:w="2338" w:type="dxa"/>
          </w:tcPr>
          <w:p w14:paraId="7E745611" w14:textId="004C99AA" w:rsidR="007A2B51" w:rsidRPr="004A30FF" w:rsidRDefault="00DE486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r w:rsidR="007A2B51" w:rsidRPr="004A30FF" w14:paraId="5CB6CD45" w14:textId="77777777" w:rsidTr="00F255DB">
        <w:tc>
          <w:tcPr>
            <w:tcW w:w="2337" w:type="dxa"/>
          </w:tcPr>
          <w:p w14:paraId="13CC4F18" w14:textId="0620C6E5" w:rsidR="007A2B51" w:rsidRPr="004A30FF" w:rsidRDefault="007A2B5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5013</w:t>
            </w:r>
          </w:p>
        </w:tc>
        <w:tc>
          <w:tcPr>
            <w:tcW w:w="2337" w:type="dxa"/>
          </w:tcPr>
          <w:p w14:paraId="20030737" w14:textId="59A65F09" w:rsidR="007A2B51" w:rsidRPr="004A30FF" w:rsidRDefault="007A2B5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Текущи банкови сметки в лева</w:t>
            </w:r>
          </w:p>
        </w:tc>
        <w:tc>
          <w:tcPr>
            <w:tcW w:w="2338" w:type="dxa"/>
          </w:tcPr>
          <w:p w14:paraId="2F388500" w14:textId="10E43295" w:rsidR="007A2B51" w:rsidRPr="004A30FF" w:rsidRDefault="00DE486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3,408.38</w:t>
            </w:r>
          </w:p>
        </w:tc>
        <w:tc>
          <w:tcPr>
            <w:tcW w:w="2338" w:type="dxa"/>
          </w:tcPr>
          <w:p w14:paraId="2653176F" w14:textId="5EE3AF4B" w:rsidR="007A2B51" w:rsidRPr="004A30FF" w:rsidRDefault="00DE486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434EBA11" w14:textId="6442A437" w:rsidR="00F255DB" w:rsidRPr="004A30FF" w:rsidRDefault="00DE4862"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20,254.35</w:t>
      </w:r>
      <w:r w:rsidR="00E76D42" w:rsidRPr="004A30FF">
        <w:rPr>
          <w:rFonts w:ascii="Times New Roman" w:hAnsi="Times New Roman" w:cs="Times New Roman"/>
          <w:sz w:val="24"/>
          <w:szCs w:val="24"/>
        </w:rPr>
        <w:t xml:space="preserve">                        0,00</w:t>
      </w:r>
    </w:p>
    <w:p w14:paraId="50159F5D" w14:textId="2221EB73" w:rsidR="00E76D42" w:rsidRPr="004A30FF" w:rsidRDefault="00E76D42"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20,254.35</w:t>
      </w:r>
    </w:p>
    <w:tbl>
      <w:tblPr>
        <w:tblStyle w:val="TableGrid0"/>
        <w:tblW w:w="0" w:type="auto"/>
        <w:tblLook w:val="04A0" w:firstRow="1" w:lastRow="0" w:firstColumn="1" w:lastColumn="0" w:noHBand="0" w:noVBand="1"/>
      </w:tblPr>
      <w:tblGrid>
        <w:gridCol w:w="2337"/>
        <w:gridCol w:w="2337"/>
        <w:gridCol w:w="2338"/>
        <w:gridCol w:w="2338"/>
      </w:tblGrid>
      <w:tr w:rsidR="00337E26" w:rsidRPr="004A30FF" w14:paraId="63EBE80A" w14:textId="77777777" w:rsidTr="002F794A">
        <w:tc>
          <w:tcPr>
            <w:tcW w:w="2337" w:type="dxa"/>
          </w:tcPr>
          <w:p w14:paraId="06D7B84D" w14:textId="77777777" w:rsidR="00337E26" w:rsidRPr="004A30FF" w:rsidRDefault="00337E2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6012</w:t>
            </w:r>
          </w:p>
          <w:p w14:paraId="770D19AE" w14:textId="46D30DB3" w:rsidR="00337E26" w:rsidRPr="004A30FF" w:rsidRDefault="00337E2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4C9F1FB9" w14:textId="4E86D7C8" w:rsidR="00337E26" w:rsidRPr="004A30FF" w:rsidRDefault="00337E2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храна</w:t>
            </w:r>
          </w:p>
        </w:tc>
        <w:tc>
          <w:tcPr>
            <w:tcW w:w="2338" w:type="dxa"/>
          </w:tcPr>
          <w:p w14:paraId="0F90CB42" w14:textId="1D5F51CB" w:rsidR="00337E26" w:rsidRPr="004A30FF" w:rsidRDefault="00337E2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6012 и кредита на сметката в лева</w:t>
            </w:r>
          </w:p>
        </w:tc>
        <w:tc>
          <w:tcPr>
            <w:tcW w:w="2338" w:type="dxa"/>
          </w:tcPr>
          <w:p w14:paraId="40D26EA8" w14:textId="127919FC" w:rsidR="00337E26" w:rsidRPr="004A30FF" w:rsidRDefault="00337E2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6012 и дебита на сметката в лева</w:t>
            </w:r>
          </w:p>
        </w:tc>
      </w:tr>
      <w:tr w:rsidR="00337E26" w:rsidRPr="004A30FF" w14:paraId="7A549580" w14:textId="77777777" w:rsidTr="002F794A">
        <w:tc>
          <w:tcPr>
            <w:tcW w:w="2337" w:type="dxa"/>
          </w:tcPr>
          <w:p w14:paraId="6C31ACA2" w14:textId="51D1797E" w:rsidR="00337E26" w:rsidRPr="004A30FF" w:rsidRDefault="00337E2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30201</w:t>
            </w:r>
          </w:p>
        </w:tc>
        <w:tc>
          <w:tcPr>
            <w:tcW w:w="2337" w:type="dxa"/>
          </w:tcPr>
          <w:p w14:paraId="48B8BD5C" w14:textId="0CDF59CB" w:rsidR="00337E26" w:rsidRPr="004A30FF" w:rsidRDefault="00337E2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Храна</w:t>
            </w:r>
          </w:p>
        </w:tc>
        <w:tc>
          <w:tcPr>
            <w:tcW w:w="2338" w:type="dxa"/>
          </w:tcPr>
          <w:p w14:paraId="72454BA9" w14:textId="036D5593" w:rsidR="00337E26" w:rsidRPr="004A30FF" w:rsidRDefault="00337E2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26,154.57</w:t>
            </w:r>
          </w:p>
        </w:tc>
        <w:tc>
          <w:tcPr>
            <w:tcW w:w="2338" w:type="dxa"/>
          </w:tcPr>
          <w:p w14:paraId="6774790B" w14:textId="18A03671" w:rsidR="00337E26" w:rsidRPr="004A30FF" w:rsidRDefault="00337E2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r w:rsidR="00337E26" w:rsidRPr="004A30FF" w14:paraId="378FDABD" w14:textId="77777777" w:rsidTr="002F794A">
        <w:tc>
          <w:tcPr>
            <w:tcW w:w="2337" w:type="dxa"/>
          </w:tcPr>
          <w:p w14:paraId="19F84F08" w14:textId="7CDF212C" w:rsidR="00337E26" w:rsidRPr="004A30FF" w:rsidRDefault="00337E2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4010</w:t>
            </w:r>
          </w:p>
        </w:tc>
        <w:tc>
          <w:tcPr>
            <w:tcW w:w="2337" w:type="dxa"/>
          </w:tcPr>
          <w:p w14:paraId="65FC9F60" w14:textId="3BFEB3B7" w:rsidR="00337E26" w:rsidRPr="004A30FF" w:rsidRDefault="00337E2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Задължения към доставчици в страната</w:t>
            </w:r>
          </w:p>
        </w:tc>
        <w:tc>
          <w:tcPr>
            <w:tcW w:w="2338" w:type="dxa"/>
          </w:tcPr>
          <w:p w14:paraId="277B0BEE" w14:textId="2B7E10ED" w:rsidR="00337E26" w:rsidRPr="004A30FF" w:rsidRDefault="00337E2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1,156.40</w:t>
            </w:r>
          </w:p>
        </w:tc>
        <w:tc>
          <w:tcPr>
            <w:tcW w:w="2338" w:type="dxa"/>
          </w:tcPr>
          <w:p w14:paraId="36856C13" w14:textId="6AD9EA6D" w:rsidR="00337E26" w:rsidRPr="004A30FF" w:rsidRDefault="00337E2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r w:rsidR="00337E26" w:rsidRPr="004A30FF" w14:paraId="016BBAE3" w14:textId="77777777" w:rsidTr="002F794A">
        <w:tc>
          <w:tcPr>
            <w:tcW w:w="2337" w:type="dxa"/>
          </w:tcPr>
          <w:p w14:paraId="24C7433A" w14:textId="76268DBB" w:rsidR="00337E26" w:rsidRPr="004A30FF" w:rsidRDefault="00337E2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5011</w:t>
            </w:r>
          </w:p>
        </w:tc>
        <w:tc>
          <w:tcPr>
            <w:tcW w:w="2337" w:type="dxa"/>
          </w:tcPr>
          <w:p w14:paraId="0B6AD540" w14:textId="3FB9F232" w:rsidR="00337E26" w:rsidRPr="004A30FF" w:rsidRDefault="00337E2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Касови наличности в лева</w:t>
            </w:r>
          </w:p>
        </w:tc>
        <w:tc>
          <w:tcPr>
            <w:tcW w:w="2338" w:type="dxa"/>
          </w:tcPr>
          <w:p w14:paraId="1C83AF2D" w14:textId="05040DF7" w:rsidR="00337E26" w:rsidRPr="004A30FF" w:rsidRDefault="00337E2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-832.74</w:t>
            </w:r>
          </w:p>
        </w:tc>
        <w:tc>
          <w:tcPr>
            <w:tcW w:w="2338" w:type="dxa"/>
          </w:tcPr>
          <w:p w14:paraId="02E40A4C" w14:textId="0627A420" w:rsidR="00337E26" w:rsidRPr="004A30FF" w:rsidRDefault="00337E2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1E135879" w14:textId="44BD1745" w:rsidR="00E76D42" w:rsidRPr="004A30FF" w:rsidRDefault="00CE4C87"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w:t>
      </w:r>
      <w:r w:rsidR="00772743" w:rsidRPr="004A30FF">
        <w:rPr>
          <w:rFonts w:ascii="Times New Roman" w:hAnsi="Times New Roman" w:cs="Times New Roman"/>
          <w:sz w:val="24"/>
          <w:szCs w:val="24"/>
        </w:rPr>
        <w:t xml:space="preserve">обороти за периода                            </w:t>
      </w:r>
      <w:r w:rsidR="006634D4" w:rsidRPr="004A30FF">
        <w:rPr>
          <w:rFonts w:ascii="Times New Roman" w:hAnsi="Times New Roman" w:cs="Times New Roman"/>
          <w:sz w:val="24"/>
          <w:szCs w:val="24"/>
        </w:rPr>
        <w:t xml:space="preserve">                   </w:t>
      </w:r>
      <w:r w:rsidR="00772743" w:rsidRPr="004A30FF">
        <w:rPr>
          <w:rFonts w:ascii="Times New Roman" w:hAnsi="Times New Roman" w:cs="Times New Roman"/>
          <w:sz w:val="24"/>
          <w:szCs w:val="24"/>
        </w:rPr>
        <w:t xml:space="preserve">      26,478.23     </w:t>
      </w:r>
      <w:r w:rsidR="006634D4" w:rsidRPr="004A30FF">
        <w:rPr>
          <w:rFonts w:ascii="Times New Roman" w:hAnsi="Times New Roman" w:cs="Times New Roman"/>
          <w:sz w:val="24"/>
          <w:szCs w:val="24"/>
        </w:rPr>
        <w:t xml:space="preserve">  </w:t>
      </w:r>
      <w:r w:rsidR="00772743" w:rsidRPr="004A30FF">
        <w:rPr>
          <w:rFonts w:ascii="Times New Roman" w:hAnsi="Times New Roman" w:cs="Times New Roman"/>
          <w:sz w:val="24"/>
          <w:szCs w:val="24"/>
        </w:rPr>
        <w:t xml:space="preserve">                   0,00</w:t>
      </w:r>
    </w:p>
    <w:p w14:paraId="2AC81CA0" w14:textId="30889E93" w:rsidR="00772743" w:rsidRPr="004A30FF" w:rsidRDefault="00772743"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-26,478.23</w:t>
      </w:r>
    </w:p>
    <w:tbl>
      <w:tblPr>
        <w:tblStyle w:val="TableGrid0"/>
        <w:tblW w:w="0" w:type="auto"/>
        <w:tblLook w:val="04A0" w:firstRow="1" w:lastRow="0" w:firstColumn="1" w:lastColumn="0" w:noHBand="0" w:noVBand="1"/>
      </w:tblPr>
      <w:tblGrid>
        <w:gridCol w:w="2337"/>
        <w:gridCol w:w="2337"/>
        <w:gridCol w:w="2338"/>
        <w:gridCol w:w="2338"/>
      </w:tblGrid>
      <w:tr w:rsidR="00876CFB" w:rsidRPr="004A30FF" w14:paraId="64A53F39" w14:textId="77777777" w:rsidTr="003610CB">
        <w:tc>
          <w:tcPr>
            <w:tcW w:w="2337" w:type="dxa"/>
          </w:tcPr>
          <w:p w14:paraId="5794EBC6" w14:textId="77777777" w:rsidR="00876CFB" w:rsidRPr="004A30FF" w:rsidRDefault="00876CF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6014</w:t>
            </w:r>
          </w:p>
          <w:p w14:paraId="0BCFD67A" w14:textId="6323F5CF" w:rsidR="00876CFB" w:rsidRPr="004A30FF" w:rsidRDefault="00876CF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3F63CC74" w14:textId="1940ECEA" w:rsidR="00876CFB" w:rsidRPr="004A30FF" w:rsidRDefault="00876CF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учебни материали и помагала</w:t>
            </w:r>
          </w:p>
        </w:tc>
        <w:tc>
          <w:tcPr>
            <w:tcW w:w="2338" w:type="dxa"/>
          </w:tcPr>
          <w:p w14:paraId="72A75894" w14:textId="1DE159D4" w:rsidR="00876CFB" w:rsidRPr="004A30FF" w:rsidRDefault="00876CF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6014 и кредита на сметката в лева</w:t>
            </w:r>
          </w:p>
        </w:tc>
        <w:tc>
          <w:tcPr>
            <w:tcW w:w="2338" w:type="dxa"/>
          </w:tcPr>
          <w:p w14:paraId="18FE08D3" w14:textId="53644249" w:rsidR="00876CFB" w:rsidRPr="004A30FF" w:rsidRDefault="00876CF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6014 и дебита на сметката в лева</w:t>
            </w:r>
          </w:p>
        </w:tc>
      </w:tr>
      <w:tr w:rsidR="00876CFB" w:rsidRPr="004A30FF" w14:paraId="7F9AC731" w14:textId="77777777" w:rsidTr="003610CB">
        <w:tc>
          <w:tcPr>
            <w:tcW w:w="2337" w:type="dxa"/>
          </w:tcPr>
          <w:p w14:paraId="32774CDE" w14:textId="71E80206" w:rsidR="00876CFB" w:rsidRPr="004A30FF" w:rsidRDefault="00876CF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4010</w:t>
            </w:r>
          </w:p>
        </w:tc>
        <w:tc>
          <w:tcPr>
            <w:tcW w:w="2337" w:type="dxa"/>
          </w:tcPr>
          <w:p w14:paraId="25CCAE5A" w14:textId="54EE7D80" w:rsidR="00876CFB" w:rsidRPr="004A30FF" w:rsidRDefault="00876CF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Задължения към доставчици в страната</w:t>
            </w:r>
          </w:p>
        </w:tc>
        <w:tc>
          <w:tcPr>
            <w:tcW w:w="2338" w:type="dxa"/>
          </w:tcPr>
          <w:p w14:paraId="38497409" w14:textId="2A2543D5" w:rsidR="00876CFB" w:rsidRPr="004A30FF" w:rsidRDefault="004D42F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3,535.68</w:t>
            </w:r>
          </w:p>
        </w:tc>
        <w:tc>
          <w:tcPr>
            <w:tcW w:w="2338" w:type="dxa"/>
          </w:tcPr>
          <w:p w14:paraId="74F53FBA" w14:textId="38F3CE50" w:rsidR="00876CFB" w:rsidRPr="004A30FF" w:rsidRDefault="004D42F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3B0D3CD6" w14:textId="0C9CE7F5" w:rsidR="004D42F6" w:rsidRPr="004A30FF" w:rsidRDefault="004D42F6"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w:t>
      </w:r>
      <w:r w:rsidR="007C7DE8" w:rsidRPr="004A30FF">
        <w:rPr>
          <w:rFonts w:ascii="Times New Roman" w:hAnsi="Times New Roman" w:cs="Times New Roman"/>
          <w:sz w:val="24"/>
          <w:szCs w:val="24"/>
        </w:rPr>
        <w:t xml:space="preserve">периода                              </w:t>
      </w:r>
      <w:r w:rsidR="006634D4" w:rsidRPr="004A30FF">
        <w:rPr>
          <w:rFonts w:ascii="Times New Roman" w:hAnsi="Times New Roman" w:cs="Times New Roman"/>
          <w:sz w:val="24"/>
          <w:szCs w:val="24"/>
        </w:rPr>
        <w:t xml:space="preserve">                    </w:t>
      </w:r>
      <w:r w:rsidR="007C7DE8" w:rsidRPr="004A30FF">
        <w:rPr>
          <w:rFonts w:ascii="Times New Roman" w:hAnsi="Times New Roman" w:cs="Times New Roman"/>
          <w:sz w:val="24"/>
          <w:szCs w:val="24"/>
        </w:rPr>
        <w:t xml:space="preserve">    3,535.68        </w:t>
      </w:r>
      <w:r w:rsidR="006634D4" w:rsidRPr="004A30FF">
        <w:rPr>
          <w:rFonts w:ascii="Times New Roman" w:hAnsi="Times New Roman" w:cs="Times New Roman"/>
          <w:sz w:val="24"/>
          <w:szCs w:val="24"/>
        </w:rPr>
        <w:t xml:space="preserve">        </w:t>
      </w:r>
      <w:r w:rsidR="007C7DE8" w:rsidRPr="004A30FF">
        <w:rPr>
          <w:rFonts w:ascii="Times New Roman" w:hAnsi="Times New Roman" w:cs="Times New Roman"/>
          <w:sz w:val="24"/>
          <w:szCs w:val="24"/>
        </w:rPr>
        <w:t xml:space="preserve">                0,00</w:t>
      </w:r>
    </w:p>
    <w:p w14:paraId="2A037461" w14:textId="75C08F2B" w:rsidR="00772743" w:rsidRPr="004A30FF" w:rsidRDefault="004D42F6"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lastRenderedPageBreak/>
        <w:t>Крайно салдо в лева</w:t>
      </w:r>
      <w:r w:rsidR="007C7DE8" w:rsidRPr="004A30FF">
        <w:rPr>
          <w:rFonts w:ascii="Times New Roman" w:hAnsi="Times New Roman" w:cs="Times New Roman"/>
          <w:sz w:val="24"/>
          <w:szCs w:val="24"/>
        </w:rPr>
        <w:t xml:space="preserve">                                             </w:t>
      </w:r>
      <w:r w:rsidR="006634D4" w:rsidRPr="004A30FF">
        <w:rPr>
          <w:rFonts w:ascii="Times New Roman" w:hAnsi="Times New Roman" w:cs="Times New Roman"/>
          <w:sz w:val="24"/>
          <w:szCs w:val="24"/>
        </w:rPr>
        <w:t xml:space="preserve">                     </w:t>
      </w:r>
      <w:r w:rsidR="007C7DE8" w:rsidRPr="004A30FF">
        <w:rPr>
          <w:rFonts w:ascii="Times New Roman" w:hAnsi="Times New Roman" w:cs="Times New Roman"/>
          <w:sz w:val="24"/>
          <w:szCs w:val="24"/>
        </w:rPr>
        <w:t>3,535.68</w:t>
      </w:r>
    </w:p>
    <w:tbl>
      <w:tblPr>
        <w:tblStyle w:val="TableGrid0"/>
        <w:tblW w:w="0" w:type="auto"/>
        <w:tblLook w:val="04A0" w:firstRow="1" w:lastRow="0" w:firstColumn="1" w:lastColumn="0" w:noHBand="0" w:noVBand="1"/>
      </w:tblPr>
      <w:tblGrid>
        <w:gridCol w:w="2337"/>
        <w:gridCol w:w="2337"/>
        <w:gridCol w:w="2338"/>
        <w:gridCol w:w="2338"/>
      </w:tblGrid>
      <w:tr w:rsidR="00F123F0" w:rsidRPr="004A30FF" w14:paraId="43B5822C" w14:textId="77777777" w:rsidTr="00D475D5">
        <w:tc>
          <w:tcPr>
            <w:tcW w:w="2337" w:type="dxa"/>
          </w:tcPr>
          <w:p w14:paraId="45A1A070" w14:textId="77777777" w:rsidR="00F123F0" w:rsidRPr="004A30FF" w:rsidRDefault="00F123F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6015</w:t>
            </w:r>
          </w:p>
          <w:p w14:paraId="37923FDA" w14:textId="002DFA97" w:rsidR="00F123F0" w:rsidRPr="004A30FF" w:rsidRDefault="00F123F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00A8662A" w14:textId="6140665F" w:rsidR="00F123F0" w:rsidRPr="004A30FF" w:rsidRDefault="00F123F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постелен инвентар и работно облекло</w:t>
            </w:r>
          </w:p>
        </w:tc>
        <w:tc>
          <w:tcPr>
            <w:tcW w:w="2338" w:type="dxa"/>
          </w:tcPr>
          <w:p w14:paraId="5764162C" w14:textId="6930AE9F" w:rsidR="00F123F0" w:rsidRPr="004A30FF" w:rsidRDefault="00F123F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6015 и кредита на сметката в лева</w:t>
            </w:r>
          </w:p>
        </w:tc>
        <w:tc>
          <w:tcPr>
            <w:tcW w:w="2338" w:type="dxa"/>
          </w:tcPr>
          <w:p w14:paraId="35B389AD" w14:textId="473D09CB" w:rsidR="00F123F0" w:rsidRPr="004A30FF" w:rsidRDefault="00F123F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6015 и дебита на сметката в лева</w:t>
            </w:r>
          </w:p>
        </w:tc>
      </w:tr>
      <w:tr w:rsidR="00F123F0" w:rsidRPr="004A30FF" w14:paraId="15EB35B3" w14:textId="77777777" w:rsidTr="00D475D5">
        <w:tc>
          <w:tcPr>
            <w:tcW w:w="2337" w:type="dxa"/>
          </w:tcPr>
          <w:p w14:paraId="254FA109" w14:textId="553D3A35" w:rsidR="00F123F0" w:rsidRPr="004A30FF" w:rsidRDefault="00F123F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5013</w:t>
            </w:r>
          </w:p>
        </w:tc>
        <w:tc>
          <w:tcPr>
            <w:tcW w:w="2337" w:type="dxa"/>
          </w:tcPr>
          <w:p w14:paraId="7AE1A1F2" w14:textId="51D4E80D" w:rsidR="00F123F0" w:rsidRPr="004A30FF" w:rsidRDefault="00F123F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Текущи банкови сметки в лева</w:t>
            </w:r>
          </w:p>
        </w:tc>
        <w:tc>
          <w:tcPr>
            <w:tcW w:w="2338" w:type="dxa"/>
          </w:tcPr>
          <w:p w14:paraId="3D0EAC49" w14:textId="15BF6931" w:rsidR="00F123F0" w:rsidRPr="004A30FF" w:rsidRDefault="00F123F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3,025.00</w:t>
            </w:r>
          </w:p>
        </w:tc>
        <w:tc>
          <w:tcPr>
            <w:tcW w:w="2338" w:type="dxa"/>
          </w:tcPr>
          <w:p w14:paraId="76F45198" w14:textId="54D16E4E" w:rsidR="00F123F0" w:rsidRPr="004A30FF" w:rsidRDefault="00F123F0"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7EE2F198" w14:textId="6822FEF8" w:rsidR="00D475D5" w:rsidRPr="004A30FF" w:rsidRDefault="004D54D4"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В</w:t>
      </w:r>
      <w:r w:rsidR="00F123F0" w:rsidRPr="004A30FF">
        <w:rPr>
          <w:rFonts w:ascii="Times New Roman" w:hAnsi="Times New Roman" w:cs="Times New Roman"/>
          <w:sz w:val="24"/>
          <w:szCs w:val="24"/>
        </w:rPr>
        <w:t>си</w:t>
      </w:r>
      <w:r w:rsidRPr="004A30FF">
        <w:rPr>
          <w:rFonts w:ascii="Times New Roman" w:hAnsi="Times New Roman" w:cs="Times New Roman"/>
          <w:sz w:val="24"/>
          <w:szCs w:val="24"/>
        </w:rPr>
        <w:t xml:space="preserve">чко обороти за периода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3,025.00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w:t>
      </w:r>
    </w:p>
    <w:p w14:paraId="4849E227" w14:textId="6D56B254" w:rsidR="004D54D4" w:rsidRPr="004A30FF" w:rsidRDefault="004D54D4"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6634D4" w:rsidRPr="004A30FF">
        <w:rPr>
          <w:rFonts w:ascii="Times New Roman" w:hAnsi="Times New Roman" w:cs="Times New Roman"/>
          <w:sz w:val="24"/>
          <w:szCs w:val="24"/>
        </w:rPr>
        <w:t xml:space="preserve">                      </w:t>
      </w:r>
      <w:r w:rsidR="00336CA2" w:rsidRPr="004A30FF">
        <w:rPr>
          <w:rFonts w:ascii="Times New Roman" w:hAnsi="Times New Roman" w:cs="Times New Roman"/>
          <w:sz w:val="24"/>
          <w:szCs w:val="24"/>
        </w:rPr>
        <w:t>3,025.00</w:t>
      </w:r>
    </w:p>
    <w:tbl>
      <w:tblPr>
        <w:tblStyle w:val="TableGrid0"/>
        <w:tblW w:w="0" w:type="auto"/>
        <w:tblLook w:val="04A0" w:firstRow="1" w:lastRow="0" w:firstColumn="1" w:lastColumn="0" w:noHBand="0" w:noVBand="1"/>
      </w:tblPr>
      <w:tblGrid>
        <w:gridCol w:w="2337"/>
        <w:gridCol w:w="2337"/>
        <w:gridCol w:w="2338"/>
        <w:gridCol w:w="2338"/>
      </w:tblGrid>
      <w:tr w:rsidR="00AA7FF7" w:rsidRPr="004A30FF" w14:paraId="4CC7121D" w14:textId="77777777" w:rsidTr="00BB5FD1">
        <w:tc>
          <w:tcPr>
            <w:tcW w:w="2337" w:type="dxa"/>
          </w:tcPr>
          <w:p w14:paraId="7418721E" w14:textId="77777777" w:rsidR="00AA7FF7" w:rsidRPr="004A30FF" w:rsidRDefault="00AA7FF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 xml:space="preserve">Сметка 6019 </w:t>
            </w:r>
          </w:p>
          <w:p w14:paraId="00F24F4B" w14:textId="6886CC34" w:rsidR="00AA7FF7" w:rsidRPr="004A30FF" w:rsidRDefault="00AA7FF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6AD8A990" w14:textId="003EC593" w:rsidR="00AA7FF7" w:rsidRPr="004A30FF" w:rsidRDefault="00AA7FF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други материали</w:t>
            </w:r>
          </w:p>
        </w:tc>
        <w:tc>
          <w:tcPr>
            <w:tcW w:w="2338" w:type="dxa"/>
          </w:tcPr>
          <w:p w14:paraId="14EDF7CC" w14:textId="60AB5E56" w:rsidR="00AA7FF7" w:rsidRPr="004A30FF" w:rsidRDefault="00AA7FF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601</w:t>
            </w:r>
            <w:r w:rsidR="0006181C" w:rsidRPr="004A30FF">
              <w:rPr>
                <w:rFonts w:ascii="Times New Roman" w:hAnsi="Times New Roman" w:cs="Times New Roman"/>
                <w:sz w:val="24"/>
                <w:szCs w:val="24"/>
              </w:rPr>
              <w:t>9</w:t>
            </w:r>
            <w:r w:rsidRPr="004A30FF">
              <w:rPr>
                <w:rFonts w:ascii="Times New Roman" w:hAnsi="Times New Roman" w:cs="Times New Roman"/>
                <w:sz w:val="24"/>
                <w:szCs w:val="24"/>
              </w:rPr>
              <w:t xml:space="preserve"> и кредита на сметката в лева</w:t>
            </w:r>
          </w:p>
        </w:tc>
        <w:tc>
          <w:tcPr>
            <w:tcW w:w="2338" w:type="dxa"/>
          </w:tcPr>
          <w:p w14:paraId="0847FD24" w14:textId="5333A53F" w:rsidR="00AA7FF7" w:rsidRPr="004A30FF" w:rsidRDefault="00AA7FF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601</w:t>
            </w:r>
            <w:r w:rsidR="0006181C" w:rsidRPr="004A30FF">
              <w:rPr>
                <w:rFonts w:ascii="Times New Roman" w:hAnsi="Times New Roman" w:cs="Times New Roman"/>
                <w:sz w:val="24"/>
                <w:szCs w:val="24"/>
              </w:rPr>
              <w:t>9</w:t>
            </w:r>
            <w:r w:rsidRPr="004A30FF">
              <w:rPr>
                <w:rFonts w:ascii="Times New Roman" w:hAnsi="Times New Roman" w:cs="Times New Roman"/>
                <w:sz w:val="24"/>
                <w:szCs w:val="24"/>
              </w:rPr>
              <w:t xml:space="preserve"> и дебита на сметката в лева</w:t>
            </w:r>
          </w:p>
        </w:tc>
      </w:tr>
      <w:tr w:rsidR="00AA7FF7" w:rsidRPr="004A30FF" w14:paraId="33886FCA" w14:textId="77777777" w:rsidTr="00BB5FD1">
        <w:tc>
          <w:tcPr>
            <w:tcW w:w="2337" w:type="dxa"/>
          </w:tcPr>
          <w:p w14:paraId="0C0EB9AE" w14:textId="08486C70" w:rsidR="00AA7FF7" w:rsidRPr="004A30FF" w:rsidRDefault="00AA7FF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4010</w:t>
            </w:r>
          </w:p>
        </w:tc>
        <w:tc>
          <w:tcPr>
            <w:tcW w:w="2337" w:type="dxa"/>
          </w:tcPr>
          <w:p w14:paraId="2BF60534" w14:textId="54F4423A" w:rsidR="00AA7FF7" w:rsidRPr="004A30FF" w:rsidRDefault="00AA7FF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Задължения към доставчици в страната</w:t>
            </w:r>
          </w:p>
        </w:tc>
        <w:tc>
          <w:tcPr>
            <w:tcW w:w="2338" w:type="dxa"/>
          </w:tcPr>
          <w:p w14:paraId="18327030" w14:textId="550358D6" w:rsidR="00AA7FF7" w:rsidRPr="004A30FF" w:rsidRDefault="00AA7FF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5,256.55</w:t>
            </w:r>
          </w:p>
        </w:tc>
        <w:tc>
          <w:tcPr>
            <w:tcW w:w="2338" w:type="dxa"/>
          </w:tcPr>
          <w:p w14:paraId="6206A22C" w14:textId="668F90A9" w:rsidR="00AA7FF7" w:rsidRPr="004A30FF" w:rsidRDefault="00AA7FF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r w:rsidR="00AA7FF7" w:rsidRPr="004A30FF" w14:paraId="06608E71" w14:textId="77777777" w:rsidTr="00BB5FD1">
        <w:tc>
          <w:tcPr>
            <w:tcW w:w="2337" w:type="dxa"/>
          </w:tcPr>
          <w:p w14:paraId="14357140" w14:textId="766BC25F" w:rsidR="00AA7FF7" w:rsidRPr="004A30FF" w:rsidRDefault="00AA7FF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5011</w:t>
            </w:r>
          </w:p>
        </w:tc>
        <w:tc>
          <w:tcPr>
            <w:tcW w:w="2337" w:type="dxa"/>
          </w:tcPr>
          <w:p w14:paraId="6146680F" w14:textId="109FB755" w:rsidR="00AA7FF7" w:rsidRPr="004A30FF" w:rsidRDefault="00AA7FF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Касови наличности в лева</w:t>
            </w:r>
          </w:p>
        </w:tc>
        <w:tc>
          <w:tcPr>
            <w:tcW w:w="2338" w:type="dxa"/>
          </w:tcPr>
          <w:p w14:paraId="6512F00C" w14:textId="1040C902" w:rsidR="00AA7FF7" w:rsidRPr="004A30FF" w:rsidRDefault="00AA7FF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982.09</w:t>
            </w:r>
          </w:p>
        </w:tc>
        <w:tc>
          <w:tcPr>
            <w:tcW w:w="2338" w:type="dxa"/>
          </w:tcPr>
          <w:p w14:paraId="228FEC14" w14:textId="4A588E4E" w:rsidR="00AA7FF7" w:rsidRPr="004A30FF" w:rsidRDefault="00AA7FF7"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312F2A7B" w14:textId="48A44CE4" w:rsidR="00336CA2" w:rsidRPr="004A30FF" w:rsidRDefault="0006181C"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Всичко обороти за периода</w:t>
      </w:r>
      <w:r w:rsidR="00394E50" w:rsidRPr="004A30FF">
        <w:rPr>
          <w:rFonts w:ascii="Times New Roman" w:hAnsi="Times New Roman" w:cs="Times New Roman"/>
          <w:sz w:val="24"/>
          <w:szCs w:val="24"/>
        </w:rPr>
        <w:t xml:space="preserve">                          </w:t>
      </w:r>
      <w:r w:rsidR="006634D4" w:rsidRPr="004A30FF">
        <w:rPr>
          <w:rFonts w:ascii="Times New Roman" w:hAnsi="Times New Roman" w:cs="Times New Roman"/>
          <w:sz w:val="24"/>
          <w:szCs w:val="24"/>
        </w:rPr>
        <w:t xml:space="preserve">                     </w:t>
      </w:r>
      <w:r w:rsidR="00394E50" w:rsidRPr="004A30FF">
        <w:rPr>
          <w:rFonts w:ascii="Times New Roman" w:hAnsi="Times New Roman" w:cs="Times New Roman"/>
          <w:sz w:val="24"/>
          <w:szCs w:val="24"/>
        </w:rPr>
        <w:t xml:space="preserve">        </w:t>
      </w:r>
      <w:r w:rsidR="0025224D" w:rsidRPr="004A30FF">
        <w:rPr>
          <w:rFonts w:ascii="Times New Roman" w:hAnsi="Times New Roman" w:cs="Times New Roman"/>
          <w:sz w:val="24"/>
          <w:szCs w:val="24"/>
        </w:rPr>
        <w:t xml:space="preserve">6,238.64               </w:t>
      </w:r>
      <w:r w:rsidR="006634D4" w:rsidRPr="004A30FF">
        <w:rPr>
          <w:rFonts w:ascii="Times New Roman" w:hAnsi="Times New Roman" w:cs="Times New Roman"/>
          <w:sz w:val="24"/>
          <w:szCs w:val="24"/>
        </w:rPr>
        <w:t xml:space="preserve">        </w:t>
      </w:r>
      <w:r w:rsidR="0025224D" w:rsidRPr="004A30FF">
        <w:rPr>
          <w:rFonts w:ascii="Times New Roman" w:hAnsi="Times New Roman" w:cs="Times New Roman"/>
          <w:sz w:val="24"/>
          <w:szCs w:val="24"/>
        </w:rPr>
        <w:t xml:space="preserve">         0,00</w:t>
      </w:r>
    </w:p>
    <w:p w14:paraId="4BE96A48" w14:textId="27D2EF4C" w:rsidR="0025224D" w:rsidRPr="004A30FF" w:rsidRDefault="005961A2"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6,238.64</w:t>
      </w:r>
    </w:p>
    <w:tbl>
      <w:tblPr>
        <w:tblStyle w:val="TableGrid0"/>
        <w:tblW w:w="0" w:type="auto"/>
        <w:tblLook w:val="04A0" w:firstRow="1" w:lastRow="0" w:firstColumn="1" w:lastColumn="0" w:noHBand="0" w:noVBand="1"/>
      </w:tblPr>
      <w:tblGrid>
        <w:gridCol w:w="2337"/>
        <w:gridCol w:w="2337"/>
        <w:gridCol w:w="2338"/>
        <w:gridCol w:w="2338"/>
      </w:tblGrid>
      <w:tr w:rsidR="002B6232" w:rsidRPr="004A30FF" w14:paraId="5E63F2F7" w14:textId="77777777" w:rsidTr="00C0195A">
        <w:tc>
          <w:tcPr>
            <w:tcW w:w="2337" w:type="dxa"/>
          </w:tcPr>
          <w:p w14:paraId="0458B8C8" w14:textId="77777777" w:rsidR="002B6232" w:rsidRPr="004A30FF" w:rsidRDefault="002B623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6021</w:t>
            </w:r>
          </w:p>
          <w:p w14:paraId="27376F2C" w14:textId="18258BF1" w:rsidR="002B6232" w:rsidRPr="004A30FF" w:rsidRDefault="002B623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14B0B5C4" w14:textId="0A6A75FE" w:rsidR="002B6232" w:rsidRPr="004A30FF" w:rsidRDefault="002B623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текущ ремонт</w:t>
            </w:r>
          </w:p>
        </w:tc>
        <w:tc>
          <w:tcPr>
            <w:tcW w:w="2338" w:type="dxa"/>
          </w:tcPr>
          <w:p w14:paraId="5A39DE51" w14:textId="096CE8F9" w:rsidR="002B6232" w:rsidRPr="004A30FF" w:rsidRDefault="002B623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60</w:t>
            </w:r>
            <w:r w:rsidR="00F45B2D" w:rsidRPr="004A30FF">
              <w:rPr>
                <w:rFonts w:ascii="Times New Roman" w:hAnsi="Times New Roman" w:cs="Times New Roman"/>
                <w:sz w:val="24"/>
                <w:szCs w:val="24"/>
              </w:rPr>
              <w:t>2</w:t>
            </w:r>
            <w:r w:rsidRPr="004A30FF">
              <w:rPr>
                <w:rFonts w:ascii="Times New Roman" w:hAnsi="Times New Roman" w:cs="Times New Roman"/>
                <w:sz w:val="24"/>
                <w:szCs w:val="24"/>
              </w:rPr>
              <w:t>1 и кредита на сметката в лева</w:t>
            </w:r>
          </w:p>
        </w:tc>
        <w:tc>
          <w:tcPr>
            <w:tcW w:w="2338" w:type="dxa"/>
          </w:tcPr>
          <w:p w14:paraId="7912B984" w14:textId="4E0827F6" w:rsidR="002B6232" w:rsidRPr="004A30FF" w:rsidRDefault="002B623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60</w:t>
            </w:r>
            <w:r w:rsidR="00F45B2D" w:rsidRPr="004A30FF">
              <w:rPr>
                <w:rFonts w:ascii="Times New Roman" w:hAnsi="Times New Roman" w:cs="Times New Roman"/>
                <w:sz w:val="24"/>
                <w:szCs w:val="24"/>
              </w:rPr>
              <w:t>2</w:t>
            </w:r>
            <w:r w:rsidRPr="004A30FF">
              <w:rPr>
                <w:rFonts w:ascii="Times New Roman" w:hAnsi="Times New Roman" w:cs="Times New Roman"/>
                <w:sz w:val="24"/>
                <w:szCs w:val="24"/>
              </w:rPr>
              <w:t>1 и дебита на сметката в лева</w:t>
            </w:r>
          </w:p>
        </w:tc>
      </w:tr>
      <w:tr w:rsidR="002B6232" w:rsidRPr="004A30FF" w14:paraId="7753FF21" w14:textId="77777777" w:rsidTr="00C0195A">
        <w:tc>
          <w:tcPr>
            <w:tcW w:w="2337" w:type="dxa"/>
          </w:tcPr>
          <w:p w14:paraId="3B6CCADE" w14:textId="6C0D4CF3" w:rsidR="002B6232" w:rsidRPr="004A30FF" w:rsidRDefault="002B623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4010</w:t>
            </w:r>
          </w:p>
        </w:tc>
        <w:tc>
          <w:tcPr>
            <w:tcW w:w="2337" w:type="dxa"/>
          </w:tcPr>
          <w:p w14:paraId="57AF7805" w14:textId="4FE2F902" w:rsidR="002B6232" w:rsidRPr="004A30FF" w:rsidRDefault="002B6232"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Задължения към доставчици в страната</w:t>
            </w:r>
          </w:p>
        </w:tc>
        <w:tc>
          <w:tcPr>
            <w:tcW w:w="2338" w:type="dxa"/>
          </w:tcPr>
          <w:p w14:paraId="019C3BB3" w14:textId="68A0CA7E" w:rsidR="002B6232" w:rsidRPr="004A30FF" w:rsidRDefault="00F45B2D"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5,445.22</w:t>
            </w:r>
          </w:p>
        </w:tc>
        <w:tc>
          <w:tcPr>
            <w:tcW w:w="2338" w:type="dxa"/>
          </w:tcPr>
          <w:p w14:paraId="61AAFA5F" w14:textId="3C94AB9E" w:rsidR="00F45B2D" w:rsidRPr="004A30FF" w:rsidRDefault="00F45B2D"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466AEF42" w14:textId="3DC46B4D" w:rsidR="005961A2" w:rsidRPr="004A30FF" w:rsidRDefault="002731B9"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5,445.22</w:t>
      </w:r>
      <w:r w:rsidR="006634D4" w:rsidRPr="004A30FF">
        <w:rPr>
          <w:rFonts w:ascii="Times New Roman" w:hAnsi="Times New Roman" w:cs="Times New Roman"/>
          <w:sz w:val="24"/>
          <w:szCs w:val="24"/>
        </w:rPr>
        <w:t xml:space="preserve">                                0,00</w:t>
      </w:r>
    </w:p>
    <w:p w14:paraId="2806B0DA" w14:textId="1B5E4E32" w:rsidR="002731B9" w:rsidRPr="004A30FF" w:rsidRDefault="002731B9"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w:t>
      </w:r>
      <w:r w:rsidR="007F3CC3" w:rsidRPr="004A30FF">
        <w:rPr>
          <w:rFonts w:ascii="Times New Roman" w:hAnsi="Times New Roman" w:cs="Times New Roman"/>
          <w:sz w:val="24"/>
          <w:szCs w:val="24"/>
        </w:rPr>
        <w:t>5,445.22</w:t>
      </w:r>
    </w:p>
    <w:tbl>
      <w:tblPr>
        <w:tblStyle w:val="TableGrid0"/>
        <w:tblW w:w="0" w:type="auto"/>
        <w:tblLook w:val="04A0" w:firstRow="1" w:lastRow="0" w:firstColumn="1" w:lastColumn="0" w:noHBand="0" w:noVBand="1"/>
      </w:tblPr>
      <w:tblGrid>
        <w:gridCol w:w="2320"/>
        <w:gridCol w:w="2384"/>
        <w:gridCol w:w="2323"/>
        <w:gridCol w:w="2323"/>
      </w:tblGrid>
      <w:tr w:rsidR="00CF1931" w:rsidRPr="004A30FF" w14:paraId="53C30F00" w14:textId="77777777" w:rsidTr="007F3CC3">
        <w:tc>
          <w:tcPr>
            <w:tcW w:w="2337" w:type="dxa"/>
          </w:tcPr>
          <w:p w14:paraId="7C0673A7" w14:textId="77777777" w:rsidR="00CF1931" w:rsidRPr="004A30FF" w:rsidRDefault="00CF193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lastRenderedPageBreak/>
              <w:t>Сметка 6023</w:t>
            </w:r>
          </w:p>
          <w:p w14:paraId="4D2EF2C4" w14:textId="4F61C03E" w:rsidR="00CF1931" w:rsidRPr="004A30FF" w:rsidRDefault="00CF193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1D242D76" w14:textId="7304C766" w:rsidR="00CF1931" w:rsidRPr="004A30FF" w:rsidRDefault="003D1EF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пощенски и телекомуникационни услуги</w:t>
            </w:r>
          </w:p>
        </w:tc>
        <w:tc>
          <w:tcPr>
            <w:tcW w:w="2338" w:type="dxa"/>
          </w:tcPr>
          <w:p w14:paraId="0FF0BCB2" w14:textId="4F3D0F37" w:rsidR="00CF1931" w:rsidRPr="004A30FF" w:rsidRDefault="00CF193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6023 и кредита на сметката в лева</w:t>
            </w:r>
          </w:p>
        </w:tc>
        <w:tc>
          <w:tcPr>
            <w:tcW w:w="2338" w:type="dxa"/>
          </w:tcPr>
          <w:p w14:paraId="2183AE51" w14:textId="10D5D9DC" w:rsidR="00CF1931" w:rsidRPr="004A30FF" w:rsidRDefault="00CF193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6023 и дебита на сметката в лева</w:t>
            </w:r>
          </w:p>
        </w:tc>
      </w:tr>
      <w:tr w:rsidR="00CF1931" w:rsidRPr="004A30FF" w14:paraId="6BE04621" w14:textId="77777777" w:rsidTr="007F3CC3">
        <w:tc>
          <w:tcPr>
            <w:tcW w:w="2337" w:type="dxa"/>
          </w:tcPr>
          <w:p w14:paraId="7D2347F7" w14:textId="1F3E399B" w:rsidR="00CF1931" w:rsidRPr="004A30FF" w:rsidRDefault="00CF193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4010</w:t>
            </w:r>
          </w:p>
        </w:tc>
        <w:tc>
          <w:tcPr>
            <w:tcW w:w="2337" w:type="dxa"/>
          </w:tcPr>
          <w:p w14:paraId="4D8CCE2F" w14:textId="5ED4329B" w:rsidR="00CF1931" w:rsidRPr="004A30FF" w:rsidRDefault="00CF193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Задължения към доставчици в страната</w:t>
            </w:r>
          </w:p>
        </w:tc>
        <w:tc>
          <w:tcPr>
            <w:tcW w:w="2338" w:type="dxa"/>
          </w:tcPr>
          <w:p w14:paraId="2DCEB9DE" w14:textId="638094F2" w:rsidR="00CF1931" w:rsidRPr="004A30FF" w:rsidRDefault="003D1EF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1,025.20</w:t>
            </w:r>
          </w:p>
        </w:tc>
        <w:tc>
          <w:tcPr>
            <w:tcW w:w="2338" w:type="dxa"/>
          </w:tcPr>
          <w:p w14:paraId="6EBD367D" w14:textId="7BBE6F9C" w:rsidR="00CF1931" w:rsidRPr="004A30FF" w:rsidRDefault="003D1EF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25E1D9B3" w14:textId="316394F0" w:rsidR="004D42F6" w:rsidRPr="004A30FF" w:rsidRDefault="00C20C9B"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1,025.20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w:t>
      </w:r>
    </w:p>
    <w:p w14:paraId="74173C29" w14:textId="40F69653" w:rsidR="00C20C9B" w:rsidRPr="004A30FF" w:rsidRDefault="00F352AB"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Крайно салдо в лева</w:t>
      </w:r>
      <w:r w:rsidR="00783D7B" w:rsidRPr="004A30FF">
        <w:rPr>
          <w:rFonts w:ascii="Times New Roman" w:hAnsi="Times New Roman" w:cs="Times New Roman"/>
          <w:sz w:val="24"/>
          <w:szCs w:val="24"/>
        </w:rPr>
        <w:t xml:space="preserve">                                         </w:t>
      </w:r>
      <w:r w:rsidR="006634D4" w:rsidRPr="004A30FF">
        <w:rPr>
          <w:rFonts w:ascii="Times New Roman" w:hAnsi="Times New Roman" w:cs="Times New Roman"/>
          <w:sz w:val="24"/>
          <w:szCs w:val="24"/>
        </w:rPr>
        <w:t xml:space="preserve">                    </w:t>
      </w:r>
      <w:r w:rsidR="00783D7B" w:rsidRPr="004A30FF">
        <w:rPr>
          <w:rFonts w:ascii="Times New Roman" w:hAnsi="Times New Roman" w:cs="Times New Roman"/>
          <w:sz w:val="24"/>
          <w:szCs w:val="24"/>
        </w:rPr>
        <w:t xml:space="preserve">      1,025.20</w:t>
      </w:r>
    </w:p>
    <w:tbl>
      <w:tblPr>
        <w:tblStyle w:val="TableGrid0"/>
        <w:tblW w:w="0" w:type="auto"/>
        <w:tblLook w:val="04A0" w:firstRow="1" w:lastRow="0" w:firstColumn="1" w:lastColumn="0" w:noHBand="0" w:noVBand="1"/>
      </w:tblPr>
      <w:tblGrid>
        <w:gridCol w:w="2337"/>
        <w:gridCol w:w="2337"/>
        <w:gridCol w:w="2338"/>
        <w:gridCol w:w="2338"/>
      </w:tblGrid>
      <w:tr w:rsidR="00267B7E" w:rsidRPr="004A30FF" w14:paraId="0AE2E2EA" w14:textId="77777777" w:rsidTr="00783D7B">
        <w:tc>
          <w:tcPr>
            <w:tcW w:w="2337" w:type="dxa"/>
          </w:tcPr>
          <w:p w14:paraId="36094569" w14:textId="77777777" w:rsidR="00267B7E" w:rsidRPr="004A30FF" w:rsidRDefault="00267B7E"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6025</w:t>
            </w:r>
          </w:p>
          <w:p w14:paraId="201FD923" w14:textId="5B823441" w:rsidR="00267B7E" w:rsidRPr="004A30FF" w:rsidRDefault="00267B7E"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00D9E4B7" w14:textId="2D50BFE3" w:rsidR="00267B7E" w:rsidRPr="004A30FF" w:rsidRDefault="00267B7E"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квалификация и преквалификация на персонал</w:t>
            </w:r>
          </w:p>
        </w:tc>
        <w:tc>
          <w:tcPr>
            <w:tcW w:w="2338" w:type="dxa"/>
          </w:tcPr>
          <w:p w14:paraId="42280185" w14:textId="3DA54284" w:rsidR="00267B7E" w:rsidRPr="004A30FF" w:rsidRDefault="00267B7E"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6025 и кредита на сметката в лева</w:t>
            </w:r>
          </w:p>
        </w:tc>
        <w:tc>
          <w:tcPr>
            <w:tcW w:w="2338" w:type="dxa"/>
          </w:tcPr>
          <w:p w14:paraId="13CF1846" w14:textId="736997CC" w:rsidR="00267B7E" w:rsidRPr="004A30FF" w:rsidRDefault="00267B7E"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6025 и дебита на сметката в лева</w:t>
            </w:r>
          </w:p>
        </w:tc>
      </w:tr>
      <w:tr w:rsidR="00267B7E" w:rsidRPr="004A30FF" w14:paraId="2A330B46" w14:textId="77777777" w:rsidTr="00783D7B">
        <w:tc>
          <w:tcPr>
            <w:tcW w:w="2337" w:type="dxa"/>
          </w:tcPr>
          <w:p w14:paraId="3D27E84D" w14:textId="0E9B3662" w:rsidR="00267B7E" w:rsidRPr="004A30FF" w:rsidRDefault="00267B7E"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4010</w:t>
            </w:r>
          </w:p>
        </w:tc>
        <w:tc>
          <w:tcPr>
            <w:tcW w:w="2337" w:type="dxa"/>
          </w:tcPr>
          <w:p w14:paraId="3F079BC7" w14:textId="5B29E0B8" w:rsidR="00267B7E" w:rsidRPr="004A30FF" w:rsidRDefault="00267B7E"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Задължения към доставчици в страната</w:t>
            </w:r>
          </w:p>
        </w:tc>
        <w:tc>
          <w:tcPr>
            <w:tcW w:w="2338" w:type="dxa"/>
          </w:tcPr>
          <w:p w14:paraId="21EFF7EA" w14:textId="13494B88" w:rsidR="00267B7E" w:rsidRPr="004A30FF" w:rsidRDefault="00FC0A44"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4,175.99</w:t>
            </w:r>
          </w:p>
        </w:tc>
        <w:tc>
          <w:tcPr>
            <w:tcW w:w="2338" w:type="dxa"/>
          </w:tcPr>
          <w:p w14:paraId="0E067E96" w14:textId="57259480" w:rsidR="00267B7E" w:rsidRPr="004A30FF" w:rsidRDefault="00FC0A44"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r w:rsidR="00267B7E" w:rsidRPr="004A30FF" w14:paraId="1BEFB1CD" w14:textId="77777777" w:rsidTr="00783D7B">
        <w:tc>
          <w:tcPr>
            <w:tcW w:w="2337" w:type="dxa"/>
          </w:tcPr>
          <w:p w14:paraId="03443A8D" w14:textId="34E7A503" w:rsidR="00267B7E" w:rsidRPr="004A30FF" w:rsidRDefault="00267B7E"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5011</w:t>
            </w:r>
          </w:p>
        </w:tc>
        <w:tc>
          <w:tcPr>
            <w:tcW w:w="2337" w:type="dxa"/>
          </w:tcPr>
          <w:p w14:paraId="6B86D696" w14:textId="42412871" w:rsidR="00267B7E" w:rsidRPr="004A30FF" w:rsidRDefault="00267B7E"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Касови наличности в лева</w:t>
            </w:r>
          </w:p>
        </w:tc>
        <w:tc>
          <w:tcPr>
            <w:tcW w:w="2338" w:type="dxa"/>
          </w:tcPr>
          <w:p w14:paraId="2EE32E82" w14:textId="2AF0D461" w:rsidR="00267B7E" w:rsidRPr="004A30FF" w:rsidRDefault="00FC0A44"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92.27</w:t>
            </w:r>
          </w:p>
        </w:tc>
        <w:tc>
          <w:tcPr>
            <w:tcW w:w="2338" w:type="dxa"/>
          </w:tcPr>
          <w:p w14:paraId="5C7BFEED" w14:textId="46F73F94" w:rsidR="00267B7E" w:rsidRPr="004A30FF" w:rsidRDefault="00FC0A44"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218EEA27" w14:textId="5C2E1E3E" w:rsidR="00783D7B" w:rsidRPr="004A30FF" w:rsidRDefault="00FC0A44"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4,268.26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w:t>
      </w:r>
    </w:p>
    <w:p w14:paraId="5F3171E0" w14:textId="5A8224DD" w:rsidR="00FC0A44" w:rsidRPr="004A30FF" w:rsidRDefault="008649AF"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4,268.26</w:t>
      </w:r>
    </w:p>
    <w:tbl>
      <w:tblPr>
        <w:tblStyle w:val="TableGrid0"/>
        <w:tblW w:w="0" w:type="auto"/>
        <w:tblLook w:val="04A0" w:firstRow="1" w:lastRow="0" w:firstColumn="1" w:lastColumn="0" w:noHBand="0" w:noVBand="1"/>
      </w:tblPr>
      <w:tblGrid>
        <w:gridCol w:w="2337"/>
        <w:gridCol w:w="2337"/>
        <w:gridCol w:w="2338"/>
        <w:gridCol w:w="2338"/>
      </w:tblGrid>
      <w:tr w:rsidR="007B1706" w:rsidRPr="004A30FF" w14:paraId="406136E1" w14:textId="77777777" w:rsidTr="007E4F25">
        <w:tc>
          <w:tcPr>
            <w:tcW w:w="2337" w:type="dxa"/>
          </w:tcPr>
          <w:p w14:paraId="787FB97D" w14:textId="77777777" w:rsidR="007B1706" w:rsidRPr="004A30FF" w:rsidRDefault="007B170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6026</w:t>
            </w:r>
          </w:p>
          <w:p w14:paraId="4EA99E07" w14:textId="3CDC499C" w:rsidR="007B1706" w:rsidRPr="004A30FF" w:rsidRDefault="007B170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5C204B68" w14:textId="5DDFAF5A" w:rsidR="007B1706" w:rsidRPr="004A30FF" w:rsidRDefault="0049067F"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поддръжка на софтуер/програми</w:t>
            </w:r>
          </w:p>
        </w:tc>
        <w:tc>
          <w:tcPr>
            <w:tcW w:w="2338" w:type="dxa"/>
          </w:tcPr>
          <w:p w14:paraId="5DF9BEF4" w14:textId="7067C9C9" w:rsidR="007B1706" w:rsidRPr="004A30FF" w:rsidRDefault="007B170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6026 и кредита на сметката в лева</w:t>
            </w:r>
          </w:p>
        </w:tc>
        <w:tc>
          <w:tcPr>
            <w:tcW w:w="2338" w:type="dxa"/>
          </w:tcPr>
          <w:p w14:paraId="511F7F3D" w14:textId="34A679A3" w:rsidR="007B1706" w:rsidRPr="004A30FF" w:rsidRDefault="007B170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6026 и дебита на сметката в лева</w:t>
            </w:r>
          </w:p>
        </w:tc>
      </w:tr>
      <w:tr w:rsidR="007B1706" w:rsidRPr="004A30FF" w14:paraId="3C711C86" w14:textId="77777777" w:rsidTr="007E4F25">
        <w:tc>
          <w:tcPr>
            <w:tcW w:w="2337" w:type="dxa"/>
          </w:tcPr>
          <w:p w14:paraId="6C8328E8" w14:textId="1C8EE3C3" w:rsidR="007B1706" w:rsidRPr="004A30FF" w:rsidRDefault="007B170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4010</w:t>
            </w:r>
          </w:p>
        </w:tc>
        <w:tc>
          <w:tcPr>
            <w:tcW w:w="2337" w:type="dxa"/>
          </w:tcPr>
          <w:p w14:paraId="7EC53DF2" w14:textId="349CA139" w:rsidR="007B1706" w:rsidRPr="004A30FF" w:rsidRDefault="007B170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Задължения към доставчици в страната</w:t>
            </w:r>
          </w:p>
        </w:tc>
        <w:tc>
          <w:tcPr>
            <w:tcW w:w="2338" w:type="dxa"/>
          </w:tcPr>
          <w:p w14:paraId="6FE65BE1" w14:textId="476BB292" w:rsidR="007B1706" w:rsidRPr="004A30FF" w:rsidRDefault="0008706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2,301.57</w:t>
            </w:r>
          </w:p>
        </w:tc>
        <w:tc>
          <w:tcPr>
            <w:tcW w:w="2338" w:type="dxa"/>
          </w:tcPr>
          <w:p w14:paraId="735FC763" w14:textId="001CB4B4" w:rsidR="007B1706" w:rsidRPr="004A30FF" w:rsidRDefault="0008706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r w:rsidR="007B1706" w:rsidRPr="004A30FF" w14:paraId="5A89E0FB" w14:textId="77777777" w:rsidTr="007E4F25">
        <w:tc>
          <w:tcPr>
            <w:tcW w:w="2337" w:type="dxa"/>
          </w:tcPr>
          <w:p w14:paraId="5A600863" w14:textId="7FB85E4C" w:rsidR="007B1706" w:rsidRPr="004A30FF" w:rsidRDefault="007B170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5011</w:t>
            </w:r>
          </w:p>
        </w:tc>
        <w:tc>
          <w:tcPr>
            <w:tcW w:w="2337" w:type="dxa"/>
          </w:tcPr>
          <w:p w14:paraId="312E9149" w14:textId="0621C16E" w:rsidR="007B1706" w:rsidRPr="004A30FF" w:rsidRDefault="007B1706"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Касови наличности в лева</w:t>
            </w:r>
          </w:p>
        </w:tc>
        <w:tc>
          <w:tcPr>
            <w:tcW w:w="2338" w:type="dxa"/>
          </w:tcPr>
          <w:p w14:paraId="628876C2" w14:textId="55CD2999" w:rsidR="007B1706" w:rsidRPr="004A30FF" w:rsidRDefault="0008706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24.50</w:t>
            </w:r>
          </w:p>
        </w:tc>
        <w:tc>
          <w:tcPr>
            <w:tcW w:w="2338" w:type="dxa"/>
          </w:tcPr>
          <w:p w14:paraId="2840D721" w14:textId="5857A70C" w:rsidR="007B1706" w:rsidRPr="004A30FF" w:rsidRDefault="00087061"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2A2F749B" w14:textId="4E28C26F" w:rsidR="008649AF" w:rsidRPr="004A30FF" w:rsidRDefault="00EF4599"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w:t>
      </w:r>
      <w:r w:rsidR="00EC7679" w:rsidRPr="004A30FF">
        <w:rPr>
          <w:rFonts w:ascii="Times New Roman" w:hAnsi="Times New Roman" w:cs="Times New Roman"/>
          <w:sz w:val="24"/>
          <w:szCs w:val="24"/>
        </w:rPr>
        <w:t xml:space="preserve">обороти за периода                         </w:t>
      </w:r>
      <w:r w:rsidR="006634D4" w:rsidRPr="004A30FF">
        <w:rPr>
          <w:rFonts w:ascii="Times New Roman" w:hAnsi="Times New Roman" w:cs="Times New Roman"/>
          <w:sz w:val="24"/>
          <w:szCs w:val="24"/>
        </w:rPr>
        <w:t xml:space="preserve">                      </w:t>
      </w:r>
      <w:r w:rsidR="00EC7679" w:rsidRPr="004A30FF">
        <w:rPr>
          <w:rFonts w:ascii="Times New Roman" w:hAnsi="Times New Roman" w:cs="Times New Roman"/>
          <w:sz w:val="24"/>
          <w:szCs w:val="24"/>
        </w:rPr>
        <w:t xml:space="preserve">        2,</w:t>
      </w:r>
      <w:r w:rsidR="00B25AB3" w:rsidRPr="004A30FF">
        <w:rPr>
          <w:rFonts w:ascii="Times New Roman" w:hAnsi="Times New Roman" w:cs="Times New Roman"/>
          <w:sz w:val="24"/>
          <w:szCs w:val="24"/>
        </w:rPr>
        <w:t xml:space="preserve">326.07            </w:t>
      </w:r>
      <w:r w:rsidR="006634D4" w:rsidRPr="004A30FF">
        <w:rPr>
          <w:rFonts w:ascii="Times New Roman" w:hAnsi="Times New Roman" w:cs="Times New Roman"/>
          <w:sz w:val="24"/>
          <w:szCs w:val="24"/>
        </w:rPr>
        <w:t xml:space="preserve">       </w:t>
      </w:r>
      <w:r w:rsidR="00B25AB3" w:rsidRPr="004A30FF">
        <w:rPr>
          <w:rFonts w:ascii="Times New Roman" w:hAnsi="Times New Roman" w:cs="Times New Roman"/>
          <w:sz w:val="24"/>
          <w:szCs w:val="24"/>
        </w:rPr>
        <w:t xml:space="preserve">             0,00</w:t>
      </w:r>
    </w:p>
    <w:p w14:paraId="31A2BBEE" w14:textId="7E182AC1" w:rsidR="00B25AB3" w:rsidRPr="004A30FF" w:rsidRDefault="00B25AB3"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lastRenderedPageBreak/>
        <w:t xml:space="preserve">Крайно салдо в лева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2,326.07</w:t>
      </w:r>
    </w:p>
    <w:tbl>
      <w:tblPr>
        <w:tblStyle w:val="TableGrid0"/>
        <w:tblW w:w="0" w:type="auto"/>
        <w:tblLook w:val="04A0" w:firstRow="1" w:lastRow="0" w:firstColumn="1" w:lastColumn="0" w:noHBand="0" w:noVBand="1"/>
      </w:tblPr>
      <w:tblGrid>
        <w:gridCol w:w="2337"/>
        <w:gridCol w:w="2337"/>
        <w:gridCol w:w="2338"/>
        <w:gridCol w:w="2338"/>
      </w:tblGrid>
      <w:tr w:rsidR="000B6C4C" w:rsidRPr="004A30FF" w14:paraId="54D8215A" w14:textId="77777777" w:rsidTr="004C582F">
        <w:tc>
          <w:tcPr>
            <w:tcW w:w="2337" w:type="dxa"/>
          </w:tcPr>
          <w:p w14:paraId="1282F4D8" w14:textId="77777777" w:rsidR="000B6C4C" w:rsidRPr="004A30FF" w:rsidRDefault="000B6C4C"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6028</w:t>
            </w:r>
          </w:p>
          <w:p w14:paraId="2B0BB0B2" w14:textId="16E70FEE" w:rsidR="000B6C4C" w:rsidRPr="004A30FF" w:rsidRDefault="000B6C4C"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7A867587" w14:textId="6E6E433A" w:rsidR="000B6C4C" w:rsidRPr="004A30FF" w:rsidRDefault="000B6C4C"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консултантски услуги</w:t>
            </w:r>
          </w:p>
        </w:tc>
        <w:tc>
          <w:tcPr>
            <w:tcW w:w="2338" w:type="dxa"/>
          </w:tcPr>
          <w:p w14:paraId="1357A638" w14:textId="1D8589E5" w:rsidR="000B6C4C" w:rsidRPr="004A30FF" w:rsidRDefault="000B6C4C"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602</w:t>
            </w:r>
            <w:r w:rsidR="00BE063F" w:rsidRPr="004A30FF">
              <w:rPr>
                <w:rFonts w:ascii="Times New Roman" w:hAnsi="Times New Roman" w:cs="Times New Roman"/>
                <w:sz w:val="24"/>
                <w:szCs w:val="24"/>
              </w:rPr>
              <w:t>8</w:t>
            </w:r>
            <w:r w:rsidRPr="004A30FF">
              <w:rPr>
                <w:rFonts w:ascii="Times New Roman" w:hAnsi="Times New Roman" w:cs="Times New Roman"/>
                <w:sz w:val="24"/>
                <w:szCs w:val="24"/>
              </w:rPr>
              <w:t xml:space="preserve"> и кредита на сметката в лева</w:t>
            </w:r>
          </w:p>
        </w:tc>
        <w:tc>
          <w:tcPr>
            <w:tcW w:w="2338" w:type="dxa"/>
          </w:tcPr>
          <w:p w14:paraId="249074A8" w14:textId="715D5074" w:rsidR="000B6C4C" w:rsidRPr="004A30FF" w:rsidRDefault="000B6C4C" w:rsidP="006634D4">
            <w:pPr>
              <w:jc w:val="right"/>
              <w:rPr>
                <w:rFonts w:ascii="Times New Roman" w:hAnsi="Times New Roman" w:cs="Times New Roman"/>
                <w:sz w:val="24"/>
                <w:szCs w:val="24"/>
              </w:rPr>
            </w:pPr>
            <w:r w:rsidRPr="004A30FF">
              <w:rPr>
                <w:rFonts w:ascii="Times New Roman" w:hAnsi="Times New Roman" w:cs="Times New Roman"/>
                <w:sz w:val="24"/>
                <w:szCs w:val="24"/>
              </w:rPr>
              <w:t>По кредита на 602</w:t>
            </w:r>
            <w:r w:rsidR="00BE063F" w:rsidRPr="004A30FF">
              <w:rPr>
                <w:rFonts w:ascii="Times New Roman" w:hAnsi="Times New Roman" w:cs="Times New Roman"/>
                <w:sz w:val="24"/>
                <w:szCs w:val="24"/>
              </w:rPr>
              <w:t>8</w:t>
            </w:r>
            <w:r w:rsidRPr="004A30FF">
              <w:rPr>
                <w:rFonts w:ascii="Times New Roman" w:hAnsi="Times New Roman" w:cs="Times New Roman"/>
                <w:sz w:val="24"/>
                <w:szCs w:val="24"/>
              </w:rPr>
              <w:t xml:space="preserve"> и дебита на сметката в лева</w:t>
            </w:r>
          </w:p>
        </w:tc>
      </w:tr>
      <w:tr w:rsidR="000B6C4C" w:rsidRPr="004A30FF" w14:paraId="0440B0A3" w14:textId="77777777" w:rsidTr="004C582F">
        <w:tc>
          <w:tcPr>
            <w:tcW w:w="2337" w:type="dxa"/>
          </w:tcPr>
          <w:p w14:paraId="02846F1D" w14:textId="1B3D1BAA" w:rsidR="000B6C4C" w:rsidRPr="004A30FF" w:rsidRDefault="000B6C4C"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4010</w:t>
            </w:r>
          </w:p>
        </w:tc>
        <w:tc>
          <w:tcPr>
            <w:tcW w:w="2337" w:type="dxa"/>
          </w:tcPr>
          <w:p w14:paraId="2DA750DA" w14:textId="1FC2CE0D" w:rsidR="000B6C4C" w:rsidRPr="004A30FF" w:rsidRDefault="000B6C4C"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Задължения към доставчици в страната</w:t>
            </w:r>
          </w:p>
        </w:tc>
        <w:tc>
          <w:tcPr>
            <w:tcW w:w="2338" w:type="dxa"/>
          </w:tcPr>
          <w:p w14:paraId="06D58036" w14:textId="6C5045A1" w:rsidR="000B6C4C" w:rsidRPr="004A30FF" w:rsidRDefault="004C582F"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1,620.00</w:t>
            </w:r>
          </w:p>
        </w:tc>
        <w:tc>
          <w:tcPr>
            <w:tcW w:w="2338" w:type="dxa"/>
          </w:tcPr>
          <w:p w14:paraId="47A446E6" w14:textId="36E9267E" w:rsidR="000B6C4C" w:rsidRPr="004A30FF" w:rsidRDefault="004C582F"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1E427CF7" w14:textId="2621008A" w:rsidR="00B25AB3" w:rsidRPr="004A30FF" w:rsidRDefault="000778A4"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В</w:t>
      </w:r>
      <w:r w:rsidR="004C582F" w:rsidRPr="004A30FF">
        <w:rPr>
          <w:rFonts w:ascii="Times New Roman" w:hAnsi="Times New Roman" w:cs="Times New Roman"/>
          <w:sz w:val="24"/>
          <w:szCs w:val="24"/>
        </w:rPr>
        <w:t>си</w:t>
      </w:r>
      <w:r w:rsidRPr="004A30FF">
        <w:rPr>
          <w:rFonts w:ascii="Times New Roman" w:hAnsi="Times New Roman" w:cs="Times New Roman"/>
          <w:sz w:val="24"/>
          <w:szCs w:val="24"/>
        </w:rPr>
        <w:t xml:space="preserve">чко обороти за периода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1,620.00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w:t>
      </w:r>
    </w:p>
    <w:p w14:paraId="67165870" w14:textId="263AE2EF" w:rsidR="000778A4" w:rsidRPr="004A30FF" w:rsidRDefault="000778A4"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Крайно салдо</w:t>
      </w:r>
      <w:r w:rsidR="00A40F3D" w:rsidRPr="004A30FF">
        <w:rPr>
          <w:rFonts w:ascii="Times New Roman" w:hAnsi="Times New Roman" w:cs="Times New Roman"/>
          <w:sz w:val="24"/>
          <w:szCs w:val="24"/>
        </w:rPr>
        <w:t xml:space="preserve"> в лева                                             </w:t>
      </w:r>
      <w:r w:rsidR="006634D4" w:rsidRPr="004A30FF">
        <w:rPr>
          <w:rFonts w:ascii="Times New Roman" w:hAnsi="Times New Roman" w:cs="Times New Roman"/>
          <w:sz w:val="24"/>
          <w:szCs w:val="24"/>
        </w:rPr>
        <w:t xml:space="preserve">                   </w:t>
      </w:r>
      <w:r w:rsidR="00A40F3D" w:rsidRPr="004A30FF">
        <w:rPr>
          <w:rFonts w:ascii="Times New Roman" w:hAnsi="Times New Roman" w:cs="Times New Roman"/>
          <w:sz w:val="24"/>
          <w:szCs w:val="24"/>
        </w:rPr>
        <w:t xml:space="preserve">  1,620.00</w:t>
      </w:r>
    </w:p>
    <w:tbl>
      <w:tblPr>
        <w:tblStyle w:val="TableGrid0"/>
        <w:tblW w:w="0" w:type="auto"/>
        <w:tblLook w:val="04A0" w:firstRow="1" w:lastRow="0" w:firstColumn="1" w:lastColumn="0" w:noHBand="0" w:noVBand="1"/>
      </w:tblPr>
      <w:tblGrid>
        <w:gridCol w:w="2337"/>
        <w:gridCol w:w="2337"/>
        <w:gridCol w:w="2338"/>
        <w:gridCol w:w="2338"/>
      </w:tblGrid>
      <w:tr w:rsidR="00C74BFB" w:rsidRPr="004A30FF" w14:paraId="16E3FF21" w14:textId="77777777" w:rsidTr="00BE063F">
        <w:tc>
          <w:tcPr>
            <w:tcW w:w="2337" w:type="dxa"/>
          </w:tcPr>
          <w:p w14:paraId="0C6E1E07" w14:textId="77777777" w:rsidR="00C74BFB" w:rsidRPr="004A30FF" w:rsidRDefault="00C74BF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6029</w:t>
            </w:r>
          </w:p>
          <w:p w14:paraId="21E644DA" w14:textId="42C5002C" w:rsidR="00C74BFB" w:rsidRPr="004A30FF" w:rsidRDefault="00C74BF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19EC1646" w14:textId="62E13468" w:rsidR="00C74BFB" w:rsidRPr="004A30FF" w:rsidRDefault="00CE1AF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Други разходи за външни услуги</w:t>
            </w:r>
          </w:p>
        </w:tc>
        <w:tc>
          <w:tcPr>
            <w:tcW w:w="2338" w:type="dxa"/>
          </w:tcPr>
          <w:p w14:paraId="111F32F4" w14:textId="5B317203" w:rsidR="00C74BFB" w:rsidRPr="004A30FF" w:rsidRDefault="00C74BF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6029 и кредита на сметката в лева</w:t>
            </w:r>
          </w:p>
        </w:tc>
        <w:tc>
          <w:tcPr>
            <w:tcW w:w="2338" w:type="dxa"/>
          </w:tcPr>
          <w:p w14:paraId="74F284F7" w14:textId="6DC47B3B" w:rsidR="00C74BFB" w:rsidRPr="004A30FF" w:rsidRDefault="00C74BF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6029 и дебита на сметката в лева</w:t>
            </w:r>
          </w:p>
        </w:tc>
      </w:tr>
      <w:tr w:rsidR="00C74BFB" w:rsidRPr="004A30FF" w14:paraId="58E7EFA7" w14:textId="77777777" w:rsidTr="00BE063F">
        <w:tc>
          <w:tcPr>
            <w:tcW w:w="2337" w:type="dxa"/>
          </w:tcPr>
          <w:p w14:paraId="43BF5128" w14:textId="261CADFA" w:rsidR="00C74BFB" w:rsidRPr="004A30FF" w:rsidRDefault="00C74BF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4010</w:t>
            </w:r>
          </w:p>
        </w:tc>
        <w:tc>
          <w:tcPr>
            <w:tcW w:w="2337" w:type="dxa"/>
          </w:tcPr>
          <w:p w14:paraId="1D993FE7" w14:textId="58D2D667" w:rsidR="00C74BFB" w:rsidRPr="004A30FF" w:rsidRDefault="00C74BF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Задължения към доставчици в страната</w:t>
            </w:r>
          </w:p>
        </w:tc>
        <w:tc>
          <w:tcPr>
            <w:tcW w:w="2338" w:type="dxa"/>
          </w:tcPr>
          <w:p w14:paraId="1B3548A0" w14:textId="49047A07" w:rsidR="00C74BFB" w:rsidRPr="004A30FF" w:rsidRDefault="00CE1AF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28,826.78</w:t>
            </w:r>
          </w:p>
        </w:tc>
        <w:tc>
          <w:tcPr>
            <w:tcW w:w="2338" w:type="dxa"/>
          </w:tcPr>
          <w:p w14:paraId="662FF571" w14:textId="6DE606DD" w:rsidR="00C74BFB" w:rsidRPr="004A30FF" w:rsidRDefault="00CE1AF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r w:rsidR="00C74BFB" w:rsidRPr="004A30FF" w14:paraId="0A8105EF" w14:textId="77777777" w:rsidTr="00BE063F">
        <w:tc>
          <w:tcPr>
            <w:tcW w:w="2337" w:type="dxa"/>
          </w:tcPr>
          <w:p w14:paraId="54E1C052" w14:textId="1318681B" w:rsidR="00C74BFB" w:rsidRPr="004A30FF" w:rsidRDefault="00C74BF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5011</w:t>
            </w:r>
          </w:p>
        </w:tc>
        <w:tc>
          <w:tcPr>
            <w:tcW w:w="2337" w:type="dxa"/>
          </w:tcPr>
          <w:p w14:paraId="739BDDC8" w14:textId="5C6A63F0" w:rsidR="00C74BFB" w:rsidRPr="004A30FF" w:rsidRDefault="00C74BF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Касови наличности в лева</w:t>
            </w:r>
          </w:p>
        </w:tc>
        <w:tc>
          <w:tcPr>
            <w:tcW w:w="2338" w:type="dxa"/>
          </w:tcPr>
          <w:p w14:paraId="3D98333F" w14:textId="43862DF9" w:rsidR="00C74BFB" w:rsidRPr="004A30FF" w:rsidRDefault="00CE1AF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297.68</w:t>
            </w:r>
          </w:p>
        </w:tc>
        <w:tc>
          <w:tcPr>
            <w:tcW w:w="2338" w:type="dxa"/>
          </w:tcPr>
          <w:p w14:paraId="12F2DFD1" w14:textId="331B6DA8" w:rsidR="00C74BFB" w:rsidRPr="004A30FF" w:rsidRDefault="00CE1AF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r w:rsidR="00C74BFB" w:rsidRPr="004A30FF" w14:paraId="60CFC072" w14:textId="77777777" w:rsidTr="00BE063F">
        <w:tc>
          <w:tcPr>
            <w:tcW w:w="2337" w:type="dxa"/>
          </w:tcPr>
          <w:p w14:paraId="12CD4D5C" w14:textId="39ACD450" w:rsidR="00C74BFB" w:rsidRPr="004A30FF" w:rsidRDefault="00C74BF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5013</w:t>
            </w:r>
          </w:p>
        </w:tc>
        <w:tc>
          <w:tcPr>
            <w:tcW w:w="2337" w:type="dxa"/>
          </w:tcPr>
          <w:p w14:paraId="691D8A5A" w14:textId="3CB7CA3E" w:rsidR="00C74BFB" w:rsidRPr="004A30FF" w:rsidRDefault="00C74BFB"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Текущи банкови сметки в лева</w:t>
            </w:r>
          </w:p>
        </w:tc>
        <w:tc>
          <w:tcPr>
            <w:tcW w:w="2338" w:type="dxa"/>
          </w:tcPr>
          <w:p w14:paraId="2D5186EC" w14:textId="498F020B" w:rsidR="00C74BFB" w:rsidRPr="004A30FF" w:rsidRDefault="00CE1AF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-4,433.79</w:t>
            </w:r>
          </w:p>
        </w:tc>
        <w:tc>
          <w:tcPr>
            <w:tcW w:w="2338" w:type="dxa"/>
          </w:tcPr>
          <w:p w14:paraId="2BB1D89D" w14:textId="1A8E6B46" w:rsidR="00C74BFB" w:rsidRPr="004A30FF" w:rsidRDefault="00CE1AF9"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08CF05DA" w14:textId="6AF613C6" w:rsidR="00A40F3D" w:rsidRPr="004A30FF" w:rsidRDefault="00E228E0"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24,690.67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w:t>
      </w:r>
    </w:p>
    <w:p w14:paraId="2D22D64A" w14:textId="07669B65" w:rsidR="00E228E0" w:rsidRPr="004A30FF" w:rsidRDefault="00E228E0"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246FB8" w:rsidRPr="004A30FF">
        <w:rPr>
          <w:rFonts w:ascii="Times New Roman" w:hAnsi="Times New Roman" w:cs="Times New Roman"/>
          <w:sz w:val="24"/>
          <w:szCs w:val="24"/>
        </w:rPr>
        <w:t xml:space="preserve">                                   </w:t>
      </w:r>
      <w:r w:rsidR="006634D4" w:rsidRPr="004A30FF">
        <w:rPr>
          <w:rFonts w:ascii="Times New Roman" w:hAnsi="Times New Roman" w:cs="Times New Roman"/>
          <w:sz w:val="24"/>
          <w:szCs w:val="24"/>
        </w:rPr>
        <w:t xml:space="preserve">              </w:t>
      </w:r>
      <w:r w:rsidR="00246FB8"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24,690.67</w:t>
      </w:r>
    </w:p>
    <w:tbl>
      <w:tblPr>
        <w:tblStyle w:val="TableGrid0"/>
        <w:tblW w:w="0" w:type="auto"/>
        <w:tblLook w:val="04A0" w:firstRow="1" w:lastRow="0" w:firstColumn="1" w:lastColumn="0" w:noHBand="0" w:noVBand="1"/>
      </w:tblPr>
      <w:tblGrid>
        <w:gridCol w:w="2337"/>
        <w:gridCol w:w="2337"/>
        <w:gridCol w:w="2338"/>
        <w:gridCol w:w="2338"/>
      </w:tblGrid>
      <w:tr w:rsidR="00E1642D" w:rsidRPr="004A30FF" w14:paraId="55259B28" w14:textId="77777777" w:rsidTr="00490CA4">
        <w:tc>
          <w:tcPr>
            <w:tcW w:w="2337" w:type="dxa"/>
          </w:tcPr>
          <w:p w14:paraId="62EE3D10" w14:textId="77777777" w:rsidR="00E1642D" w:rsidRPr="004A30FF" w:rsidRDefault="00E1642D"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6033</w:t>
            </w:r>
          </w:p>
          <w:p w14:paraId="59A6E23C" w14:textId="7CF80301" w:rsidR="00E1642D" w:rsidRPr="004A30FF" w:rsidRDefault="00E1642D"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7241EB7D" w14:textId="3E8278D4" w:rsidR="00E1642D" w:rsidRPr="004A30FF" w:rsidRDefault="00E1642D"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амортизация на сгради</w:t>
            </w:r>
          </w:p>
        </w:tc>
        <w:tc>
          <w:tcPr>
            <w:tcW w:w="2338" w:type="dxa"/>
          </w:tcPr>
          <w:p w14:paraId="65F4167D" w14:textId="055A2B02" w:rsidR="00E1642D" w:rsidRPr="004A30FF" w:rsidRDefault="00E1642D"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6033 и кредита на сметката в лева</w:t>
            </w:r>
          </w:p>
        </w:tc>
        <w:tc>
          <w:tcPr>
            <w:tcW w:w="2338" w:type="dxa"/>
          </w:tcPr>
          <w:p w14:paraId="600FB1D1" w14:textId="719DB41C" w:rsidR="00E1642D" w:rsidRPr="004A30FF" w:rsidRDefault="00E1642D"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6033 и дебита на сметката в лева</w:t>
            </w:r>
          </w:p>
        </w:tc>
      </w:tr>
      <w:tr w:rsidR="00E1642D" w:rsidRPr="004A30FF" w14:paraId="5E4EB3FA" w14:textId="77777777" w:rsidTr="00490CA4">
        <w:tc>
          <w:tcPr>
            <w:tcW w:w="2337" w:type="dxa"/>
          </w:tcPr>
          <w:p w14:paraId="1EBE2D84" w14:textId="55C21593" w:rsidR="00E1642D" w:rsidRPr="004A30FF" w:rsidRDefault="00E1642D"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2413</w:t>
            </w:r>
          </w:p>
        </w:tc>
        <w:tc>
          <w:tcPr>
            <w:tcW w:w="2337" w:type="dxa"/>
          </w:tcPr>
          <w:p w14:paraId="00E4EE95" w14:textId="129922BB" w:rsidR="00E1642D" w:rsidRPr="004A30FF" w:rsidRDefault="00E1642D"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Амортизация на сгради</w:t>
            </w:r>
          </w:p>
        </w:tc>
        <w:tc>
          <w:tcPr>
            <w:tcW w:w="2338" w:type="dxa"/>
          </w:tcPr>
          <w:p w14:paraId="69A1847F" w14:textId="7496BEA7" w:rsidR="00E1642D" w:rsidRPr="004A30FF" w:rsidRDefault="00223CFE"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1,998.48</w:t>
            </w:r>
          </w:p>
        </w:tc>
        <w:tc>
          <w:tcPr>
            <w:tcW w:w="2338" w:type="dxa"/>
          </w:tcPr>
          <w:p w14:paraId="7464E915" w14:textId="158047AF" w:rsidR="00E1642D" w:rsidRPr="004A30FF" w:rsidRDefault="00223CFE" w:rsidP="006634D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4CEA8B64" w14:textId="61E07813" w:rsidR="00246FB8" w:rsidRPr="004A30FF" w:rsidRDefault="00223CFE"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1,998.48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w:t>
      </w:r>
    </w:p>
    <w:p w14:paraId="24F4D8FD" w14:textId="7285AB26" w:rsidR="00223CFE" w:rsidRPr="004A30FF" w:rsidRDefault="00223CFE"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6634D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1,998.48</w:t>
      </w:r>
    </w:p>
    <w:tbl>
      <w:tblPr>
        <w:tblStyle w:val="TableGrid0"/>
        <w:tblW w:w="0" w:type="auto"/>
        <w:tblLook w:val="04A0" w:firstRow="1" w:lastRow="0" w:firstColumn="1" w:lastColumn="0" w:noHBand="0" w:noVBand="1"/>
      </w:tblPr>
      <w:tblGrid>
        <w:gridCol w:w="2337"/>
        <w:gridCol w:w="2337"/>
        <w:gridCol w:w="2338"/>
        <w:gridCol w:w="2338"/>
      </w:tblGrid>
      <w:tr w:rsidR="00CE4BF1" w:rsidRPr="004A30FF" w14:paraId="7B9AE955" w14:textId="77777777" w:rsidTr="00700F17">
        <w:tc>
          <w:tcPr>
            <w:tcW w:w="2337" w:type="dxa"/>
          </w:tcPr>
          <w:p w14:paraId="78945113" w14:textId="77777777" w:rsidR="00CE4BF1" w:rsidRPr="004A30FF" w:rsidRDefault="00CE4BF1"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lastRenderedPageBreak/>
              <w:t>Сметка 6034</w:t>
            </w:r>
          </w:p>
          <w:p w14:paraId="063DCF52" w14:textId="67208C53" w:rsidR="00CE4BF1" w:rsidRPr="004A30FF" w:rsidRDefault="00CE4BF1"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0C4740AD" w14:textId="0FDBA6A7" w:rsidR="00CE4BF1" w:rsidRPr="004A30FF" w:rsidRDefault="00CE4BF1"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амортизация на машини, съоръжения и оборудване</w:t>
            </w:r>
          </w:p>
        </w:tc>
        <w:tc>
          <w:tcPr>
            <w:tcW w:w="2338" w:type="dxa"/>
          </w:tcPr>
          <w:p w14:paraId="2488F60E" w14:textId="7C82179F" w:rsidR="00CE4BF1" w:rsidRPr="004A30FF" w:rsidRDefault="00CE4BF1"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6034 и кредита на сметката в лева</w:t>
            </w:r>
          </w:p>
        </w:tc>
        <w:tc>
          <w:tcPr>
            <w:tcW w:w="2338" w:type="dxa"/>
          </w:tcPr>
          <w:p w14:paraId="35543C52" w14:textId="65906510" w:rsidR="00CE4BF1" w:rsidRPr="004A30FF" w:rsidRDefault="00CE4BF1"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6034 и дебита на сметката в лева</w:t>
            </w:r>
          </w:p>
        </w:tc>
      </w:tr>
      <w:tr w:rsidR="00CE4BF1" w:rsidRPr="004A30FF" w14:paraId="1AF7C381" w14:textId="77777777" w:rsidTr="00700F17">
        <w:tc>
          <w:tcPr>
            <w:tcW w:w="2337" w:type="dxa"/>
          </w:tcPr>
          <w:p w14:paraId="00F65007" w14:textId="423E97D0" w:rsidR="00CE4BF1" w:rsidRPr="004A30FF" w:rsidRDefault="00CE4BF1"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2414</w:t>
            </w:r>
          </w:p>
        </w:tc>
        <w:tc>
          <w:tcPr>
            <w:tcW w:w="2337" w:type="dxa"/>
          </w:tcPr>
          <w:p w14:paraId="0468D09F" w14:textId="6D74C08A" w:rsidR="00CE4BF1" w:rsidRPr="004A30FF" w:rsidRDefault="00CE4BF1"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Амортизация на машини, съоръжения и оборудване</w:t>
            </w:r>
          </w:p>
        </w:tc>
        <w:tc>
          <w:tcPr>
            <w:tcW w:w="2338" w:type="dxa"/>
          </w:tcPr>
          <w:p w14:paraId="44182074" w14:textId="41A53C83" w:rsidR="00CE4BF1" w:rsidRPr="004A30FF" w:rsidRDefault="00993685"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1,819.08</w:t>
            </w:r>
          </w:p>
        </w:tc>
        <w:tc>
          <w:tcPr>
            <w:tcW w:w="2338" w:type="dxa"/>
          </w:tcPr>
          <w:p w14:paraId="6CA1EC6B" w14:textId="7E8F777E" w:rsidR="00CE4BF1" w:rsidRPr="004A30FF" w:rsidRDefault="00993685"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76F3D0EB" w14:textId="4B402EA2" w:rsidR="00223CFE" w:rsidRPr="004A30FF" w:rsidRDefault="00993685"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1,819.08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w:t>
      </w:r>
    </w:p>
    <w:p w14:paraId="7694D4A8" w14:textId="5D37B068" w:rsidR="00993685" w:rsidRPr="004A30FF" w:rsidRDefault="00993685"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w:t>
      </w:r>
      <w:r w:rsidR="009F7D11" w:rsidRPr="004A30FF">
        <w:rPr>
          <w:rFonts w:ascii="Times New Roman" w:hAnsi="Times New Roman" w:cs="Times New Roman"/>
          <w:sz w:val="24"/>
          <w:szCs w:val="24"/>
        </w:rPr>
        <w:t>1,819.08</w:t>
      </w:r>
    </w:p>
    <w:tbl>
      <w:tblPr>
        <w:tblStyle w:val="TableGrid0"/>
        <w:tblW w:w="0" w:type="auto"/>
        <w:tblLook w:val="04A0" w:firstRow="1" w:lastRow="0" w:firstColumn="1" w:lastColumn="0" w:noHBand="0" w:noVBand="1"/>
      </w:tblPr>
      <w:tblGrid>
        <w:gridCol w:w="2337"/>
        <w:gridCol w:w="2337"/>
        <w:gridCol w:w="2338"/>
        <w:gridCol w:w="2338"/>
      </w:tblGrid>
      <w:tr w:rsidR="00AB1CAC" w:rsidRPr="004A30FF" w14:paraId="07417A2D" w14:textId="77777777" w:rsidTr="009F7D11">
        <w:tc>
          <w:tcPr>
            <w:tcW w:w="2337" w:type="dxa"/>
          </w:tcPr>
          <w:p w14:paraId="1C9F384E" w14:textId="77777777" w:rsidR="00AB1CAC" w:rsidRPr="004A30FF" w:rsidRDefault="00AB1CAC"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6036</w:t>
            </w:r>
          </w:p>
          <w:p w14:paraId="26895BDD" w14:textId="55F05335" w:rsidR="00AB1CAC" w:rsidRPr="004A30FF" w:rsidRDefault="00AB1CAC"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7E95F390" w14:textId="0D501658" w:rsidR="00AB1CAC" w:rsidRPr="004A30FF" w:rsidRDefault="00AB1CAC"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амортизация на стопански инвентар</w:t>
            </w:r>
          </w:p>
        </w:tc>
        <w:tc>
          <w:tcPr>
            <w:tcW w:w="2338" w:type="dxa"/>
          </w:tcPr>
          <w:p w14:paraId="59ADEA0D" w14:textId="08D84389" w:rsidR="00AB1CAC" w:rsidRPr="004A30FF" w:rsidRDefault="00AB1CAC"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6036 и кредита на сметката в лева</w:t>
            </w:r>
          </w:p>
        </w:tc>
        <w:tc>
          <w:tcPr>
            <w:tcW w:w="2338" w:type="dxa"/>
          </w:tcPr>
          <w:p w14:paraId="7FF8CF9B" w14:textId="4DD03A73" w:rsidR="00AB1CAC" w:rsidRPr="004A30FF" w:rsidRDefault="00AB1CAC"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6036 и дебита на сметката в лева</w:t>
            </w:r>
          </w:p>
        </w:tc>
      </w:tr>
      <w:tr w:rsidR="00AB1CAC" w:rsidRPr="004A30FF" w14:paraId="7B738A40" w14:textId="77777777" w:rsidTr="009F7D11">
        <w:tc>
          <w:tcPr>
            <w:tcW w:w="2337" w:type="dxa"/>
          </w:tcPr>
          <w:p w14:paraId="75F8D667" w14:textId="36939302" w:rsidR="00AB1CAC" w:rsidRPr="004A30FF" w:rsidRDefault="00AB1CAC"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2416</w:t>
            </w:r>
          </w:p>
        </w:tc>
        <w:tc>
          <w:tcPr>
            <w:tcW w:w="2337" w:type="dxa"/>
          </w:tcPr>
          <w:p w14:paraId="66462740" w14:textId="07CEA260" w:rsidR="00AB1CAC" w:rsidRPr="004A30FF" w:rsidRDefault="00AB1CAC"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Амортизация на стопански инвентар</w:t>
            </w:r>
          </w:p>
        </w:tc>
        <w:tc>
          <w:tcPr>
            <w:tcW w:w="2338" w:type="dxa"/>
          </w:tcPr>
          <w:p w14:paraId="2C5CA994" w14:textId="0D03F4E1" w:rsidR="00AB1CAC" w:rsidRPr="004A30FF" w:rsidRDefault="00AB1CAC"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2,663.76</w:t>
            </w:r>
          </w:p>
        </w:tc>
        <w:tc>
          <w:tcPr>
            <w:tcW w:w="2338" w:type="dxa"/>
          </w:tcPr>
          <w:p w14:paraId="79E258BF" w14:textId="5F8E594B" w:rsidR="00AB1CAC" w:rsidRPr="004A30FF" w:rsidRDefault="00AB1CAC"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69F5824D" w14:textId="565D2598" w:rsidR="009F7D11" w:rsidRPr="004A30FF" w:rsidRDefault="00AB1CAC"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w:t>
      </w:r>
      <w:r w:rsidR="00FD7CB3" w:rsidRPr="004A30FF">
        <w:rPr>
          <w:rFonts w:ascii="Times New Roman" w:hAnsi="Times New Roman" w:cs="Times New Roman"/>
          <w:sz w:val="24"/>
          <w:szCs w:val="24"/>
        </w:rPr>
        <w:t xml:space="preserve">за периода                                </w:t>
      </w:r>
      <w:r w:rsidR="000E77C4" w:rsidRPr="004A30FF">
        <w:rPr>
          <w:rFonts w:ascii="Times New Roman" w:hAnsi="Times New Roman" w:cs="Times New Roman"/>
          <w:sz w:val="24"/>
          <w:szCs w:val="24"/>
        </w:rPr>
        <w:t xml:space="preserve">                      </w:t>
      </w:r>
      <w:r w:rsidR="00FD7CB3" w:rsidRPr="004A30FF">
        <w:rPr>
          <w:rFonts w:ascii="Times New Roman" w:hAnsi="Times New Roman" w:cs="Times New Roman"/>
          <w:sz w:val="24"/>
          <w:szCs w:val="24"/>
        </w:rPr>
        <w:t xml:space="preserve"> 2,663.76              </w:t>
      </w:r>
      <w:r w:rsidR="000E77C4" w:rsidRPr="004A30FF">
        <w:rPr>
          <w:rFonts w:ascii="Times New Roman" w:hAnsi="Times New Roman" w:cs="Times New Roman"/>
          <w:sz w:val="24"/>
          <w:szCs w:val="24"/>
        </w:rPr>
        <w:t xml:space="preserve">     </w:t>
      </w:r>
      <w:r w:rsidR="00FD7CB3" w:rsidRPr="004A30FF">
        <w:rPr>
          <w:rFonts w:ascii="Times New Roman" w:hAnsi="Times New Roman" w:cs="Times New Roman"/>
          <w:sz w:val="24"/>
          <w:szCs w:val="24"/>
        </w:rPr>
        <w:t xml:space="preserve">             0,00</w:t>
      </w:r>
    </w:p>
    <w:p w14:paraId="6FC79AFE" w14:textId="4207BF38" w:rsidR="00FD7CB3" w:rsidRPr="004A30FF" w:rsidRDefault="00FD7CB3"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w:t>
      </w:r>
      <w:r w:rsidR="002A198E" w:rsidRPr="004A30FF">
        <w:rPr>
          <w:rFonts w:ascii="Times New Roman" w:hAnsi="Times New Roman" w:cs="Times New Roman"/>
          <w:sz w:val="24"/>
          <w:szCs w:val="24"/>
        </w:rPr>
        <w:t>2,663.76</w:t>
      </w:r>
    </w:p>
    <w:tbl>
      <w:tblPr>
        <w:tblStyle w:val="TableGrid0"/>
        <w:tblW w:w="0" w:type="auto"/>
        <w:tblLook w:val="04A0" w:firstRow="1" w:lastRow="0" w:firstColumn="1" w:lastColumn="0" w:noHBand="0" w:noVBand="1"/>
      </w:tblPr>
      <w:tblGrid>
        <w:gridCol w:w="2289"/>
        <w:gridCol w:w="2464"/>
        <w:gridCol w:w="2302"/>
        <w:gridCol w:w="2295"/>
      </w:tblGrid>
      <w:tr w:rsidR="00A1051B" w:rsidRPr="004A30FF" w14:paraId="45B84525" w14:textId="77777777" w:rsidTr="00D05AD4">
        <w:tc>
          <w:tcPr>
            <w:tcW w:w="2337" w:type="dxa"/>
          </w:tcPr>
          <w:p w14:paraId="4373763B" w14:textId="77777777" w:rsidR="00A1051B" w:rsidRPr="004A30FF" w:rsidRDefault="00A1051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6041</w:t>
            </w:r>
          </w:p>
          <w:p w14:paraId="738106A5" w14:textId="1716B66C" w:rsidR="00A1051B" w:rsidRPr="004A30FF" w:rsidRDefault="00A1051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37E8D603" w14:textId="36ECC2C6" w:rsidR="00A1051B" w:rsidRPr="004A30FF" w:rsidRDefault="00A1051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заплати и възнаграждения на персонал</w:t>
            </w:r>
          </w:p>
        </w:tc>
        <w:tc>
          <w:tcPr>
            <w:tcW w:w="2338" w:type="dxa"/>
          </w:tcPr>
          <w:p w14:paraId="7A67047B" w14:textId="2722EA8A" w:rsidR="00A1051B" w:rsidRPr="004A30FF" w:rsidRDefault="00A1051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6041 и кредита на сметката в лева</w:t>
            </w:r>
          </w:p>
        </w:tc>
        <w:tc>
          <w:tcPr>
            <w:tcW w:w="2338" w:type="dxa"/>
          </w:tcPr>
          <w:p w14:paraId="5D23E941" w14:textId="26C9CC31" w:rsidR="00A1051B" w:rsidRPr="004A30FF" w:rsidRDefault="00A1051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6041 и дебита на сметката в лева</w:t>
            </w:r>
          </w:p>
        </w:tc>
      </w:tr>
      <w:tr w:rsidR="00A1051B" w:rsidRPr="004A30FF" w14:paraId="0E7F6D8C" w14:textId="77777777" w:rsidTr="00D05AD4">
        <w:tc>
          <w:tcPr>
            <w:tcW w:w="2337" w:type="dxa"/>
          </w:tcPr>
          <w:p w14:paraId="494170CF" w14:textId="6584FAA5" w:rsidR="00A1051B" w:rsidRPr="004A30FF" w:rsidRDefault="00A1051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4211</w:t>
            </w:r>
          </w:p>
        </w:tc>
        <w:tc>
          <w:tcPr>
            <w:tcW w:w="2337" w:type="dxa"/>
          </w:tcPr>
          <w:p w14:paraId="6E91A344" w14:textId="7A3349DE" w:rsidR="00A1051B" w:rsidRPr="004A30FF" w:rsidRDefault="00EE59FE"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Задължения към работници/служители и друг персонал</w:t>
            </w:r>
          </w:p>
        </w:tc>
        <w:tc>
          <w:tcPr>
            <w:tcW w:w="2338" w:type="dxa"/>
          </w:tcPr>
          <w:p w14:paraId="64316163" w14:textId="22EF20CE" w:rsidR="00A1051B" w:rsidRPr="004A30FF" w:rsidRDefault="00D246F3"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437,038.32</w:t>
            </w:r>
          </w:p>
        </w:tc>
        <w:tc>
          <w:tcPr>
            <w:tcW w:w="2338" w:type="dxa"/>
          </w:tcPr>
          <w:p w14:paraId="5571EC34" w14:textId="69EA7CE9" w:rsidR="00A1051B" w:rsidRPr="004A30FF" w:rsidRDefault="00D246F3"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7C4D2A8A" w14:textId="7FADD46F" w:rsidR="002A198E" w:rsidRPr="004A30FF" w:rsidRDefault="00D246F3"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437,038.32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w:t>
      </w:r>
    </w:p>
    <w:p w14:paraId="65429909" w14:textId="66939521" w:rsidR="00D246F3" w:rsidRPr="004A30FF" w:rsidRDefault="00D246F3"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0E77C4" w:rsidRPr="004A30FF">
        <w:rPr>
          <w:rFonts w:ascii="Times New Roman" w:hAnsi="Times New Roman" w:cs="Times New Roman"/>
          <w:sz w:val="24"/>
          <w:szCs w:val="24"/>
        </w:rPr>
        <w:t xml:space="preserve">                 </w:t>
      </w:r>
      <w:r w:rsidR="004315E7" w:rsidRPr="004A30FF">
        <w:rPr>
          <w:rFonts w:ascii="Times New Roman" w:hAnsi="Times New Roman" w:cs="Times New Roman"/>
          <w:sz w:val="24"/>
          <w:szCs w:val="24"/>
        </w:rPr>
        <w:t>437,038.32</w:t>
      </w:r>
    </w:p>
    <w:tbl>
      <w:tblPr>
        <w:tblStyle w:val="TableGrid0"/>
        <w:tblW w:w="0" w:type="auto"/>
        <w:tblLook w:val="04A0" w:firstRow="1" w:lastRow="0" w:firstColumn="1" w:lastColumn="0" w:noHBand="0" w:noVBand="1"/>
      </w:tblPr>
      <w:tblGrid>
        <w:gridCol w:w="2337"/>
        <w:gridCol w:w="2337"/>
        <w:gridCol w:w="2338"/>
        <w:gridCol w:w="2338"/>
      </w:tblGrid>
      <w:tr w:rsidR="009D20AB" w:rsidRPr="004A30FF" w14:paraId="3D975100" w14:textId="77777777" w:rsidTr="004315E7">
        <w:tc>
          <w:tcPr>
            <w:tcW w:w="2337" w:type="dxa"/>
          </w:tcPr>
          <w:p w14:paraId="7E291850" w14:textId="77777777" w:rsidR="009D20AB" w:rsidRPr="004A30FF" w:rsidRDefault="009D20A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lastRenderedPageBreak/>
              <w:t>Сметка 6042</w:t>
            </w:r>
          </w:p>
          <w:p w14:paraId="2E493F1A" w14:textId="465A5FF1" w:rsidR="009D20AB" w:rsidRPr="004A30FF" w:rsidRDefault="009D20A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4B069146" w14:textId="363818F2" w:rsidR="009D20AB" w:rsidRPr="004A30FF" w:rsidRDefault="009D20A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заплати и възнаграждения по трудови и</w:t>
            </w:r>
          </w:p>
        </w:tc>
        <w:tc>
          <w:tcPr>
            <w:tcW w:w="2338" w:type="dxa"/>
          </w:tcPr>
          <w:p w14:paraId="5600198C" w14:textId="0C33604C" w:rsidR="009D20AB" w:rsidRPr="004A30FF" w:rsidRDefault="009D20A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6042 и кредита на сметката в лева</w:t>
            </w:r>
          </w:p>
        </w:tc>
        <w:tc>
          <w:tcPr>
            <w:tcW w:w="2338" w:type="dxa"/>
          </w:tcPr>
          <w:p w14:paraId="5CE0F802" w14:textId="28C9F4A8" w:rsidR="009D20AB" w:rsidRPr="004A30FF" w:rsidRDefault="009D20A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6042 и дебита на сметката в лева</w:t>
            </w:r>
          </w:p>
        </w:tc>
      </w:tr>
      <w:tr w:rsidR="009D20AB" w:rsidRPr="004A30FF" w14:paraId="4C6C121E" w14:textId="77777777" w:rsidTr="004315E7">
        <w:tc>
          <w:tcPr>
            <w:tcW w:w="2337" w:type="dxa"/>
          </w:tcPr>
          <w:p w14:paraId="710B3288" w14:textId="05015691" w:rsidR="009D20AB" w:rsidRPr="004A30FF" w:rsidRDefault="009D20A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5013</w:t>
            </w:r>
          </w:p>
        </w:tc>
        <w:tc>
          <w:tcPr>
            <w:tcW w:w="2337" w:type="dxa"/>
          </w:tcPr>
          <w:p w14:paraId="559E7AD3" w14:textId="50823E01" w:rsidR="009D20AB" w:rsidRPr="004A30FF" w:rsidRDefault="009D20A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Текущи банкови сметки в лева</w:t>
            </w:r>
          </w:p>
        </w:tc>
        <w:tc>
          <w:tcPr>
            <w:tcW w:w="2338" w:type="dxa"/>
          </w:tcPr>
          <w:p w14:paraId="3BDACE63" w14:textId="7535C271" w:rsidR="009D20AB" w:rsidRPr="004A30FF" w:rsidRDefault="009D20A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4,500.00</w:t>
            </w:r>
          </w:p>
        </w:tc>
        <w:tc>
          <w:tcPr>
            <w:tcW w:w="2338" w:type="dxa"/>
          </w:tcPr>
          <w:p w14:paraId="542C8EB8" w14:textId="03696E98" w:rsidR="009D20AB" w:rsidRPr="004A30FF" w:rsidRDefault="009D20A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23088FB4" w14:textId="4F73DE6F" w:rsidR="004315E7" w:rsidRPr="004A30FF" w:rsidRDefault="00AE79F4"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4,500.00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w:t>
      </w:r>
    </w:p>
    <w:p w14:paraId="5C71B2A8" w14:textId="5850F371" w:rsidR="00AE79F4" w:rsidRPr="004A30FF" w:rsidRDefault="00AE79F4"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4,500.00</w:t>
      </w:r>
    </w:p>
    <w:tbl>
      <w:tblPr>
        <w:tblStyle w:val="TableGrid0"/>
        <w:tblW w:w="0" w:type="auto"/>
        <w:tblLook w:val="04A0" w:firstRow="1" w:lastRow="0" w:firstColumn="1" w:lastColumn="0" w:noHBand="0" w:noVBand="1"/>
      </w:tblPr>
      <w:tblGrid>
        <w:gridCol w:w="2337"/>
        <w:gridCol w:w="2337"/>
        <w:gridCol w:w="2338"/>
        <w:gridCol w:w="2338"/>
      </w:tblGrid>
      <w:tr w:rsidR="007369A2" w:rsidRPr="004A30FF" w14:paraId="0F8F6347" w14:textId="77777777" w:rsidTr="00290C27">
        <w:tc>
          <w:tcPr>
            <w:tcW w:w="2337" w:type="dxa"/>
          </w:tcPr>
          <w:p w14:paraId="3F250FCE" w14:textId="77777777" w:rsidR="007369A2" w:rsidRPr="004A30FF" w:rsidRDefault="007369A2"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6047</w:t>
            </w:r>
          </w:p>
          <w:p w14:paraId="246F3D32" w14:textId="370E2696" w:rsidR="007369A2" w:rsidRPr="004A30FF" w:rsidRDefault="007369A2"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5A8B6760" w14:textId="12ACD4C6" w:rsidR="007369A2" w:rsidRPr="004A30FF" w:rsidRDefault="007369A2"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провизии за персонал</w:t>
            </w:r>
          </w:p>
        </w:tc>
        <w:tc>
          <w:tcPr>
            <w:tcW w:w="2338" w:type="dxa"/>
          </w:tcPr>
          <w:p w14:paraId="3109C144" w14:textId="649879B2" w:rsidR="007369A2" w:rsidRPr="004A30FF" w:rsidRDefault="007369A2"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604</w:t>
            </w:r>
            <w:r w:rsidR="000E24F7" w:rsidRPr="004A30FF">
              <w:rPr>
                <w:rFonts w:ascii="Times New Roman" w:hAnsi="Times New Roman" w:cs="Times New Roman"/>
                <w:sz w:val="24"/>
                <w:szCs w:val="24"/>
              </w:rPr>
              <w:t>7</w:t>
            </w:r>
            <w:r w:rsidRPr="004A30FF">
              <w:rPr>
                <w:rFonts w:ascii="Times New Roman" w:hAnsi="Times New Roman" w:cs="Times New Roman"/>
                <w:sz w:val="24"/>
                <w:szCs w:val="24"/>
              </w:rPr>
              <w:t xml:space="preserve"> и кредита на сметката в лева</w:t>
            </w:r>
          </w:p>
        </w:tc>
        <w:tc>
          <w:tcPr>
            <w:tcW w:w="2338" w:type="dxa"/>
          </w:tcPr>
          <w:p w14:paraId="5E481D0D" w14:textId="2E8DA5F2" w:rsidR="007369A2" w:rsidRPr="004A30FF" w:rsidRDefault="007369A2"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604</w:t>
            </w:r>
            <w:r w:rsidR="000E24F7" w:rsidRPr="004A30FF">
              <w:rPr>
                <w:rFonts w:ascii="Times New Roman" w:hAnsi="Times New Roman" w:cs="Times New Roman"/>
                <w:sz w:val="24"/>
                <w:szCs w:val="24"/>
              </w:rPr>
              <w:t>7</w:t>
            </w:r>
            <w:r w:rsidRPr="004A30FF">
              <w:rPr>
                <w:rFonts w:ascii="Times New Roman" w:hAnsi="Times New Roman" w:cs="Times New Roman"/>
                <w:sz w:val="24"/>
                <w:szCs w:val="24"/>
              </w:rPr>
              <w:t xml:space="preserve"> и дебита на сметката в лева</w:t>
            </w:r>
          </w:p>
        </w:tc>
      </w:tr>
      <w:tr w:rsidR="007369A2" w:rsidRPr="004A30FF" w14:paraId="00DDBF33" w14:textId="77777777" w:rsidTr="00290C27">
        <w:tc>
          <w:tcPr>
            <w:tcW w:w="2337" w:type="dxa"/>
          </w:tcPr>
          <w:p w14:paraId="0AE04F52" w14:textId="3CA7DCA1" w:rsidR="007369A2" w:rsidRPr="004A30FF" w:rsidRDefault="007369A2"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4230</w:t>
            </w:r>
          </w:p>
        </w:tc>
        <w:tc>
          <w:tcPr>
            <w:tcW w:w="2337" w:type="dxa"/>
          </w:tcPr>
          <w:p w14:paraId="5A4FBCED" w14:textId="1350FCBA" w:rsidR="007369A2" w:rsidRPr="004A30FF" w:rsidRDefault="007369A2"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Провизии за бъдещи плащания към персонала</w:t>
            </w:r>
          </w:p>
        </w:tc>
        <w:tc>
          <w:tcPr>
            <w:tcW w:w="2338" w:type="dxa"/>
          </w:tcPr>
          <w:p w14:paraId="400FBC85" w14:textId="543087EB" w:rsidR="007369A2" w:rsidRPr="004A30FF" w:rsidRDefault="007369A2"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69,135.35</w:t>
            </w:r>
          </w:p>
        </w:tc>
        <w:tc>
          <w:tcPr>
            <w:tcW w:w="2338" w:type="dxa"/>
          </w:tcPr>
          <w:p w14:paraId="36C00DCA" w14:textId="641B72F5" w:rsidR="007369A2" w:rsidRPr="004A30FF" w:rsidRDefault="007369A2"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2CEB8470" w14:textId="74D54FA5" w:rsidR="00AE79F4" w:rsidRPr="004A30FF" w:rsidRDefault="007369A2"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69,135.35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w:t>
      </w:r>
    </w:p>
    <w:p w14:paraId="548D793F" w14:textId="245129B3" w:rsidR="007369A2" w:rsidRPr="004A30FF" w:rsidRDefault="007369A2"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w:t>
      </w:r>
      <w:r w:rsidR="00B415C1" w:rsidRPr="004A30FF">
        <w:rPr>
          <w:rFonts w:ascii="Times New Roman" w:hAnsi="Times New Roman" w:cs="Times New Roman"/>
          <w:sz w:val="24"/>
          <w:szCs w:val="24"/>
        </w:rPr>
        <w:t>69,135.35</w:t>
      </w:r>
    </w:p>
    <w:tbl>
      <w:tblPr>
        <w:tblStyle w:val="TableGrid0"/>
        <w:tblW w:w="0" w:type="auto"/>
        <w:tblLook w:val="04A0" w:firstRow="1" w:lastRow="0" w:firstColumn="1" w:lastColumn="0" w:noHBand="0" w:noVBand="1"/>
      </w:tblPr>
      <w:tblGrid>
        <w:gridCol w:w="2337"/>
        <w:gridCol w:w="2337"/>
        <w:gridCol w:w="2338"/>
        <w:gridCol w:w="2338"/>
      </w:tblGrid>
      <w:tr w:rsidR="0056568C" w:rsidRPr="004A30FF" w14:paraId="51C5E05A" w14:textId="77777777" w:rsidTr="00883E7E">
        <w:tc>
          <w:tcPr>
            <w:tcW w:w="2337" w:type="dxa"/>
          </w:tcPr>
          <w:p w14:paraId="0AB3A837" w14:textId="0ADB495A" w:rsidR="0056568C" w:rsidRPr="004A30FF" w:rsidRDefault="0056568C"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6048</w:t>
            </w:r>
          </w:p>
          <w:p w14:paraId="2955ABFD" w14:textId="0CE5D301" w:rsidR="0056568C" w:rsidRPr="004A30FF" w:rsidRDefault="0056568C"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56B3C7C6" w14:textId="1C05F270" w:rsidR="0056568C" w:rsidRPr="004A30FF" w:rsidRDefault="0056568C"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Сторнирани разходи за персонал</w:t>
            </w:r>
          </w:p>
        </w:tc>
        <w:tc>
          <w:tcPr>
            <w:tcW w:w="2338" w:type="dxa"/>
          </w:tcPr>
          <w:p w14:paraId="4A03DFFB" w14:textId="7E37B7BC" w:rsidR="0056568C" w:rsidRPr="004A30FF" w:rsidRDefault="0056568C"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604</w:t>
            </w:r>
            <w:r w:rsidR="000E24F7" w:rsidRPr="004A30FF">
              <w:rPr>
                <w:rFonts w:ascii="Times New Roman" w:hAnsi="Times New Roman" w:cs="Times New Roman"/>
                <w:sz w:val="24"/>
                <w:szCs w:val="24"/>
              </w:rPr>
              <w:t>8</w:t>
            </w:r>
            <w:r w:rsidRPr="004A30FF">
              <w:rPr>
                <w:rFonts w:ascii="Times New Roman" w:hAnsi="Times New Roman" w:cs="Times New Roman"/>
                <w:sz w:val="24"/>
                <w:szCs w:val="24"/>
              </w:rPr>
              <w:t xml:space="preserve"> и кредита на сметката в лева</w:t>
            </w:r>
          </w:p>
        </w:tc>
        <w:tc>
          <w:tcPr>
            <w:tcW w:w="2338" w:type="dxa"/>
          </w:tcPr>
          <w:p w14:paraId="11B46CFD" w14:textId="599C3513" w:rsidR="0056568C" w:rsidRPr="004A30FF" w:rsidRDefault="0056568C"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604</w:t>
            </w:r>
            <w:r w:rsidR="000E24F7" w:rsidRPr="004A30FF">
              <w:rPr>
                <w:rFonts w:ascii="Times New Roman" w:hAnsi="Times New Roman" w:cs="Times New Roman"/>
                <w:sz w:val="24"/>
                <w:szCs w:val="24"/>
              </w:rPr>
              <w:t>8</w:t>
            </w:r>
            <w:r w:rsidRPr="004A30FF">
              <w:rPr>
                <w:rFonts w:ascii="Times New Roman" w:hAnsi="Times New Roman" w:cs="Times New Roman"/>
                <w:sz w:val="24"/>
                <w:szCs w:val="24"/>
              </w:rPr>
              <w:t xml:space="preserve"> и дебита на сметката в лева</w:t>
            </w:r>
          </w:p>
        </w:tc>
      </w:tr>
      <w:tr w:rsidR="0056568C" w:rsidRPr="004A30FF" w14:paraId="0E9B37F6" w14:textId="77777777" w:rsidTr="00883E7E">
        <w:tc>
          <w:tcPr>
            <w:tcW w:w="2337" w:type="dxa"/>
          </w:tcPr>
          <w:p w14:paraId="2F3CD09C" w14:textId="56DB26C9" w:rsidR="0056568C" w:rsidRPr="004A30FF" w:rsidRDefault="0056568C"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4230</w:t>
            </w:r>
          </w:p>
        </w:tc>
        <w:tc>
          <w:tcPr>
            <w:tcW w:w="2337" w:type="dxa"/>
          </w:tcPr>
          <w:p w14:paraId="4B1BCA70" w14:textId="29407B1C" w:rsidR="0056568C" w:rsidRPr="004A30FF" w:rsidRDefault="0056568C"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Провизии за бъдещи плащания към персонала</w:t>
            </w:r>
          </w:p>
        </w:tc>
        <w:tc>
          <w:tcPr>
            <w:tcW w:w="2338" w:type="dxa"/>
          </w:tcPr>
          <w:p w14:paraId="0431F565" w14:textId="17964DF2" w:rsidR="0056568C" w:rsidRPr="004A30FF" w:rsidRDefault="00057A1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0B9FDAD8" w14:textId="0A977136" w:rsidR="0056568C" w:rsidRPr="004A30FF" w:rsidRDefault="00057A1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52,394.30</w:t>
            </w:r>
          </w:p>
        </w:tc>
      </w:tr>
    </w:tbl>
    <w:p w14:paraId="5476673E" w14:textId="2AB3304D" w:rsidR="00B415C1" w:rsidRPr="004A30FF" w:rsidRDefault="00057A1A"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0,00                       52,394.30</w:t>
      </w:r>
    </w:p>
    <w:p w14:paraId="15119E84" w14:textId="2A3F0654" w:rsidR="00057A1A" w:rsidRPr="004A30FF" w:rsidRDefault="00057A1A"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52,394.30</w:t>
      </w:r>
    </w:p>
    <w:tbl>
      <w:tblPr>
        <w:tblStyle w:val="TableGrid0"/>
        <w:tblW w:w="0" w:type="auto"/>
        <w:tblLook w:val="04A0" w:firstRow="1" w:lastRow="0" w:firstColumn="1" w:lastColumn="0" w:noHBand="0" w:noVBand="1"/>
      </w:tblPr>
      <w:tblGrid>
        <w:gridCol w:w="2306"/>
        <w:gridCol w:w="2464"/>
        <w:gridCol w:w="2290"/>
        <w:gridCol w:w="2290"/>
      </w:tblGrid>
      <w:tr w:rsidR="000E24F7" w:rsidRPr="004A30FF" w14:paraId="767E40FF" w14:textId="77777777" w:rsidTr="000E24F7">
        <w:tc>
          <w:tcPr>
            <w:tcW w:w="2306" w:type="dxa"/>
          </w:tcPr>
          <w:p w14:paraId="778FA5C7" w14:textId="77777777" w:rsidR="000E24F7" w:rsidRPr="004A30FF" w:rsidRDefault="000E24F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6049</w:t>
            </w:r>
          </w:p>
          <w:p w14:paraId="78423AD9" w14:textId="51AD50DA" w:rsidR="000E24F7" w:rsidRPr="004A30FF" w:rsidRDefault="000E24F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464" w:type="dxa"/>
          </w:tcPr>
          <w:p w14:paraId="1FD87F82" w14:textId="05667036" w:rsidR="000E24F7" w:rsidRPr="004A30FF" w:rsidRDefault="000E24F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възнаграждения на персонала в натура</w:t>
            </w:r>
          </w:p>
        </w:tc>
        <w:tc>
          <w:tcPr>
            <w:tcW w:w="2290" w:type="dxa"/>
          </w:tcPr>
          <w:p w14:paraId="4FA06EA0" w14:textId="7FFB1B94" w:rsidR="000E24F7" w:rsidRPr="004A30FF" w:rsidRDefault="000E24F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6049 и кредита на сметката в лева</w:t>
            </w:r>
          </w:p>
        </w:tc>
        <w:tc>
          <w:tcPr>
            <w:tcW w:w="2290" w:type="dxa"/>
          </w:tcPr>
          <w:p w14:paraId="58C0C624" w14:textId="318E00FC" w:rsidR="000E24F7" w:rsidRPr="004A30FF" w:rsidRDefault="000E24F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6049 и дебита на сметката в лева</w:t>
            </w:r>
          </w:p>
        </w:tc>
      </w:tr>
      <w:tr w:rsidR="000E24F7" w:rsidRPr="004A30FF" w14:paraId="3D88C9E5" w14:textId="77777777" w:rsidTr="000E24F7">
        <w:tc>
          <w:tcPr>
            <w:tcW w:w="2306" w:type="dxa"/>
          </w:tcPr>
          <w:p w14:paraId="64906262" w14:textId="4A334D66" w:rsidR="000E24F7" w:rsidRPr="004A30FF" w:rsidRDefault="000E24F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lastRenderedPageBreak/>
              <w:t>4211</w:t>
            </w:r>
          </w:p>
        </w:tc>
        <w:tc>
          <w:tcPr>
            <w:tcW w:w="2464" w:type="dxa"/>
          </w:tcPr>
          <w:p w14:paraId="121B2B3C" w14:textId="4FE1D0A5" w:rsidR="000E24F7" w:rsidRPr="004A30FF" w:rsidRDefault="000E24F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Задължения към работници/служители и друг персонал</w:t>
            </w:r>
          </w:p>
        </w:tc>
        <w:tc>
          <w:tcPr>
            <w:tcW w:w="2290" w:type="dxa"/>
          </w:tcPr>
          <w:p w14:paraId="37566A46" w14:textId="517D615C" w:rsidR="000E24F7" w:rsidRPr="004A30FF" w:rsidRDefault="00055008"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3,957.50</w:t>
            </w:r>
          </w:p>
        </w:tc>
        <w:tc>
          <w:tcPr>
            <w:tcW w:w="2290" w:type="dxa"/>
          </w:tcPr>
          <w:p w14:paraId="0937D23B" w14:textId="6B30B469" w:rsidR="000E24F7" w:rsidRPr="004A30FF" w:rsidRDefault="00055008"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r w:rsidR="000E24F7" w:rsidRPr="004A30FF" w14:paraId="1E09C178" w14:textId="77777777" w:rsidTr="000E24F7">
        <w:tc>
          <w:tcPr>
            <w:tcW w:w="2306" w:type="dxa"/>
          </w:tcPr>
          <w:p w14:paraId="43B63354" w14:textId="09C4ED92" w:rsidR="000E24F7" w:rsidRPr="004A30FF" w:rsidRDefault="000E24F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5013</w:t>
            </w:r>
          </w:p>
        </w:tc>
        <w:tc>
          <w:tcPr>
            <w:tcW w:w="2464" w:type="dxa"/>
          </w:tcPr>
          <w:p w14:paraId="3FDBEEE3" w14:textId="37E0AE28" w:rsidR="000E24F7" w:rsidRPr="004A30FF" w:rsidRDefault="000E24F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Текущи банкови сметки в лева</w:t>
            </w:r>
          </w:p>
        </w:tc>
        <w:tc>
          <w:tcPr>
            <w:tcW w:w="2290" w:type="dxa"/>
          </w:tcPr>
          <w:p w14:paraId="73685E57" w14:textId="025FC74B" w:rsidR="000E24F7" w:rsidRPr="004A30FF" w:rsidRDefault="00055008"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4,588.50</w:t>
            </w:r>
          </w:p>
        </w:tc>
        <w:tc>
          <w:tcPr>
            <w:tcW w:w="2290" w:type="dxa"/>
          </w:tcPr>
          <w:p w14:paraId="05F834AF" w14:textId="69EE8D5D" w:rsidR="000E24F7" w:rsidRPr="004A30FF" w:rsidRDefault="00055008"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631E93F4" w14:textId="5053F61A" w:rsidR="00057A1A" w:rsidRPr="004A30FF" w:rsidRDefault="00055008"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w:t>
      </w:r>
      <w:r w:rsidR="00936E43" w:rsidRPr="004A30FF">
        <w:rPr>
          <w:rFonts w:ascii="Times New Roman" w:hAnsi="Times New Roman" w:cs="Times New Roman"/>
          <w:sz w:val="24"/>
          <w:szCs w:val="24"/>
        </w:rPr>
        <w:t xml:space="preserve">8,546.00             </w:t>
      </w:r>
      <w:r w:rsidR="000E77C4" w:rsidRPr="004A30FF">
        <w:rPr>
          <w:rFonts w:ascii="Times New Roman" w:hAnsi="Times New Roman" w:cs="Times New Roman"/>
          <w:sz w:val="24"/>
          <w:szCs w:val="24"/>
        </w:rPr>
        <w:t xml:space="preserve">       </w:t>
      </w:r>
      <w:r w:rsidR="00936E43" w:rsidRPr="004A30FF">
        <w:rPr>
          <w:rFonts w:ascii="Times New Roman" w:hAnsi="Times New Roman" w:cs="Times New Roman"/>
          <w:sz w:val="24"/>
          <w:szCs w:val="24"/>
        </w:rPr>
        <w:t xml:space="preserve">           0,00</w:t>
      </w:r>
    </w:p>
    <w:p w14:paraId="25757B65" w14:textId="32F99227" w:rsidR="00936E43" w:rsidRPr="004A30FF" w:rsidRDefault="00936E43"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8,546.00</w:t>
      </w:r>
    </w:p>
    <w:tbl>
      <w:tblPr>
        <w:tblStyle w:val="TableGrid0"/>
        <w:tblW w:w="0" w:type="auto"/>
        <w:tblLook w:val="04A0" w:firstRow="1" w:lastRow="0" w:firstColumn="1" w:lastColumn="0" w:noHBand="0" w:noVBand="1"/>
      </w:tblPr>
      <w:tblGrid>
        <w:gridCol w:w="2337"/>
        <w:gridCol w:w="2337"/>
        <w:gridCol w:w="2338"/>
        <w:gridCol w:w="2338"/>
      </w:tblGrid>
      <w:tr w:rsidR="00E51FA7" w:rsidRPr="004A30FF" w14:paraId="4B744FD7" w14:textId="77777777" w:rsidTr="003348EE">
        <w:tc>
          <w:tcPr>
            <w:tcW w:w="2337" w:type="dxa"/>
          </w:tcPr>
          <w:p w14:paraId="5D4E0E73" w14:textId="77777777" w:rsidR="00E51FA7" w:rsidRPr="004A30FF" w:rsidRDefault="00E51FA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6051</w:t>
            </w:r>
          </w:p>
          <w:p w14:paraId="1E541F21" w14:textId="1591E1C7" w:rsidR="00E51FA7" w:rsidRPr="004A30FF" w:rsidRDefault="00E51FA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1C3B06BD" w14:textId="70398D04" w:rsidR="00E51FA7" w:rsidRPr="004A30FF" w:rsidRDefault="00E51FA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осигурителни вноски за ДОО</w:t>
            </w:r>
          </w:p>
        </w:tc>
        <w:tc>
          <w:tcPr>
            <w:tcW w:w="2338" w:type="dxa"/>
          </w:tcPr>
          <w:p w14:paraId="1F7E3AA8" w14:textId="59B4E19B" w:rsidR="00E51FA7" w:rsidRPr="004A30FF" w:rsidRDefault="00E51FA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60</w:t>
            </w:r>
            <w:r w:rsidR="00D21877" w:rsidRPr="004A30FF">
              <w:rPr>
                <w:rFonts w:ascii="Times New Roman" w:hAnsi="Times New Roman" w:cs="Times New Roman"/>
                <w:sz w:val="24"/>
                <w:szCs w:val="24"/>
              </w:rPr>
              <w:t>51</w:t>
            </w:r>
            <w:r w:rsidRPr="004A30FF">
              <w:rPr>
                <w:rFonts w:ascii="Times New Roman" w:hAnsi="Times New Roman" w:cs="Times New Roman"/>
                <w:sz w:val="24"/>
                <w:szCs w:val="24"/>
              </w:rPr>
              <w:t xml:space="preserve"> и кредита на сметката в лева</w:t>
            </w:r>
          </w:p>
        </w:tc>
        <w:tc>
          <w:tcPr>
            <w:tcW w:w="2338" w:type="dxa"/>
          </w:tcPr>
          <w:p w14:paraId="489D0923" w14:textId="40B9830A" w:rsidR="00E51FA7" w:rsidRPr="004A30FF" w:rsidRDefault="00E51FA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60</w:t>
            </w:r>
            <w:r w:rsidR="00D21877" w:rsidRPr="004A30FF">
              <w:rPr>
                <w:rFonts w:ascii="Times New Roman" w:hAnsi="Times New Roman" w:cs="Times New Roman"/>
                <w:sz w:val="24"/>
                <w:szCs w:val="24"/>
              </w:rPr>
              <w:t>51</w:t>
            </w:r>
            <w:r w:rsidRPr="004A30FF">
              <w:rPr>
                <w:rFonts w:ascii="Times New Roman" w:hAnsi="Times New Roman" w:cs="Times New Roman"/>
                <w:sz w:val="24"/>
                <w:szCs w:val="24"/>
              </w:rPr>
              <w:t xml:space="preserve"> и дебита на сметката в лева</w:t>
            </w:r>
          </w:p>
        </w:tc>
      </w:tr>
      <w:tr w:rsidR="00E51FA7" w:rsidRPr="004A30FF" w14:paraId="10350597" w14:textId="77777777" w:rsidTr="003348EE">
        <w:tc>
          <w:tcPr>
            <w:tcW w:w="2337" w:type="dxa"/>
          </w:tcPr>
          <w:p w14:paraId="4827D9ED" w14:textId="619C8692" w:rsidR="00E51FA7" w:rsidRPr="004A30FF" w:rsidRDefault="00E51FA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4555</w:t>
            </w:r>
          </w:p>
        </w:tc>
        <w:tc>
          <w:tcPr>
            <w:tcW w:w="2337" w:type="dxa"/>
          </w:tcPr>
          <w:p w14:paraId="3BE02560" w14:textId="536E95B3" w:rsidR="00E51FA7" w:rsidRPr="004A30FF" w:rsidRDefault="00E51FA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Разчети за вноска за ДОО</w:t>
            </w:r>
          </w:p>
        </w:tc>
        <w:tc>
          <w:tcPr>
            <w:tcW w:w="2338" w:type="dxa"/>
          </w:tcPr>
          <w:p w14:paraId="2106AA45" w14:textId="04EC868A" w:rsidR="00E51FA7" w:rsidRPr="004A30FF" w:rsidRDefault="00E51FA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57,782.63</w:t>
            </w:r>
          </w:p>
        </w:tc>
        <w:tc>
          <w:tcPr>
            <w:tcW w:w="2338" w:type="dxa"/>
          </w:tcPr>
          <w:p w14:paraId="17BEDD1B" w14:textId="45A89724" w:rsidR="00E51FA7" w:rsidRPr="004A30FF" w:rsidRDefault="00E51FA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53CB5AE6" w14:textId="28B6787F" w:rsidR="00936E43" w:rsidRPr="004A30FF" w:rsidRDefault="00E51FA7"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57,782.63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w:t>
      </w:r>
    </w:p>
    <w:p w14:paraId="6BF2578A" w14:textId="6C0D4933" w:rsidR="00E51FA7" w:rsidRPr="004A30FF" w:rsidRDefault="00E51FA7"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57,782.63</w:t>
      </w:r>
    </w:p>
    <w:tbl>
      <w:tblPr>
        <w:tblStyle w:val="TableGrid0"/>
        <w:tblW w:w="0" w:type="auto"/>
        <w:tblLook w:val="04A0" w:firstRow="1" w:lastRow="0" w:firstColumn="1" w:lastColumn="0" w:noHBand="0" w:noVBand="1"/>
      </w:tblPr>
      <w:tblGrid>
        <w:gridCol w:w="2337"/>
        <w:gridCol w:w="2337"/>
        <w:gridCol w:w="2338"/>
        <w:gridCol w:w="2338"/>
      </w:tblGrid>
      <w:tr w:rsidR="00D21877" w:rsidRPr="004A30FF" w14:paraId="4D598FDE" w14:textId="77777777" w:rsidTr="00AA5802">
        <w:tc>
          <w:tcPr>
            <w:tcW w:w="2337" w:type="dxa"/>
          </w:tcPr>
          <w:p w14:paraId="7BF59F14" w14:textId="77777777" w:rsidR="00D21877" w:rsidRPr="004A30FF" w:rsidRDefault="00D2187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6052</w:t>
            </w:r>
          </w:p>
          <w:p w14:paraId="7D234C51" w14:textId="0D14BFBF" w:rsidR="00D21877" w:rsidRPr="004A30FF" w:rsidRDefault="00D2187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4E33C373" w14:textId="662F71C3" w:rsidR="00D21877" w:rsidRPr="004A30FF" w:rsidRDefault="00D2187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здравно осигуряване</w:t>
            </w:r>
          </w:p>
        </w:tc>
        <w:tc>
          <w:tcPr>
            <w:tcW w:w="2338" w:type="dxa"/>
          </w:tcPr>
          <w:p w14:paraId="32DDEEB7" w14:textId="208DEA9C" w:rsidR="00D21877" w:rsidRPr="004A30FF" w:rsidRDefault="00D2187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6052 и кредита на сметката в лева</w:t>
            </w:r>
          </w:p>
        </w:tc>
        <w:tc>
          <w:tcPr>
            <w:tcW w:w="2338" w:type="dxa"/>
          </w:tcPr>
          <w:p w14:paraId="071BB774" w14:textId="78052A60" w:rsidR="00D21877" w:rsidRPr="004A30FF" w:rsidRDefault="00D2187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6052 и дебита на сметката в лева</w:t>
            </w:r>
          </w:p>
        </w:tc>
      </w:tr>
      <w:tr w:rsidR="00D21877" w:rsidRPr="004A30FF" w14:paraId="4326AC1B" w14:textId="77777777" w:rsidTr="00AA5802">
        <w:tc>
          <w:tcPr>
            <w:tcW w:w="2337" w:type="dxa"/>
          </w:tcPr>
          <w:p w14:paraId="7FF1105C" w14:textId="0FF83615" w:rsidR="00D21877" w:rsidRPr="004A30FF" w:rsidRDefault="00D2187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4556</w:t>
            </w:r>
          </w:p>
        </w:tc>
        <w:tc>
          <w:tcPr>
            <w:tcW w:w="2337" w:type="dxa"/>
          </w:tcPr>
          <w:p w14:paraId="5E0D9C05" w14:textId="3CE7D369" w:rsidR="00D21877" w:rsidRPr="004A30FF" w:rsidRDefault="00D2187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Разчети за здравни вноски с НЗК</w:t>
            </w:r>
          </w:p>
        </w:tc>
        <w:tc>
          <w:tcPr>
            <w:tcW w:w="2338" w:type="dxa"/>
          </w:tcPr>
          <w:p w14:paraId="4B275CBC" w14:textId="5E376CB9" w:rsidR="00D21877" w:rsidRPr="004A30FF" w:rsidRDefault="00CE1EC7" w:rsidP="000E77C4">
            <w:pPr>
              <w:spacing w:line="360" w:lineRule="auto"/>
              <w:ind w:firstLine="720"/>
              <w:jc w:val="right"/>
              <w:rPr>
                <w:rFonts w:ascii="Times New Roman" w:hAnsi="Times New Roman" w:cs="Times New Roman"/>
                <w:sz w:val="24"/>
                <w:szCs w:val="24"/>
              </w:rPr>
            </w:pPr>
            <w:r w:rsidRPr="004A30FF">
              <w:rPr>
                <w:rFonts w:ascii="Times New Roman" w:hAnsi="Times New Roman" w:cs="Times New Roman"/>
                <w:sz w:val="24"/>
                <w:szCs w:val="24"/>
              </w:rPr>
              <w:t>20,292.56</w:t>
            </w:r>
          </w:p>
        </w:tc>
        <w:tc>
          <w:tcPr>
            <w:tcW w:w="2338" w:type="dxa"/>
          </w:tcPr>
          <w:p w14:paraId="401D67DF" w14:textId="243C4764" w:rsidR="00D21877" w:rsidRPr="004A30FF" w:rsidRDefault="00CE1EC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1D7BD5D2" w14:textId="4B686126" w:rsidR="00E51FA7" w:rsidRPr="004A30FF" w:rsidRDefault="00CE1EC7"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20,292.56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w:t>
      </w:r>
    </w:p>
    <w:p w14:paraId="71A13EE3" w14:textId="352ED504" w:rsidR="00CE1EC7" w:rsidRPr="004A30FF" w:rsidRDefault="00CE1EC7"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w:t>
      </w:r>
      <w:r w:rsidR="00110879" w:rsidRPr="004A30FF">
        <w:rPr>
          <w:rFonts w:ascii="Times New Roman" w:hAnsi="Times New Roman" w:cs="Times New Roman"/>
          <w:sz w:val="24"/>
          <w:szCs w:val="24"/>
        </w:rPr>
        <w:t>20,292.56</w:t>
      </w:r>
    </w:p>
    <w:tbl>
      <w:tblPr>
        <w:tblStyle w:val="TableGrid0"/>
        <w:tblW w:w="0" w:type="auto"/>
        <w:tblLook w:val="04A0" w:firstRow="1" w:lastRow="0" w:firstColumn="1" w:lastColumn="0" w:noHBand="0" w:noVBand="1"/>
      </w:tblPr>
      <w:tblGrid>
        <w:gridCol w:w="2337"/>
        <w:gridCol w:w="2337"/>
        <w:gridCol w:w="2338"/>
        <w:gridCol w:w="2338"/>
      </w:tblGrid>
      <w:tr w:rsidR="007377BE" w:rsidRPr="004A30FF" w14:paraId="52825096" w14:textId="77777777" w:rsidTr="00110879">
        <w:tc>
          <w:tcPr>
            <w:tcW w:w="2337" w:type="dxa"/>
          </w:tcPr>
          <w:p w14:paraId="44E2867D" w14:textId="77777777" w:rsidR="007377BE" w:rsidRPr="004A30FF" w:rsidRDefault="007377BE"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6055</w:t>
            </w:r>
          </w:p>
          <w:p w14:paraId="142FB9E7" w14:textId="79A9F68E" w:rsidR="007377BE" w:rsidRPr="004A30FF" w:rsidRDefault="007377BE"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05FB9708" w14:textId="4F30D52F" w:rsidR="007377BE" w:rsidRPr="004A30FF" w:rsidRDefault="007377BE"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ДЗПО</w:t>
            </w:r>
          </w:p>
        </w:tc>
        <w:tc>
          <w:tcPr>
            <w:tcW w:w="2338" w:type="dxa"/>
          </w:tcPr>
          <w:p w14:paraId="1FDDC5A8" w14:textId="52C451ED" w:rsidR="007377BE" w:rsidRPr="004A30FF" w:rsidRDefault="007377BE"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6055 и кредита на сметката в лева</w:t>
            </w:r>
          </w:p>
        </w:tc>
        <w:tc>
          <w:tcPr>
            <w:tcW w:w="2338" w:type="dxa"/>
          </w:tcPr>
          <w:p w14:paraId="19F476E8" w14:textId="0359182F" w:rsidR="007377BE" w:rsidRPr="004A30FF" w:rsidRDefault="007377BE"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6055 и дебита на сметката в лева</w:t>
            </w:r>
          </w:p>
        </w:tc>
      </w:tr>
      <w:tr w:rsidR="007377BE" w:rsidRPr="004A30FF" w14:paraId="7F4BC90F" w14:textId="77777777" w:rsidTr="00110879">
        <w:tc>
          <w:tcPr>
            <w:tcW w:w="2337" w:type="dxa"/>
          </w:tcPr>
          <w:p w14:paraId="6C5A6E12" w14:textId="514F7B8C" w:rsidR="007377BE" w:rsidRPr="004A30FF" w:rsidRDefault="007377BE"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4557</w:t>
            </w:r>
          </w:p>
        </w:tc>
        <w:tc>
          <w:tcPr>
            <w:tcW w:w="2337" w:type="dxa"/>
          </w:tcPr>
          <w:p w14:paraId="643D91BD" w14:textId="5326ABEB" w:rsidR="007377BE" w:rsidRPr="004A30FF" w:rsidRDefault="007377BE"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Разчети за ДЗПО</w:t>
            </w:r>
          </w:p>
        </w:tc>
        <w:tc>
          <w:tcPr>
            <w:tcW w:w="2338" w:type="dxa"/>
          </w:tcPr>
          <w:p w14:paraId="290CDA66" w14:textId="1ABE42F5" w:rsidR="007377BE" w:rsidRPr="004A30FF" w:rsidRDefault="003B70E3"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11,371.25</w:t>
            </w:r>
          </w:p>
        </w:tc>
        <w:tc>
          <w:tcPr>
            <w:tcW w:w="2338" w:type="dxa"/>
          </w:tcPr>
          <w:p w14:paraId="6D23539E" w14:textId="76205639" w:rsidR="007377BE" w:rsidRPr="004A30FF" w:rsidRDefault="003B70E3"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4E7BBB9C" w14:textId="5EB153A6" w:rsidR="00110879" w:rsidRPr="004A30FF" w:rsidRDefault="00304C00"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11,371.25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w:t>
      </w:r>
    </w:p>
    <w:p w14:paraId="531144A4" w14:textId="20213538" w:rsidR="00304C00" w:rsidRPr="004A30FF" w:rsidRDefault="00304C00"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11,371.25</w:t>
      </w:r>
    </w:p>
    <w:tbl>
      <w:tblPr>
        <w:tblStyle w:val="TableGrid0"/>
        <w:tblW w:w="0" w:type="auto"/>
        <w:tblLook w:val="04A0" w:firstRow="1" w:lastRow="0" w:firstColumn="1" w:lastColumn="0" w:noHBand="0" w:noVBand="1"/>
      </w:tblPr>
      <w:tblGrid>
        <w:gridCol w:w="2337"/>
        <w:gridCol w:w="2337"/>
        <w:gridCol w:w="2338"/>
        <w:gridCol w:w="2338"/>
      </w:tblGrid>
      <w:tr w:rsidR="00732C3E" w:rsidRPr="004A30FF" w14:paraId="5E90E4EB" w14:textId="77777777" w:rsidTr="005C3333">
        <w:tc>
          <w:tcPr>
            <w:tcW w:w="2337" w:type="dxa"/>
          </w:tcPr>
          <w:p w14:paraId="3FBD2340" w14:textId="77777777" w:rsidR="00732C3E" w:rsidRPr="004A30FF" w:rsidRDefault="00732C3E"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lastRenderedPageBreak/>
              <w:t>Сметка 6062</w:t>
            </w:r>
          </w:p>
          <w:p w14:paraId="4196F9CC" w14:textId="20ED338C" w:rsidR="00732C3E" w:rsidRPr="004A30FF" w:rsidRDefault="00732C3E"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57F9E598" w14:textId="29B13310" w:rsidR="00732C3E" w:rsidRPr="004A30FF" w:rsidRDefault="00732C3E"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общински такси</w:t>
            </w:r>
          </w:p>
        </w:tc>
        <w:tc>
          <w:tcPr>
            <w:tcW w:w="2338" w:type="dxa"/>
          </w:tcPr>
          <w:p w14:paraId="28E9D3EF" w14:textId="5B23B055" w:rsidR="00732C3E" w:rsidRPr="004A30FF" w:rsidRDefault="00732C3E"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6062 и кредита на сметката в лева</w:t>
            </w:r>
          </w:p>
        </w:tc>
        <w:tc>
          <w:tcPr>
            <w:tcW w:w="2338" w:type="dxa"/>
          </w:tcPr>
          <w:p w14:paraId="2D7437E4" w14:textId="12BD2029" w:rsidR="00732C3E" w:rsidRPr="004A30FF" w:rsidRDefault="00732C3E"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6062 и дебита на сметката в лева</w:t>
            </w:r>
          </w:p>
        </w:tc>
      </w:tr>
      <w:tr w:rsidR="00732C3E" w:rsidRPr="004A30FF" w14:paraId="1FFBCC96" w14:textId="77777777" w:rsidTr="005C3333">
        <w:tc>
          <w:tcPr>
            <w:tcW w:w="2337" w:type="dxa"/>
          </w:tcPr>
          <w:p w14:paraId="77AAE2F6" w14:textId="1267D45E" w:rsidR="00732C3E" w:rsidRPr="004A30FF" w:rsidRDefault="00732C3E"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4010</w:t>
            </w:r>
          </w:p>
        </w:tc>
        <w:tc>
          <w:tcPr>
            <w:tcW w:w="2337" w:type="dxa"/>
          </w:tcPr>
          <w:p w14:paraId="71D1DE2B" w14:textId="1D5CC864" w:rsidR="00732C3E" w:rsidRPr="004A30FF" w:rsidRDefault="00732C3E"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Задължения към доставчици в страната</w:t>
            </w:r>
          </w:p>
        </w:tc>
        <w:tc>
          <w:tcPr>
            <w:tcW w:w="2338" w:type="dxa"/>
          </w:tcPr>
          <w:p w14:paraId="1B44F98E" w14:textId="629DD334" w:rsidR="00732C3E" w:rsidRPr="004A30FF" w:rsidRDefault="006C4EF1"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1,943.91</w:t>
            </w:r>
          </w:p>
        </w:tc>
        <w:tc>
          <w:tcPr>
            <w:tcW w:w="2338" w:type="dxa"/>
          </w:tcPr>
          <w:p w14:paraId="40267FA6" w14:textId="3A4D531F" w:rsidR="00732C3E" w:rsidRPr="004A30FF" w:rsidRDefault="006C4EF1"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5C6022DB" w14:textId="072C6DBC" w:rsidR="00E228E0" w:rsidRPr="004A30FF" w:rsidRDefault="006C4EF1"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Всичко обороти за периода</w:t>
      </w:r>
      <w:r w:rsidR="00350FD8" w:rsidRPr="004A30FF">
        <w:rPr>
          <w:rFonts w:ascii="Times New Roman" w:hAnsi="Times New Roman" w:cs="Times New Roman"/>
          <w:sz w:val="24"/>
          <w:szCs w:val="24"/>
        </w:rPr>
        <w:t xml:space="preserve">                                </w:t>
      </w:r>
      <w:r w:rsidR="000E77C4" w:rsidRPr="004A30FF">
        <w:rPr>
          <w:rFonts w:ascii="Times New Roman" w:hAnsi="Times New Roman" w:cs="Times New Roman"/>
          <w:sz w:val="24"/>
          <w:szCs w:val="24"/>
        </w:rPr>
        <w:t xml:space="preserve">                     </w:t>
      </w:r>
      <w:r w:rsidR="00350FD8" w:rsidRPr="004A30FF">
        <w:rPr>
          <w:rFonts w:ascii="Times New Roman" w:hAnsi="Times New Roman" w:cs="Times New Roman"/>
          <w:sz w:val="24"/>
          <w:szCs w:val="24"/>
        </w:rPr>
        <w:t xml:space="preserve">  1,943.91                </w:t>
      </w:r>
      <w:r w:rsidR="000E77C4" w:rsidRPr="004A30FF">
        <w:rPr>
          <w:rFonts w:ascii="Times New Roman" w:hAnsi="Times New Roman" w:cs="Times New Roman"/>
          <w:sz w:val="24"/>
          <w:szCs w:val="24"/>
        </w:rPr>
        <w:t xml:space="preserve">        </w:t>
      </w:r>
      <w:r w:rsidR="00350FD8" w:rsidRPr="004A30FF">
        <w:rPr>
          <w:rFonts w:ascii="Times New Roman" w:hAnsi="Times New Roman" w:cs="Times New Roman"/>
          <w:sz w:val="24"/>
          <w:szCs w:val="24"/>
        </w:rPr>
        <w:t xml:space="preserve">        0,00</w:t>
      </w:r>
    </w:p>
    <w:p w14:paraId="06886E8B" w14:textId="6A2B2C7C" w:rsidR="00350FD8" w:rsidRPr="004A30FF" w:rsidRDefault="00350FD8"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1,943.91</w:t>
      </w:r>
    </w:p>
    <w:tbl>
      <w:tblPr>
        <w:tblStyle w:val="TableGrid0"/>
        <w:tblW w:w="0" w:type="auto"/>
        <w:tblLook w:val="04A0" w:firstRow="1" w:lastRow="0" w:firstColumn="1" w:lastColumn="0" w:noHBand="0" w:noVBand="1"/>
      </w:tblPr>
      <w:tblGrid>
        <w:gridCol w:w="2337"/>
        <w:gridCol w:w="2337"/>
        <w:gridCol w:w="2338"/>
        <w:gridCol w:w="2338"/>
      </w:tblGrid>
      <w:tr w:rsidR="00054B4F" w:rsidRPr="004A30FF" w14:paraId="7F6C35A8" w14:textId="77777777" w:rsidTr="003C455B">
        <w:tc>
          <w:tcPr>
            <w:tcW w:w="2337" w:type="dxa"/>
          </w:tcPr>
          <w:p w14:paraId="642807AF" w14:textId="77777777" w:rsidR="00054B4F" w:rsidRPr="004A30FF" w:rsidRDefault="00054B4F"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6112</w:t>
            </w:r>
          </w:p>
          <w:p w14:paraId="25D8B48D" w14:textId="00331489" w:rsidR="00054B4F" w:rsidRPr="004A30FF" w:rsidRDefault="00054B4F"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05933B1A" w14:textId="4B9CFFDE" w:rsidR="00054B4F" w:rsidRPr="004A30FF" w:rsidRDefault="00054B4F"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Отчетна стойност на продадени материали</w:t>
            </w:r>
          </w:p>
        </w:tc>
        <w:tc>
          <w:tcPr>
            <w:tcW w:w="2338" w:type="dxa"/>
          </w:tcPr>
          <w:p w14:paraId="7C4EF88F" w14:textId="24D0111D" w:rsidR="00054B4F" w:rsidRPr="004A30FF" w:rsidRDefault="00054B4F"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6</w:t>
            </w:r>
            <w:r w:rsidR="00621722" w:rsidRPr="004A30FF">
              <w:rPr>
                <w:rFonts w:ascii="Times New Roman" w:hAnsi="Times New Roman" w:cs="Times New Roman"/>
                <w:sz w:val="24"/>
                <w:szCs w:val="24"/>
              </w:rPr>
              <w:t>11</w:t>
            </w:r>
            <w:r w:rsidRPr="004A30FF">
              <w:rPr>
                <w:rFonts w:ascii="Times New Roman" w:hAnsi="Times New Roman" w:cs="Times New Roman"/>
                <w:sz w:val="24"/>
                <w:szCs w:val="24"/>
              </w:rPr>
              <w:t>2 и кредита на сметката в лева</w:t>
            </w:r>
          </w:p>
        </w:tc>
        <w:tc>
          <w:tcPr>
            <w:tcW w:w="2338" w:type="dxa"/>
          </w:tcPr>
          <w:p w14:paraId="7CA274EA" w14:textId="3A219B7A" w:rsidR="00054B4F" w:rsidRPr="004A30FF" w:rsidRDefault="00054B4F"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6</w:t>
            </w:r>
            <w:r w:rsidR="00621722" w:rsidRPr="004A30FF">
              <w:rPr>
                <w:rFonts w:ascii="Times New Roman" w:hAnsi="Times New Roman" w:cs="Times New Roman"/>
                <w:sz w:val="24"/>
                <w:szCs w:val="24"/>
              </w:rPr>
              <w:t>11</w:t>
            </w:r>
            <w:r w:rsidRPr="004A30FF">
              <w:rPr>
                <w:rFonts w:ascii="Times New Roman" w:hAnsi="Times New Roman" w:cs="Times New Roman"/>
                <w:sz w:val="24"/>
                <w:szCs w:val="24"/>
              </w:rPr>
              <w:t>2 и дебита на сметката в лева</w:t>
            </w:r>
          </w:p>
        </w:tc>
      </w:tr>
      <w:tr w:rsidR="00054B4F" w:rsidRPr="004A30FF" w14:paraId="56EA02E6" w14:textId="77777777" w:rsidTr="003C455B">
        <w:tc>
          <w:tcPr>
            <w:tcW w:w="2337" w:type="dxa"/>
          </w:tcPr>
          <w:p w14:paraId="75536996" w14:textId="621D76C3" w:rsidR="00054B4F" w:rsidRPr="004A30FF" w:rsidRDefault="00054B4F"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30201</w:t>
            </w:r>
          </w:p>
        </w:tc>
        <w:tc>
          <w:tcPr>
            <w:tcW w:w="2337" w:type="dxa"/>
          </w:tcPr>
          <w:p w14:paraId="1C068D90" w14:textId="30EDC59D" w:rsidR="00054B4F" w:rsidRPr="004A30FF" w:rsidRDefault="00054B4F"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Храна</w:t>
            </w:r>
          </w:p>
        </w:tc>
        <w:tc>
          <w:tcPr>
            <w:tcW w:w="2338" w:type="dxa"/>
          </w:tcPr>
          <w:p w14:paraId="4271A0B5" w14:textId="1A77CFD7" w:rsidR="00054B4F" w:rsidRPr="004A30FF" w:rsidRDefault="00621722"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3,957.50</w:t>
            </w:r>
          </w:p>
        </w:tc>
        <w:tc>
          <w:tcPr>
            <w:tcW w:w="2338" w:type="dxa"/>
          </w:tcPr>
          <w:p w14:paraId="1C2F1FF7" w14:textId="33E98CEF" w:rsidR="00054B4F" w:rsidRPr="004A30FF" w:rsidRDefault="00621722"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757B414C" w14:textId="4FF3D1BE" w:rsidR="003C455B" w:rsidRPr="004A30FF" w:rsidRDefault="00805334"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3,957.50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w:t>
      </w:r>
    </w:p>
    <w:p w14:paraId="51C672FB" w14:textId="2A146D14" w:rsidR="00805334" w:rsidRPr="004A30FF" w:rsidRDefault="00805334"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0E77C4" w:rsidRPr="004A30FF">
        <w:rPr>
          <w:rFonts w:ascii="Times New Roman" w:hAnsi="Times New Roman" w:cs="Times New Roman"/>
          <w:sz w:val="24"/>
          <w:szCs w:val="24"/>
        </w:rPr>
        <w:t xml:space="preserve">                     </w:t>
      </w:r>
      <w:r w:rsidR="00E807B7" w:rsidRPr="004A30FF">
        <w:rPr>
          <w:rFonts w:ascii="Times New Roman" w:hAnsi="Times New Roman" w:cs="Times New Roman"/>
          <w:sz w:val="24"/>
          <w:szCs w:val="24"/>
        </w:rPr>
        <w:t>3,957.50</w:t>
      </w:r>
    </w:p>
    <w:tbl>
      <w:tblPr>
        <w:tblStyle w:val="TableGrid0"/>
        <w:tblW w:w="0" w:type="auto"/>
        <w:tblLook w:val="04A0" w:firstRow="1" w:lastRow="0" w:firstColumn="1" w:lastColumn="0" w:noHBand="0" w:noVBand="1"/>
      </w:tblPr>
      <w:tblGrid>
        <w:gridCol w:w="2337"/>
        <w:gridCol w:w="2337"/>
        <w:gridCol w:w="2338"/>
        <w:gridCol w:w="2338"/>
      </w:tblGrid>
      <w:tr w:rsidR="003D2AE4" w:rsidRPr="004A30FF" w14:paraId="779D3D46" w14:textId="77777777" w:rsidTr="00161C5A">
        <w:tc>
          <w:tcPr>
            <w:tcW w:w="2337" w:type="dxa"/>
          </w:tcPr>
          <w:p w14:paraId="205415D4" w14:textId="77777777" w:rsidR="003D2AE4" w:rsidRPr="004A30FF" w:rsidRDefault="003D2AE4"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6146</w:t>
            </w:r>
          </w:p>
          <w:p w14:paraId="088FBCC7" w14:textId="7B5C81F2" w:rsidR="003D2AE4" w:rsidRPr="004A30FF" w:rsidRDefault="003D2AE4"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0D49D7FE" w14:textId="2B587ABB" w:rsidR="003D2AE4" w:rsidRPr="004A30FF" w:rsidRDefault="003D2AE4"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Отчетна стойност на продаден стопански инвентар</w:t>
            </w:r>
          </w:p>
        </w:tc>
        <w:tc>
          <w:tcPr>
            <w:tcW w:w="2338" w:type="dxa"/>
          </w:tcPr>
          <w:p w14:paraId="64EFD981" w14:textId="11174443" w:rsidR="003D2AE4" w:rsidRPr="004A30FF" w:rsidRDefault="003D2AE4"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61</w:t>
            </w:r>
            <w:r w:rsidR="00F85B7A" w:rsidRPr="004A30FF">
              <w:rPr>
                <w:rFonts w:ascii="Times New Roman" w:hAnsi="Times New Roman" w:cs="Times New Roman"/>
                <w:sz w:val="24"/>
                <w:szCs w:val="24"/>
              </w:rPr>
              <w:t>46</w:t>
            </w:r>
            <w:r w:rsidRPr="004A30FF">
              <w:rPr>
                <w:rFonts w:ascii="Times New Roman" w:hAnsi="Times New Roman" w:cs="Times New Roman"/>
                <w:sz w:val="24"/>
                <w:szCs w:val="24"/>
              </w:rPr>
              <w:t xml:space="preserve"> и кредита на сметката в лева</w:t>
            </w:r>
          </w:p>
        </w:tc>
        <w:tc>
          <w:tcPr>
            <w:tcW w:w="2338" w:type="dxa"/>
          </w:tcPr>
          <w:p w14:paraId="60780679" w14:textId="3ACC7562" w:rsidR="003D2AE4" w:rsidRPr="004A30FF" w:rsidRDefault="003D2AE4"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61</w:t>
            </w:r>
            <w:r w:rsidR="00F85B7A" w:rsidRPr="004A30FF">
              <w:rPr>
                <w:rFonts w:ascii="Times New Roman" w:hAnsi="Times New Roman" w:cs="Times New Roman"/>
                <w:sz w:val="24"/>
                <w:szCs w:val="24"/>
              </w:rPr>
              <w:t>46</w:t>
            </w:r>
            <w:r w:rsidRPr="004A30FF">
              <w:rPr>
                <w:rFonts w:ascii="Times New Roman" w:hAnsi="Times New Roman" w:cs="Times New Roman"/>
                <w:sz w:val="24"/>
                <w:szCs w:val="24"/>
              </w:rPr>
              <w:t xml:space="preserve"> и дебита на сметката в лева</w:t>
            </w:r>
          </w:p>
        </w:tc>
      </w:tr>
      <w:tr w:rsidR="003D2AE4" w:rsidRPr="004A30FF" w14:paraId="47AFCAAF" w14:textId="77777777" w:rsidTr="00161C5A">
        <w:tc>
          <w:tcPr>
            <w:tcW w:w="2337" w:type="dxa"/>
          </w:tcPr>
          <w:p w14:paraId="6644A728" w14:textId="5E5EBE0E" w:rsidR="003D2AE4" w:rsidRPr="004A30FF" w:rsidRDefault="003D2AE4"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2060</w:t>
            </w:r>
          </w:p>
        </w:tc>
        <w:tc>
          <w:tcPr>
            <w:tcW w:w="2337" w:type="dxa"/>
          </w:tcPr>
          <w:p w14:paraId="72CD85C4" w14:textId="24048981" w:rsidR="003D2AE4" w:rsidRPr="004A30FF" w:rsidRDefault="003D2AE4"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Стопански инвентар</w:t>
            </w:r>
          </w:p>
        </w:tc>
        <w:tc>
          <w:tcPr>
            <w:tcW w:w="2338" w:type="dxa"/>
          </w:tcPr>
          <w:p w14:paraId="5191A10B" w14:textId="33152182" w:rsidR="003D2AE4" w:rsidRPr="004A30FF" w:rsidRDefault="00F85B7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4,778.16</w:t>
            </w:r>
          </w:p>
        </w:tc>
        <w:tc>
          <w:tcPr>
            <w:tcW w:w="2338" w:type="dxa"/>
          </w:tcPr>
          <w:p w14:paraId="5ADC121D" w14:textId="30986454" w:rsidR="003D2AE4" w:rsidRPr="004A30FF" w:rsidRDefault="00F85B7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29547466" w14:textId="7271F818" w:rsidR="00F85B7A" w:rsidRPr="004A30FF" w:rsidRDefault="008E7D8F"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4,778.16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w:t>
      </w:r>
    </w:p>
    <w:p w14:paraId="395728B2" w14:textId="49BE57F6" w:rsidR="00E807B7" w:rsidRPr="004A30FF" w:rsidRDefault="00F85B7A"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Крайно салдо в лева</w:t>
      </w:r>
      <w:r w:rsidR="008E7D8F" w:rsidRPr="004A30FF">
        <w:rPr>
          <w:rFonts w:ascii="Times New Roman" w:hAnsi="Times New Roman" w:cs="Times New Roman"/>
          <w:sz w:val="24"/>
          <w:szCs w:val="24"/>
        </w:rPr>
        <w:t xml:space="preserve">                                               </w:t>
      </w:r>
      <w:r w:rsidR="000E77C4" w:rsidRPr="004A30FF">
        <w:rPr>
          <w:rFonts w:ascii="Times New Roman" w:hAnsi="Times New Roman" w:cs="Times New Roman"/>
          <w:sz w:val="24"/>
          <w:szCs w:val="24"/>
        </w:rPr>
        <w:t xml:space="preserve">                    </w:t>
      </w:r>
      <w:r w:rsidR="008E7D8F" w:rsidRPr="004A30FF">
        <w:rPr>
          <w:rFonts w:ascii="Times New Roman" w:hAnsi="Times New Roman" w:cs="Times New Roman"/>
          <w:sz w:val="24"/>
          <w:szCs w:val="24"/>
        </w:rPr>
        <w:t>4,778.16</w:t>
      </w:r>
    </w:p>
    <w:tbl>
      <w:tblPr>
        <w:tblStyle w:val="TableGrid0"/>
        <w:tblW w:w="0" w:type="auto"/>
        <w:tblLook w:val="04A0" w:firstRow="1" w:lastRow="0" w:firstColumn="1" w:lastColumn="0" w:noHBand="0" w:noVBand="1"/>
      </w:tblPr>
      <w:tblGrid>
        <w:gridCol w:w="2337"/>
        <w:gridCol w:w="2337"/>
        <w:gridCol w:w="2338"/>
        <w:gridCol w:w="2338"/>
      </w:tblGrid>
      <w:tr w:rsidR="007C6D46" w:rsidRPr="004A30FF" w14:paraId="28147566" w14:textId="77777777" w:rsidTr="00F86FC2">
        <w:tc>
          <w:tcPr>
            <w:tcW w:w="2337" w:type="dxa"/>
          </w:tcPr>
          <w:p w14:paraId="6872FCF7" w14:textId="77777777" w:rsidR="007C6D46" w:rsidRPr="004A30FF" w:rsidRDefault="007C6D46"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6203</w:t>
            </w:r>
          </w:p>
          <w:p w14:paraId="6161E631" w14:textId="5EE51AC6" w:rsidR="007C6D46" w:rsidRPr="004A30FF" w:rsidRDefault="007C6D46"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03C8CFC1" w14:textId="1CF97B17" w:rsidR="007C6D46" w:rsidRPr="004A30FF" w:rsidRDefault="007C6D46"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Разходи за застраховане</w:t>
            </w:r>
          </w:p>
        </w:tc>
        <w:tc>
          <w:tcPr>
            <w:tcW w:w="2338" w:type="dxa"/>
          </w:tcPr>
          <w:p w14:paraId="49D6CC72" w14:textId="13AEBAB6" w:rsidR="007C6D46" w:rsidRPr="004A30FF" w:rsidRDefault="007C6D46"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6203 и кредита на сметката в лева</w:t>
            </w:r>
          </w:p>
        </w:tc>
        <w:tc>
          <w:tcPr>
            <w:tcW w:w="2338" w:type="dxa"/>
          </w:tcPr>
          <w:p w14:paraId="506E0722" w14:textId="5C6EB99A" w:rsidR="007C6D46" w:rsidRPr="004A30FF" w:rsidRDefault="007C6D46"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6203 и дебита на сметката в лева</w:t>
            </w:r>
          </w:p>
        </w:tc>
      </w:tr>
      <w:tr w:rsidR="007C6D46" w:rsidRPr="004A30FF" w14:paraId="2306A91A" w14:textId="77777777" w:rsidTr="00F86FC2">
        <w:tc>
          <w:tcPr>
            <w:tcW w:w="2337" w:type="dxa"/>
          </w:tcPr>
          <w:p w14:paraId="33E89FEC" w14:textId="38164511" w:rsidR="007C6D46" w:rsidRPr="004A30FF" w:rsidRDefault="007C6D46"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5013</w:t>
            </w:r>
          </w:p>
        </w:tc>
        <w:tc>
          <w:tcPr>
            <w:tcW w:w="2337" w:type="dxa"/>
          </w:tcPr>
          <w:p w14:paraId="7E4C00B7" w14:textId="420CAAFA" w:rsidR="007C6D46" w:rsidRPr="004A30FF" w:rsidRDefault="007C6D46"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Текущи банкови сметки в лева</w:t>
            </w:r>
          </w:p>
        </w:tc>
        <w:tc>
          <w:tcPr>
            <w:tcW w:w="2338" w:type="dxa"/>
          </w:tcPr>
          <w:p w14:paraId="44C46078" w14:textId="75309170" w:rsidR="007C6D46" w:rsidRPr="004A30FF" w:rsidRDefault="007C6D46"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1,021.42</w:t>
            </w:r>
          </w:p>
        </w:tc>
        <w:tc>
          <w:tcPr>
            <w:tcW w:w="2338" w:type="dxa"/>
          </w:tcPr>
          <w:p w14:paraId="3CB5BC54" w14:textId="63258B3F" w:rsidR="007C6D46" w:rsidRPr="004A30FF" w:rsidRDefault="007C6D46"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6FE4D1CC" w14:textId="42F27D0C" w:rsidR="00F85B7A" w:rsidRPr="004A30FF" w:rsidRDefault="007C6D46"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1,021.42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w:t>
      </w:r>
    </w:p>
    <w:p w14:paraId="4EF2C3F5" w14:textId="4CBDF65A" w:rsidR="007C6D46" w:rsidRPr="004A30FF" w:rsidRDefault="007C6D46"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1,021.42</w:t>
      </w:r>
    </w:p>
    <w:tbl>
      <w:tblPr>
        <w:tblStyle w:val="TableGrid0"/>
        <w:tblW w:w="0" w:type="auto"/>
        <w:tblLook w:val="04A0" w:firstRow="1" w:lastRow="0" w:firstColumn="1" w:lastColumn="0" w:noHBand="0" w:noVBand="1"/>
      </w:tblPr>
      <w:tblGrid>
        <w:gridCol w:w="2337"/>
        <w:gridCol w:w="2337"/>
        <w:gridCol w:w="2338"/>
        <w:gridCol w:w="2338"/>
      </w:tblGrid>
      <w:tr w:rsidR="00665629" w:rsidRPr="004A30FF" w14:paraId="665F4180" w14:textId="77777777" w:rsidTr="00AC7F79">
        <w:tc>
          <w:tcPr>
            <w:tcW w:w="2337" w:type="dxa"/>
          </w:tcPr>
          <w:p w14:paraId="03B45F1C" w14:textId="77777777" w:rsidR="00665629" w:rsidRPr="004A30FF" w:rsidRDefault="00665629"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lastRenderedPageBreak/>
              <w:t>Сметка 7112</w:t>
            </w:r>
          </w:p>
          <w:p w14:paraId="14E433E9" w14:textId="2C03C1F9" w:rsidR="00665629" w:rsidRPr="004A30FF" w:rsidRDefault="00665629"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11A83289" w14:textId="058A19FD" w:rsidR="00665629" w:rsidRPr="004A30FF" w:rsidRDefault="00665629"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Приходи от продажба на материали</w:t>
            </w:r>
          </w:p>
        </w:tc>
        <w:tc>
          <w:tcPr>
            <w:tcW w:w="2338" w:type="dxa"/>
          </w:tcPr>
          <w:p w14:paraId="7CA770C8" w14:textId="1590EA1D" w:rsidR="00665629" w:rsidRPr="004A30FF" w:rsidRDefault="00665629"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7112 и кредита на сметката в лева</w:t>
            </w:r>
          </w:p>
        </w:tc>
        <w:tc>
          <w:tcPr>
            <w:tcW w:w="2338" w:type="dxa"/>
          </w:tcPr>
          <w:p w14:paraId="3E9E9FA5" w14:textId="0373EE03" w:rsidR="00665629" w:rsidRPr="004A30FF" w:rsidRDefault="00665629"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7112 и дебита на сметката в лева</w:t>
            </w:r>
          </w:p>
        </w:tc>
      </w:tr>
      <w:tr w:rsidR="00665629" w:rsidRPr="004A30FF" w14:paraId="08213C7F" w14:textId="77777777" w:rsidTr="00AC7F79">
        <w:tc>
          <w:tcPr>
            <w:tcW w:w="2337" w:type="dxa"/>
          </w:tcPr>
          <w:p w14:paraId="6F60AD0E" w14:textId="0D453982" w:rsidR="00665629" w:rsidRPr="004A30FF" w:rsidRDefault="00665629"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5013</w:t>
            </w:r>
          </w:p>
        </w:tc>
        <w:tc>
          <w:tcPr>
            <w:tcW w:w="2337" w:type="dxa"/>
          </w:tcPr>
          <w:p w14:paraId="6ADBDEF4" w14:textId="3BC06857" w:rsidR="00665629" w:rsidRPr="004A30FF" w:rsidRDefault="00CB11FD"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Текущи банкови сметки в лева</w:t>
            </w:r>
          </w:p>
        </w:tc>
        <w:tc>
          <w:tcPr>
            <w:tcW w:w="2338" w:type="dxa"/>
          </w:tcPr>
          <w:p w14:paraId="10053400" w14:textId="62344389" w:rsidR="00665629" w:rsidRPr="004A30FF" w:rsidRDefault="00CB11FD"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-3,957.50</w:t>
            </w:r>
          </w:p>
        </w:tc>
        <w:tc>
          <w:tcPr>
            <w:tcW w:w="2338" w:type="dxa"/>
          </w:tcPr>
          <w:p w14:paraId="32A89322" w14:textId="532EA741" w:rsidR="00665629" w:rsidRPr="004A30FF" w:rsidRDefault="00CB11FD"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77A07861" w14:textId="04FAE6B1" w:rsidR="00AC7F79" w:rsidRPr="004A30FF" w:rsidRDefault="00CB11FD"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Всичко обороти за периода</w:t>
      </w:r>
      <w:r w:rsidR="004D696B" w:rsidRPr="004A30FF">
        <w:rPr>
          <w:rFonts w:ascii="Times New Roman" w:hAnsi="Times New Roman" w:cs="Times New Roman"/>
          <w:sz w:val="24"/>
          <w:szCs w:val="24"/>
        </w:rPr>
        <w:t xml:space="preserve">                               </w:t>
      </w:r>
      <w:r w:rsidR="000E77C4" w:rsidRPr="004A30FF">
        <w:rPr>
          <w:rFonts w:ascii="Times New Roman" w:hAnsi="Times New Roman" w:cs="Times New Roman"/>
          <w:sz w:val="24"/>
          <w:szCs w:val="24"/>
        </w:rPr>
        <w:t xml:space="preserve">                    </w:t>
      </w:r>
      <w:r w:rsidR="004D696B" w:rsidRPr="004A30FF">
        <w:rPr>
          <w:rFonts w:ascii="Times New Roman" w:hAnsi="Times New Roman" w:cs="Times New Roman"/>
          <w:sz w:val="24"/>
          <w:szCs w:val="24"/>
        </w:rPr>
        <w:t xml:space="preserve">   -3,957.50                        </w:t>
      </w:r>
      <w:r w:rsidR="000E77C4" w:rsidRPr="004A30FF">
        <w:rPr>
          <w:rFonts w:ascii="Times New Roman" w:hAnsi="Times New Roman" w:cs="Times New Roman"/>
          <w:sz w:val="24"/>
          <w:szCs w:val="24"/>
        </w:rPr>
        <w:t xml:space="preserve">        </w:t>
      </w:r>
      <w:r w:rsidR="004D696B" w:rsidRPr="004A30FF">
        <w:rPr>
          <w:rFonts w:ascii="Times New Roman" w:hAnsi="Times New Roman" w:cs="Times New Roman"/>
          <w:sz w:val="24"/>
          <w:szCs w:val="24"/>
        </w:rPr>
        <w:t>0,00</w:t>
      </w:r>
    </w:p>
    <w:p w14:paraId="7D687403" w14:textId="78101F51" w:rsidR="004D696B" w:rsidRPr="004A30FF" w:rsidRDefault="004D696B"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-3,957.50</w:t>
      </w:r>
    </w:p>
    <w:tbl>
      <w:tblPr>
        <w:tblStyle w:val="TableGrid0"/>
        <w:tblW w:w="0" w:type="auto"/>
        <w:tblLook w:val="04A0" w:firstRow="1" w:lastRow="0" w:firstColumn="1" w:lastColumn="0" w:noHBand="0" w:noVBand="1"/>
      </w:tblPr>
      <w:tblGrid>
        <w:gridCol w:w="2337"/>
        <w:gridCol w:w="2337"/>
        <w:gridCol w:w="2338"/>
        <w:gridCol w:w="2338"/>
      </w:tblGrid>
      <w:tr w:rsidR="001D6151" w:rsidRPr="004A30FF" w14:paraId="680C74E1" w14:textId="77777777" w:rsidTr="00A700C2">
        <w:tc>
          <w:tcPr>
            <w:tcW w:w="2337" w:type="dxa"/>
          </w:tcPr>
          <w:p w14:paraId="1944979A" w14:textId="77777777" w:rsidR="001D6151" w:rsidRPr="004A30FF" w:rsidRDefault="001D6151"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7199</w:t>
            </w:r>
          </w:p>
          <w:p w14:paraId="3E973BD8" w14:textId="3218641E" w:rsidR="001D6151" w:rsidRPr="004A30FF" w:rsidRDefault="001D6151"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4ADFA030" w14:textId="575F6D05" w:rsidR="001D6151" w:rsidRPr="004A30FF" w:rsidRDefault="001D6151"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Други приходи</w:t>
            </w:r>
          </w:p>
        </w:tc>
        <w:tc>
          <w:tcPr>
            <w:tcW w:w="2338" w:type="dxa"/>
          </w:tcPr>
          <w:p w14:paraId="00113FA9" w14:textId="60FAD7AF" w:rsidR="001D6151" w:rsidRPr="004A30FF" w:rsidRDefault="001D6151"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7199 и кредита на сметката в лева</w:t>
            </w:r>
          </w:p>
        </w:tc>
        <w:tc>
          <w:tcPr>
            <w:tcW w:w="2338" w:type="dxa"/>
          </w:tcPr>
          <w:p w14:paraId="30C3F14A" w14:textId="4AA7EA03" w:rsidR="001D6151" w:rsidRPr="004A30FF" w:rsidRDefault="001D6151"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7199 и дебита на сметката в лева</w:t>
            </w:r>
          </w:p>
        </w:tc>
      </w:tr>
      <w:tr w:rsidR="001D6151" w:rsidRPr="004A30FF" w14:paraId="21347B79" w14:textId="77777777" w:rsidTr="00A700C2">
        <w:tc>
          <w:tcPr>
            <w:tcW w:w="2337" w:type="dxa"/>
          </w:tcPr>
          <w:p w14:paraId="40ECD0C7" w14:textId="0FD1B31D" w:rsidR="001D6151" w:rsidRPr="004A30FF" w:rsidRDefault="001D6151"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5013</w:t>
            </w:r>
          </w:p>
        </w:tc>
        <w:tc>
          <w:tcPr>
            <w:tcW w:w="2337" w:type="dxa"/>
          </w:tcPr>
          <w:p w14:paraId="5812317E" w14:textId="07B447C7" w:rsidR="001D6151" w:rsidRPr="004A30FF" w:rsidRDefault="001D6151"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Текущи банкови сметки в лева</w:t>
            </w:r>
          </w:p>
        </w:tc>
        <w:tc>
          <w:tcPr>
            <w:tcW w:w="2338" w:type="dxa"/>
          </w:tcPr>
          <w:p w14:paraId="4D018863" w14:textId="0092387F" w:rsidR="001D6151" w:rsidRPr="004A30FF" w:rsidRDefault="00DF3BF5"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4EDA2118" w14:textId="458A457B" w:rsidR="001D6151" w:rsidRPr="004A30FF" w:rsidRDefault="00DF3BF5"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3,147.39</w:t>
            </w:r>
          </w:p>
        </w:tc>
      </w:tr>
    </w:tbl>
    <w:p w14:paraId="0712D14D" w14:textId="7C50F041" w:rsidR="004D696B" w:rsidRPr="004A30FF" w:rsidRDefault="00312A6C"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3,147.39</w:t>
      </w:r>
    </w:p>
    <w:p w14:paraId="3EB85E16" w14:textId="7FD3F1DF" w:rsidR="00312A6C" w:rsidRPr="004A30FF" w:rsidRDefault="00312A6C"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025D47" w:rsidRPr="004A30FF">
        <w:rPr>
          <w:rFonts w:ascii="Times New Roman" w:hAnsi="Times New Roman" w:cs="Times New Roman"/>
          <w:sz w:val="24"/>
          <w:szCs w:val="24"/>
        </w:rPr>
        <w:t xml:space="preserve">                                        </w:t>
      </w:r>
      <w:r w:rsidR="000E77C4" w:rsidRPr="004A30FF">
        <w:rPr>
          <w:rFonts w:ascii="Times New Roman" w:hAnsi="Times New Roman" w:cs="Times New Roman"/>
          <w:sz w:val="24"/>
          <w:szCs w:val="24"/>
        </w:rPr>
        <w:t xml:space="preserve">                   </w:t>
      </w:r>
      <w:r w:rsidR="00025D47" w:rsidRPr="004A30FF">
        <w:rPr>
          <w:rFonts w:ascii="Times New Roman" w:hAnsi="Times New Roman" w:cs="Times New Roman"/>
          <w:sz w:val="24"/>
          <w:szCs w:val="24"/>
        </w:rPr>
        <w:t xml:space="preserve"> 3,147.39</w:t>
      </w:r>
    </w:p>
    <w:tbl>
      <w:tblPr>
        <w:tblStyle w:val="TableGrid0"/>
        <w:tblW w:w="0" w:type="auto"/>
        <w:tblLook w:val="04A0" w:firstRow="1" w:lastRow="0" w:firstColumn="1" w:lastColumn="0" w:noHBand="0" w:noVBand="1"/>
      </w:tblPr>
      <w:tblGrid>
        <w:gridCol w:w="2337"/>
        <w:gridCol w:w="2337"/>
        <w:gridCol w:w="2338"/>
        <w:gridCol w:w="2338"/>
      </w:tblGrid>
      <w:tr w:rsidR="0051504B" w:rsidRPr="004A30FF" w14:paraId="047F2C0B" w14:textId="77777777" w:rsidTr="00025D47">
        <w:tc>
          <w:tcPr>
            <w:tcW w:w="2337" w:type="dxa"/>
          </w:tcPr>
          <w:p w14:paraId="308B3722" w14:textId="77777777" w:rsidR="0051504B" w:rsidRPr="004A30FF" w:rsidRDefault="0051504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7411</w:t>
            </w:r>
          </w:p>
          <w:p w14:paraId="62D2BF01" w14:textId="49FB3AF1" w:rsidR="0051504B" w:rsidRPr="004A30FF" w:rsidRDefault="0051504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49F66945" w14:textId="576ED030" w:rsidR="0051504B" w:rsidRPr="004A30FF" w:rsidRDefault="0051504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Получени помощи и дарения от страната</w:t>
            </w:r>
          </w:p>
        </w:tc>
        <w:tc>
          <w:tcPr>
            <w:tcW w:w="2338" w:type="dxa"/>
          </w:tcPr>
          <w:p w14:paraId="0D316917" w14:textId="29BD9B73" w:rsidR="0051504B" w:rsidRPr="004A30FF" w:rsidRDefault="0051504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7411 и кредита на сметката в лева</w:t>
            </w:r>
          </w:p>
        </w:tc>
        <w:tc>
          <w:tcPr>
            <w:tcW w:w="2338" w:type="dxa"/>
          </w:tcPr>
          <w:p w14:paraId="3B9955D9" w14:textId="2F619881" w:rsidR="0051504B" w:rsidRPr="004A30FF" w:rsidRDefault="0051504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7411 и дебита на сметката в лева</w:t>
            </w:r>
          </w:p>
        </w:tc>
      </w:tr>
      <w:tr w:rsidR="0051504B" w:rsidRPr="004A30FF" w14:paraId="542BBDC0" w14:textId="77777777" w:rsidTr="00025D47">
        <w:tc>
          <w:tcPr>
            <w:tcW w:w="2337" w:type="dxa"/>
          </w:tcPr>
          <w:p w14:paraId="1DC95D0B" w14:textId="73506AF0" w:rsidR="0051504B" w:rsidRPr="004A30FF" w:rsidRDefault="0051504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5011</w:t>
            </w:r>
          </w:p>
        </w:tc>
        <w:tc>
          <w:tcPr>
            <w:tcW w:w="2337" w:type="dxa"/>
          </w:tcPr>
          <w:p w14:paraId="51032791" w14:textId="7EA18F5D" w:rsidR="0051504B" w:rsidRPr="004A30FF" w:rsidRDefault="0051504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Касови наличности в лева</w:t>
            </w:r>
          </w:p>
        </w:tc>
        <w:tc>
          <w:tcPr>
            <w:tcW w:w="2338" w:type="dxa"/>
          </w:tcPr>
          <w:p w14:paraId="0111C4D7" w14:textId="4F84C94B" w:rsidR="0051504B" w:rsidRPr="004A30FF" w:rsidRDefault="0051504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21B91372" w14:textId="539060E1" w:rsidR="0051504B" w:rsidRPr="004A30FF" w:rsidRDefault="0051504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163.80</w:t>
            </w:r>
          </w:p>
        </w:tc>
      </w:tr>
    </w:tbl>
    <w:p w14:paraId="3D47371A" w14:textId="558E48F6" w:rsidR="00025D47" w:rsidRPr="004A30FF" w:rsidRDefault="00F61493"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0,00                            163.80</w:t>
      </w:r>
    </w:p>
    <w:p w14:paraId="482BAA6D" w14:textId="10B6B275" w:rsidR="00F61493" w:rsidRPr="004A30FF" w:rsidRDefault="00F61493"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163.80</w:t>
      </w:r>
    </w:p>
    <w:tbl>
      <w:tblPr>
        <w:tblStyle w:val="TableGrid0"/>
        <w:tblW w:w="0" w:type="auto"/>
        <w:tblLook w:val="04A0" w:firstRow="1" w:lastRow="0" w:firstColumn="1" w:lastColumn="0" w:noHBand="0" w:noVBand="1"/>
      </w:tblPr>
      <w:tblGrid>
        <w:gridCol w:w="2337"/>
        <w:gridCol w:w="2337"/>
        <w:gridCol w:w="2338"/>
        <w:gridCol w:w="2338"/>
      </w:tblGrid>
      <w:tr w:rsidR="00BA4B6F" w:rsidRPr="004A30FF" w14:paraId="71A57E91" w14:textId="77777777" w:rsidTr="00047952">
        <w:tc>
          <w:tcPr>
            <w:tcW w:w="2337" w:type="dxa"/>
          </w:tcPr>
          <w:p w14:paraId="26B01308" w14:textId="77777777" w:rsidR="00BA4B6F" w:rsidRPr="004A30FF" w:rsidRDefault="00BA4B6F"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750114</w:t>
            </w:r>
          </w:p>
          <w:p w14:paraId="6E556D9B" w14:textId="02737516" w:rsidR="00BA4B6F" w:rsidRPr="004A30FF" w:rsidRDefault="00BA4B6F"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5E5ABBAF" w14:textId="50A151BB" w:rsidR="00BA4B6F" w:rsidRPr="004A30FF" w:rsidRDefault="00BA4B6F"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ДГ „Осми март“ гр. Радомир</w:t>
            </w:r>
          </w:p>
        </w:tc>
        <w:tc>
          <w:tcPr>
            <w:tcW w:w="2338" w:type="dxa"/>
          </w:tcPr>
          <w:p w14:paraId="59DF0376" w14:textId="06BCBE83" w:rsidR="00BA4B6F" w:rsidRPr="004A30FF" w:rsidRDefault="00BA4B6F"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7</w:t>
            </w:r>
            <w:r w:rsidR="00DC3BBF" w:rsidRPr="004A30FF">
              <w:rPr>
                <w:rFonts w:ascii="Times New Roman" w:hAnsi="Times New Roman" w:cs="Times New Roman"/>
                <w:sz w:val="24"/>
                <w:szCs w:val="24"/>
              </w:rPr>
              <w:t>50114</w:t>
            </w:r>
            <w:r w:rsidRPr="004A30FF">
              <w:rPr>
                <w:rFonts w:ascii="Times New Roman" w:hAnsi="Times New Roman" w:cs="Times New Roman"/>
                <w:sz w:val="24"/>
                <w:szCs w:val="24"/>
              </w:rPr>
              <w:t xml:space="preserve"> и кредита на сметката в лева</w:t>
            </w:r>
          </w:p>
        </w:tc>
        <w:tc>
          <w:tcPr>
            <w:tcW w:w="2338" w:type="dxa"/>
          </w:tcPr>
          <w:p w14:paraId="5B94AC5E" w14:textId="69C7B82F" w:rsidR="00BA4B6F" w:rsidRPr="004A30FF" w:rsidRDefault="00BA4B6F"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7</w:t>
            </w:r>
            <w:r w:rsidR="00E53A6F" w:rsidRPr="004A30FF">
              <w:rPr>
                <w:rFonts w:ascii="Times New Roman" w:hAnsi="Times New Roman" w:cs="Times New Roman"/>
                <w:sz w:val="24"/>
                <w:szCs w:val="24"/>
              </w:rPr>
              <w:t>50114</w:t>
            </w:r>
            <w:r w:rsidRPr="004A30FF">
              <w:rPr>
                <w:rFonts w:ascii="Times New Roman" w:hAnsi="Times New Roman" w:cs="Times New Roman"/>
                <w:sz w:val="24"/>
                <w:szCs w:val="24"/>
              </w:rPr>
              <w:t xml:space="preserve"> и дебита на сметката в лева</w:t>
            </w:r>
          </w:p>
        </w:tc>
      </w:tr>
      <w:tr w:rsidR="00BA4B6F" w:rsidRPr="004A30FF" w14:paraId="49B49552" w14:textId="77777777" w:rsidTr="00047952">
        <w:tc>
          <w:tcPr>
            <w:tcW w:w="2337" w:type="dxa"/>
          </w:tcPr>
          <w:p w14:paraId="74F57A82" w14:textId="29EFEE2B" w:rsidR="00BA4B6F" w:rsidRPr="004A30FF" w:rsidRDefault="00BA4B6F"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5013</w:t>
            </w:r>
          </w:p>
        </w:tc>
        <w:tc>
          <w:tcPr>
            <w:tcW w:w="2337" w:type="dxa"/>
          </w:tcPr>
          <w:p w14:paraId="0869B48E" w14:textId="752AADB4" w:rsidR="00BA4B6F" w:rsidRPr="004A30FF" w:rsidRDefault="00BA4B6F"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Текущи банкови сметки в лева</w:t>
            </w:r>
          </w:p>
        </w:tc>
        <w:tc>
          <w:tcPr>
            <w:tcW w:w="2338" w:type="dxa"/>
          </w:tcPr>
          <w:p w14:paraId="5A4071A5" w14:textId="31D14AC5" w:rsidR="00BA4B6F" w:rsidRPr="004A30FF" w:rsidRDefault="00E53A6F"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75549A69" w14:textId="42E98ECA" w:rsidR="00BA4B6F" w:rsidRPr="004A30FF" w:rsidRDefault="00C73FC9"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651,</w:t>
            </w:r>
            <w:r w:rsidR="00BA1788" w:rsidRPr="004A30FF">
              <w:rPr>
                <w:rFonts w:ascii="Times New Roman" w:hAnsi="Times New Roman" w:cs="Times New Roman"/>
                <w:sz w:val="24"/>
                <w:szCs w:val="24"/>
              </w:rPr>
              <w:t>518.95</w:t>
            </w:r>
          </w:p>
        </w:tc>
      </w:tr>
      <w:tr w:rsidR="00BA4B6F" w:rsidRPr="004A30FF" w14:paraId="745E462A" w14:textId="77777777" w:rsidTr="00047952">
        <w:tc>
          <w:tcPr>
            <w:tcW w:w="2337" w:type="dxa"/>
          </w:tcPr>
          <w:p w14:paraId="2FD14946" w14:textId="04499067" w:rsidR="00BA4B6F" w:rsidRPr="004A30FF" w:rsidRDefault="00BA4B6F"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5013</w:t>
            </w:r>
          </w:p>
        </w:tc>
        <w:tc>
          <w:tcPr>
            <w:tcW w:w="2337" w:type="dxa"/>
          </w:tcPr>
          <w:p w14:paraId="0AF4DE25" w14:textId="2B1B08A0" w:rsidR="00BA4B6F" w:rsidRPr="004A30FF" w:rsidRDefault="00BA4B6F"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Текущи банкови сметки в лева</w:t>
            </w:r>
          </w:p>
        </w:tc>
        <w:tc>
          <w:tcPr>
            <w:tcW w:w="2338" w:type="dxa"/>
          </w:tcPr>
          <w:p w14:paraId="6EFAF181" w14:textId="43798511" w:rsidR="00BA4B6F" w:rsidRPr="004A30FF" w:rsidRDefault="00E53A6F"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4.24</w:t>
            </w:r>
          </w:p>
        </w:tc>
        <w:tc>
          <w:tcPr>
            <w:tcW w:w="2338" w:type="dxa"/>
          </w:tcPr>
          <w:p w14:paraId="2C0FC751" w14:textId="74463083" w:rsidR="00BA4B6F" w:rsidRPr="004A30FF" w:rsidRDefault="00BA1788"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054878B1" w14:textId="758E238F" w:rsidR="00F61493" w:rsidRPr="004A30FF" w:rsidRDefault="00BA1788"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4.24                      651,518.95</w:t>
      </w:r>
    </w:p>
    <w:p w14:paraId="2B8C87B0" w14:textId="500130BF" w:rsidR="00BA1788" w:rsidRPr="004A30FF" w:rsidRDefault="00BA1788"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lastRenderedPageBreak/>
        <w:t xml:space="preserve">Крайно салдо в лева                                      </w:t>
      </w:r>
      <w:r w:rsidR="00F64F02" w:rsidRPr="004A30FF">
        <w:rPr>
          <w:rFonts w:ascii="Times New Roman" w:hAnsi="Times New Roman" w:cs="Times New Roman"/>
          <w:sz w:val="24"/>
          <w:szCs w:val="24"/>
        </w:rPr>
        <w:t xml:space="preserve">  </w:t>
      </w:r>
      <w:r w:rsidR="000E77C4" w:rsidRPr="004A30FF">
        <w:rPr>
          <w:rFonts w:ascii="Times New Roman" w:hAnsi="Times New Roman" w:cs="Times New Roman"/>
          <w:sz w:val="24"/>
          <w:szCs w:val="24"/>
        </w:rPr>
        <w:t xml:space="preserve">                                                            </w:t>
      </w:r>
      <w:r w:rsidR="00F64F02" w:rsidRPr="004A30FF">
        <w:rPr>
          <w:rFonts w:ascii="Times New Roman" w:hAnsi="Times New Roman" w:cs="Times New Roman"/>
          <w:sz w:val="24"/>
          <w:szCs w:val="24"/>
        </w:rPr>
        <w:t xml:space="preserve">  -651,514.71</w:t>
      </w:r>
    </w:p>
    <w:tbl>
      <w:tblPr>
        <w:tblStyle w:val="TableGrid0"/>
        <w:tblW w:w="0" w:type="auto"/>
        <w:tblLook w:val="04A0" w:firstRow="1" w:lastRow="0" w:firstColumn="1" w:lastColumn="0" w:noHBand="0" w:noVBand="1"/>
      </w:tblPr>
      <w:tblGrid>
        <w:gridCol w:w="2337"/>
        <w:gridCol w:w="2337"/>
        <w:gridCol w:w="2338"/>
        <w:gridCol w:w="2338"/>
      </w:tblGrid>
      <w:tr w:rsidR="00DF32DA" w:rsidRPr="004A30FF" w14:paraId="15B045DE" w14:textId="77777777" w:rsidTr="00AC3CA7">
        <w:tc>
          <w:tcPr>
            <w:tcW w:w="2337" w:type="dxa"/>
          </w:tcPr>
          <w:p w14:paraId="0E9A72E3" w14:textId="77777777" w:rsidR="00DF32DA" w:rsidRPr="004A30FF" w:rsidRDefault="00DF32D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7522</w:t>
            </w:r>
          </w:p>
          <w:p w14:paraId="31575187" w14:textId="2A2276B0" w:rsidR="00DF32DA" w:rsidRPr="004A30FF" w:rsidRDefault="00DF32D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7DDF766A" w14:textId="573BD354" w:rsidR="00DF32DA" w:rsidRPr="004A30FF" w:rsidRDefault="00DF32D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 xml:space="preserve">Касови трансфери от/за бюджета </w:t>
            </w:r>
            <w:r w:rsidR="00973B48" w:rsidRPr="004A30FF">
              <w:rPr>
                <w:rFonts w:ascii="Times New Roman" w:hAnsi="Times New Roman" w:cs="Times New Roman"/>
                <w:sz w:val="24"/>
                <w:szCs w:val="24"/>
              </w:rPr>
              <w:t>на бюджетни организации</w:t>
            </w:r>
          </w:p>
        </w:tc>
        <w:tc>
          <w:tcPr>
            <w:tcW w:w="2338" w:type="dxa"/>
          </w:tcPr>
          <w:p w14:paraId="00CEC090" w14:textId="004588EA" w:rsidR="00DF32DA" w:rsidRPr="004A30FF" w:rsidRDefault="00DF32D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7522 и кредита на сметката в лева</w:t>
            </w:r>
          </w:p>
        </w:tc>
        <w:tc>
          <w:tcPr>
            <w:tcW w:w="2338" w:type="dxa"/>
          </w:tcPr>
          <w:p w14:paraId="16BE1820" w14:textId="6D1EFD15" w:rsidR="00DF32DA" w:rsidRPr="004A30FF" w:rsidRDefault="00DF32D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7522 и дебита на сметката в лева</w:t>
            </w:r>
          </w:p>
        </w:tc>
      </w:tr>
      <w:tr w:rsidR="00DF32DA" w:rsidRPr="004A30FF" w14:paraId="17C8FF98" w14:textId="77777777" w:rsidTr="00AC3CA7">
        <w:tc>
          <w:tcPr>
            <w:tcW w:w="2337" w:type="dxa"/>
          </w:tcPr>
          <w:p w14:paraId="26750425" w14:textId="15845497" w:rsidR="00DF32DA" w:rsidRPr="004A30FF" w:rsidRDefault="00DF32D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5013</w:t>
            </w:r>
          </w:p>
        </w:tc>
        <w:tc>
          <w:tcPr>
            <w:tcW w:w="2337" w:type="dxa"/>
          </w:tcPr>
          <w:p w14:paraId="722CBAE5" w14:textId="490AF234" w:rsidR="00DF32DA" w:rsidRPr="004A30FF" w:rsidRDefault="00DF32D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Текущи банкови сметки в лева</w:t>
            </w:r>
          </w:p>
        </w:tc>
        <w:tc>
          <w:tcPr>
            <w:tcW w:w="2338" w:type="dxa"/>
          </w:tcPr>
          <w:p w14:paraId="390AD545" w14:textId="3D610EEC" w:rsidR="00DF32DA" w:rsidRPr="004A30FF" w:rsidRDefault="00973B48"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6FA493DA" w14:textId="1CC0A597" w:rsidR="00DF32DA" w:rsidRPr="004A30FF" w:rsidRDefault="00973B48"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7,500.00</w:t>
            </w:r>
          </w:p>
        </w:tc>
      </w:tr>
    </w:tbl>
    <w:p w14:paraId="1D554830" w14:textId="1BD486C9" w:rsidR="00F64F02" w:rsidRPr="004A30FF" w:rsidRDefault="008574CB"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7,500.00</w:t>
      </w:r>
    </w:p>
    <w:p w14:paraId="341CC810" w14:textId="5D7F9D98" w:rsidR="008574CB" w:rsidRPr="004A30FF" w:rsidRDefault="008574CB"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7,500.00</w:t>
      </w:r>
    </w:p>
    <w:tbl>
      <w:tblPr>
        <w:tblStyle w:val="TableGrid0"/>
        <w:tblW w:w="0" w:type="auto"/>
        <w:tblLook w:val="04A0" w:firstRow="1" w:lastRow="0" w:firstColumn="1" w:lastColumn="0" w:noHBand="0" w:noVBand="1"/>
      </w:tblPr>
      <w:tblGrid>
        <w:gridCol w:w="2337"/>
        <w:gridCol w:w="2337"/>
        <w:gridCol w:w="2338"/>
        <w:gridCol w:w="2338"/>
      </w:tblGrid>
      <w:tr w:rsidR="00623D53" w:rsidRPr="004A30FF" w14:paraId="60311C41" w14:textId="77777777" w:rsidTr="00490B74">
        <w:tc>
          <w:tcPr>
            <w:tcW w:w="2337" w:type="dxa"/>
          </w:tcPr>
          <w:p w14:paraId="6EE11829" w14:textId="77777777" w:rsidR="00623D53" w:rsidRPr="004A30FF" w:rsidRDefault="00623D53"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7992</w:t>
            </w:r>
          </w:p>
          <w:p w14:paraId="0C292FF6" w14:textId="775A88B1" w:rsidR="00623D53" w:rsidRPr="004A30FF" w:rsidRDefault="00623D53"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2321BA8C" w14:textId="182A16C9" w:rsidR="00623D53" w:rsidRPr="004A30FF" w:rsidRDefault="00623D53"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Увеличение на нефинансовите ДА от други събития</w:t>
            </w:r>
          </w:p>
        </w:tc>
        <w:tc>
          <w:tcPr>
            <w:tcW w:w="2338" w:type="dxa"/>
          </w:tcPr>
          <w:p w14:paraId="5FFE5FF4" w14:textId="1D4AE129" w:rsidR="00623D53" w:rsidRPr="004A30FF" w:rsidRDefault="00623D53"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7992 и кредита на сметката в лева</w:t>
            </w:r>
          </w:p>
        </w:tc>
        <w:tc>
          <w:tcPr>
            <w:tcW w:w="2338" w:type="dxa"/>
          </w:tcPr>
          <w:p w14:paraId="3CB3FE57" w14:textId="61204B10" w:rsidR="00623D53" w:rsidRPr="004A30FF" w:rsidRDefault="00623D53"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7992 и дебита на сметката в лева</w:t>
            </w:r>
          </w:p>
        </w:tc>
      </w:tr>
      <w:tr w:rsidR="00623D53" w:rsidRPr="004A30FF" w14:paraId="5C7D0C02" w14:textId="77777777" w:rsidTr="00490B74">
        <w:tc>
          <w:tcPr>
            <w:tcW w:w="2337" w:type="dxa"/>
          </w:tcPr>
          <w:p w14:paraId="5715E2D9" w14:textId="20204A48" w:rsidR="00623D53" w:rsidRPr="004A30FF" w:rsidRDefault="00623D53"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2416</w:t>
            </w:r>
          </w:p>
        </w:tc>
        <w:tc>
          <w:tcPr>
            <w:tcW w:w="2337" w:type="dxa"/>
          </w:tcPr>
          <w:p w14:paraId="7DAC749F" w14:textId="616E7AA9" w:rsidR="00623D53" w:rsidRPr="004A30FF" w:rsidRDefault="00623D53"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Амортизация на стопански инвентар</w:t>
            </w:r>
          </w:p>
        </w:tc>
        <w:tc>
          <w:tcPr>
            <w:tcW w:w="2338" w:type="dxa"/>
          </w:tcPr>
          <w:p w14:paraId="5C02F723" w14:textId="088DA2FC" w:rsidR="00623D53" w:rsidRPr="004A30FF" w:rsidRDefault="004D7A3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78CFF1D2" w14:textId="2ABB4FF9" w:rsidR="00623D53" w:rsidRPr="004A30FF" w:rsidRDefault="004D7A3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1,400.46</w:t>
            </w:r>
          </w:p>
        </w:tc>
      </w:tr>
    </w:tbl>
    <w:p w14:paraId="1E15C2DA" w14:textId="7D82CD16" w:rsidR="008574CB" w:rsidRPr="004A30FF" w:rsidRDefault="004D7A3A"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0,00                         1,400.46</w:t>
      </w:r>
    </w:p>
    <w:p w14:paraId="27D331EA" w14:textId="450CE708" w:rsidR="004D7A3A" w:rsidRPr="004A30FF" w:rsidRDefault="004D7A3A"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1,400.46</w:t>
      </w:r>
    </w:p>
    <w:tbl>
      <w:tblPr>
        <w:tblStyle w:val="TableGrid0"/>
        <w:tblW w:w="0" w:type="auto"/>
        <w:tblLook w:val="04A0" w:firstRow="1" w:lastRow="0" w:firstColumn="1" w:lastColumn="0" w:noHBand="0" w:noVBand="1"/>
      </w:tblPr>
      <w:tblGrid>
        <w:gridCol w:w="2337"/>
        <w:gridCol w:w="2337"/>
        <w:gridCol w:w="2338"/>
        <w:gridCol w:w="2338"/>
      </w:tblGrid>
      <w:tr w:rsidR="00465065" w:rsidRPr="004A30FF" w14:paraId="51044602" w14:textId="77777777" w:rsidTr="00A77358">
        <w:tc>
          <w:tcPr>
            <w:tcW w:w="2337" w:type="dxa"/>
          </w:tcPr>
          <w:p w14:paraId="30BCAC1E" w14:textId="77777777" w:rsidR="00465065" w:rsidRPr="004A30FF" w:rsidRDefault="00465065"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9200</w:t>
            </w:r>
          </w:p>
          <w:p w14:paraId="1B694925" w14:textId="1A1D3116" w:rsidR="00465065" w:rsidRPr="004A30FF" w:rsidRDefault="00465065"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3127CF4F" w14:textId="5567872E" w:rsidR="00465065" w:rsidRPr="004A30FF" w:rsidRDefault="00465065"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Поети задължения по договори</w:t>
            </w:r>
          </w:p>
        </w:tc>
        <w:tc>
          <w:tcPr>
            <w:tcW w:w="2338" w:type="dxa"/>
          </w:tcPr>
          <w:p w14:paraId="5F48CC62" w14:textId="4DAFA04D" w:rsidR="00465065" w:rsidRPr="004A30FF" w:rsidRDefault="00465065"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9200 и кредита на сметката в лева</w:t>
            </w:r>
          </w:p>
        </w:tc>
        <w:tc>
          <w:tcPr>
            <w:tcW w:w="2338" w:type="dxa"/>
          </w:tcPr>
          <w:p w14:paraId="06D5BEC5" w14:textId="0F976E60" w:rsidR="00465065" w:rsidRPr="004A30FF" w:rsidRDefault="00465065"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9200 и дебита на сметката в лева</w:t>
            </w:r>
          </w:p>
        </w:tc>
      </w:tr>
      <w:tr w:rsidR="00465065" w:rsidRPr="004A30FF" w14:paraId="6E36B47C" w14:textId="77777777" w:rsidTr="00A77358">
        <w:tc>
          <w:tcPr>
            <w:tcW w:w="2337" w:type="dxa"/>
          </w:tcPr>
          <w:p w14:paraId="2BFEAEA4" w14:textId="77777777" w:rsidR="00465065" w:rsidRPr="004A30FF" w:rsidRDefault="00465065" w:rsidP="000E77C4">
            <w:pPr>
              <w:spacing w:line="360" w:lineRule="auto"/>
              <w:jc w:val="right"/>
              <w:rPr>
                <w:rFonts w:ascii="Times New Roman" w:hAnsi="Times New Roman" w:cs="Times New Roman"/>
                <w:sz w:val="24"/>
                <w:szCs w:val="24"/>
              </w:rPr>
            </w:pPr>
          </w:p>
        </w:tc>
        <w:tc>
          <w:tcPr>
            <w:tcW w:w="2337" w:type="dxa"/>
          </w:tcPr>
          <w:p w14:paraId="647EA357" w14:textId="17FB3885" w:rsidR="00465065" w:rsidRPr="004A30FF" w:rsidRDefault="00465065"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Начално салдо</w:t>
            </w:r>
          </w:p>
        </w:tc>
        <w:tc>
          <w:tcPr>
            <w:tcW w:w="2338" w:type="dxa"/>
          </w:tcPr>
          <w:p w14:paraId="694D31AC" w14:textId="0CD3B410" w:rsidR="00465065" w:rsidRPr="004A30FF" w:rsidRDefault="00E80F11"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517770FF" w14:textId="53A26ED2" w:rsidR="00465065" w:rsidRPr="004A30FF" w:rsidRDefault="00E80F11"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70</w:t>
            </w:r>
            <w:r w:rsidR="00925303" w:rsidRPr="004A30FF">
              <w:rPr>
                <w:rFonts w:ascii="Times New Roman" w:hAnsi="Times New Roman" w:cs="Times New Roman"/>
                <w:sz w:val="24"/>
                <w:szCs w:val="24"/>
              </w:rPr>
              <w:t>,724.31</w:t>
            </w:r>
          </w:p>
        </w:tc>
      </w:tr>
      <w:tr w:rsidR="00465065" w:rsidRPr="004A30FF" w14:paraId="2F008D54" w14:textId="77777777" w:rsidTr="00A77358">
        <w:tc>
          <w:tcPr>
            <w:tcW w:w="2337" w:type="dxa"/>
          </w:tcPr>
          <w:p w14:paraId="43B6EEAF" w14:textId="040CDDF8" w:rsidR="00465065" w:rsidRPr="004A30FF" w:rsidRDefault="00465065"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9800</w:t>
            </w:r>
          </w:p>
        </w:tc>
        <w:tc>
          <w:tcPr>
            <w:tcW w:w="2337" w:type="dxa"/>
          </w:tcPr>
          <w:p w14:paraId="5BEF904E" w14:textId="3DDCF839" w:rsidR="00465065" w:rsidRPr="004A30FF" w:rsidRDefault="00465065"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Възникване на ангажименти за разходи</w:t>
            </w:r>
          </w:p>
        </w:tc>
        <w:tc>
          <w:tcPr>
            <w:tcW w:w="2338" w:type="dxa"/>
          </w:tcPr>
          <w:p w14:paraId="107FED49" w14:textId="37D11F48" w:rsidR="00465065" w:rsidRPr="004A30FF" w:rsidRDefault="00E80F11"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16BEC10B" w14:textId="72B156BA" w:rsidR="00465065" w:rsidRPr="004A30FF" w:rsidRDefault="00E80F11"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19,255.68</w:t>
            </w:r>
          </w:p>
        </w:tc>
      </w:tr>
      <w:tr w:rsidR="00465065" w:rsidRPr="004A30FF" w14:paraId="38DE357D" w14:textId="77777777" w:rsidTr="00A77358">
        <w:tc>
          <w:tcPr>
            <w:tcW w:w="2337" w:type="dxa"/>
          </w:tcPr>
          <w:p w14:paraId="433A8A2F" w14:textId="62E3D4DB" w:rsidR="00465065" w:rsidRPr="004A30FF" w:rsidRDefault="00465065"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9803</w:t>
            </w:r>
          </w:p>
        </w:tc>
        <w:tc>
          <w:tcPr>
            <w:tcW w:w="2337" w:type="dxa"/>
          </w:tcPr>
          <w:p w14:paraId="37D40F88" w14:textId="4C361A3D" w:rsidR="00465065" w:rsidRPr="004A30FF" w:rsidRDefault="00465065"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Реализирани ангажименти за разходи</w:t>
            </w:r>
          </w:p>
        </w:tc>
        <w:tc>
          <w:tcPr>
            <w:tcW w:w="2338" w:type="dxa"/>
          </w:tcPr>
          <w:p w14:paraId="5D64A1CE" w14:textId="1383D97C" w:rsidR="00465065" w:rsidRPr="004A30FF" w:rsidRDefault="00E80F11"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43,577.13</w:t>
            </w:r>
          </w:p>
        </w:tc>
        <w:tc>
          <w:tcPr>
            <w:tcW w:w="2338" w:type="dxa"/>
          </w:tcPr>
          <w:p w14:paraId="78A04E06" w14:textId="51AF6543" w:rsidR="00465065" w:rsidRPr="004A30FF" w:rsidRDefault="00E80F11"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06127A97" w14:textId="0DD4BA5A" w:rsidR="004D7A3A" w:rsidRPr="004A30FF" w:rsidRDefault="00925303"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43,577.13                       </w:t>
      </w:r>
      <w:r w:rsidR="006366B9" w:rsidRPr="004A30FF">
        <w:rPr>
          <w:rFonts w:ascii="Times New Roman" w:hAnsi="Times New Roman" w:cs="Times New Roman"/>
          <w:sz w:val="24"/>
          <w:szCs w:val="24"/>
        </w:rPr>
        <w:t>89,979.99</w:t>
      </w:r>
    </w:p>
    <w:p w14:paraId="14677C66" w14:textId="03D6529F" w:rsidR="006366B9" w:rsidRPr="004A30FF" w:rsidRDefault="006366B9"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-46,402.86</w:t>
      </w:r>
    </w:p>
    <w:tbl>
      <w:tblPr>
        <w:tblStyle w:val="TableGrid0"/>
        <w:tblW w:w="0" w:type="auto"/>
        <w:tblLook w:val="04A0" w:firstRow="1" w:lastRow="0" w:firstColumn="1" w:lastColumn="0" w:noHBand="0" w:noVBand="1"/>
      </w:tblPr>
      <w:tblGrid>
        <w:gridCol w:w="2337"/>
        <w:gridCol w:w="2337"/>
        <w:gridCol w:w="2338"/>
        <w:gridCol w:w="2338"/>
      </w:tblGrid>
      <w:tr w:rsidR="00780B5B" w:rsidRPr="004A30FF" w14:paraId="73B1A9C7" w14:textId="77777777" w:rsidTr="00E30899">
        <w:tc>
          <w:tcPr>
            <w:tcW w:w="2337" w:type="dxa"/>
          </w:tcPr>
          <w:p w14:paraId="1A4D8C91" w14:textId="77777777" w:rsidR="00780B5B" w:rsidRPr="004A30FF" w:rsidRDefault="00780B5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lastRenderedPageBreak/>
              <w:t>Сметка 9800</w:t>
            </w:r>
          </w:p>
          <w:p w14:paraId="6E3B3B30" w14:textId="51B38CF1" w:rsidR="00780B5B" w:rsidRPr="004A30FF" w:rsidRDefault="00780B5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715AA116" w14:textId="2F3AA88C" w:rsidR="00780B5B" w:rsidRPr="004A30FF" w:rsidRDefault="00780B5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Възникване на ангажименти за разходи</w:t>
            </w:r>
          </w:p>
        </w:tc>
        <w:tc>
          <w:tcPr>
            <w:tcW w:w="2338" w:type="dxa"/>
          </w:tcPr>
          <w:p w14:paraId="3CE2C48D" w14:textId="65AD82A2" w:rsidR="00780B5B" w:rsidRPr="004A30FF" w:rsidRDefault="00780B5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9800 и кредита на сметката в лева</w:t>
            </w:r>
          </w:p>
        </w:tc>
        <w:tc>
          <w:tcPr>
            <w:tcW w:w="2338" w:type="dxa"/>
          </w:tcPr>
          <w:p w14:paraId="629B1CED" w14:textId="67BB5CE9" w:rsidR="00780B5B" w:rsidRPr="004A30FF" w:rsidRDefault="00780B5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9800 и дебита на сметката в лева</w:t>
            </w:r>
          </w:p>
        </w:tc>
      </w:tr>
      <w:tr w:rsidR="00780B5B" w:rsidRPr="004A30FF" w14:paraId="43ABA3CD" w14:textId="77777777" w:rsidTr="00E30899">
        <w:tc>
          <w:tcPr>
            <w:tcW w:w="2337" w:type="dxa"/>
          </w:tcPr>
          <w:p w14:paraId="01CB36E6" w14:textId="33AE4D8D" w:rsidR="00780B5B" w:rsidRPr="004A30FF" w:rsidRDefault="00780B5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9200</w:t>
            </w:r>
          </w:p>
        </w:tc>
        <w:tc>
          <w:tcPr>
            <w:tcW w:w="2337" w:type="dxa"/>
          </w:tcPr>
          <w:p w14:paraId="6C05D5EA" w14:textId="72AA6675" w:rsidR="00780B5B" w:rsidRPr="004A30FF" w:rsidRDefault="00780B5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Поети задължения по договори</w:t>
            </w:r>
          </w:p>
        </w:tc>
        <w:tc>
          <w:tcPr>
            <w:tcW w:w="2338" w:type="dxa"/>
          </w:tcPr>
          <w:p w14:paraId="36EC7356" w14:textId="54DC13CA" w:rsidR="00780B5B" w:rsidRPr="004A30FF" w:rsidRDefault="002E649D"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19,255.68</w:t>
            </w:r>
          </w:p>
        </w:tc>
        <w:tc>
          <w:tcPr>
            <w:tcW w:w="2338" w:type="dxa"/>
          </w:tcPr>
          <w:p w14:paraId="2811886E" w14:textId="20ADEEF6" w:rsidR="002E649D" w:rsidRPr="004A30FF" w:rsidRDefault="002E649D"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356AAA73" w14:textId="15144D63" w:rsidR="006366B9" w:rsidRPr="004A30FF" w:rsidRDefault="002E649D"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19,255.68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w:t>
      </w:r>
    </w:p>
    <w:p w14:paraId="0F28F78A" w14:textId="19A21245" w:rsidR="007726C6" w:rsidRPr="004A30FF" w:rsidRDefault="007726C6"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Крайно салдо в лева</w:t>
      </w:r>
      <w:r w:rsidR="0056140B" w:rsidRPr="004A30FF">
        <w:rPr>
          <w:rFonts w:ascii="Times New Roman" w:hAnsi="Times New Roman" w:cs="Times New Roman"/>
          <w:sz w:val="24"/>
          <w:szCs w:val="24"/>
        </w:rPr>
        <w:t xml:space="preserve">                                                                 19,255.68</w:t>
      </w:r>
    </w:p>
    <w:tbl>
      <w:tblPr>
        <w:tblStyle w:val="TableGrid0"/>
        <w:tblW w:w="0" w:type="auto"/>
        <w:tblLook w:val="04A0" w:firstRow="1" w:lastRow="0" w:firstColumn="1" w:lastColumn="0" w:noHBand="0" w:noVBand="1"/>
      </w:tblPr>
      <w:tblGrid>
        <w:gridCol w:w="2337"/>
        <w:gridCol w:w="2337"/>
        <w:gridCol w:w="2338"/>
        <w:gridCol w:w="2338"/>
      </w:tblGrid>
      <w:tr w:rsidR="0085258A" w:rsidRPr="004A30FF" w14:paraId="6352920C" w14:textId="77777777" w:rsidTr="007726C6">
        <w:tc>
          <w:tcPr>
            <w:tcW w:w="2337" w:type="dxa"/>
          </w:tcPr>
          <w:p w14:paraId="388157A6" w14:textId="77777777" w:rsidR="0085258A" w:rsidRPr="004A30FF" w:rsidRDefault="0085258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9860</w:t>
            </w:r>
          </w:p>
          <w:p w14:paraId="4FAA4D5A" w14:textId="6A57CA03" w:rsidR="0085258A" w:rsidRPr="004A30FF" w:rsidRDefault="0085258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536643FF" w14:textId="5E6418B2" w:rsidR="0085258A" w:rsidRPr="004A30FF" w:rsidRDefault="0085258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Възникнали нови задължения за разходи</w:t>
            </w:r>
          </w:p>
        </w:tc>
        <w:tc>
          <w:tcPr>
            <w:tcW w:w="2338" w:type="dxa"/>
          </w:tcPr>
          <w:p w14:paraId="154B605C" w14:textId="2AF79299" w:rsidR="0085258A" w:rsidRPr="004A30FF" w:rsidRDefault="0085258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9860 и кредита на сметката в лева</w:t>
            </w:r>
          </w:p>
        </w:tc>
        <w:tc>
          <w:tcPr>
            <w:tcW w:w="2338" w:type="dxa"/>
          </w:tcPr>
          <w:p w14:paraId="07BC7148" w14:textId="3437376C" w:rsidR="0085258A" w:rsidRPr="004A30FF" w:rsidRDefault="0085258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9860 и дебита на сметката в лева</w:t>
            </w:r>
          </w:p>
        </w:tc>
      </w:tr>
      <w:tr w:rsidR="0085258A" w:rsidRPr="004A30FF" w14:paraId="4A3D325B" w14:textId="77777777" w:rsidTr="007726C6">
        <w:tc>
          <w:tcPr>
            <w:tcW w:w="2337" w:type="dxa"/>
          </w:tcPr>
          <w:p w14:paraId="71B9CDB8" w14:textId="0E0E72A1" w:rsidR="0085258A" w:rsidRPr="004A30FF" w:rsidRDefault="0085258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9989</w:t>
            </w:r>
          </w:p>
        </w:tc>
        <w:tc>
          <w:tcPr>
            <w:tcW w:w="2337" w:type="dxa"/>
          </w:tcPr>
          <w:p w14:paraId="0015F340" w14:textId="04F51D7A" w:rsidR="0085258A" w:rsidRPr="004A30FF" w:rsidRDefault="0085258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Кореспондираща сметка за задбалансови пасиви</w:t>
            </w:r>
          </w:p>
        </w:tc>
        <w:tc>
          <w:tcPr>
            <w:tcW w:w="2338" w:type="dxa"/>
          </w:tcPr>
          <w:p w14:paraId="652184D6" w14:textId="2936913A" w:rsidR="0085258A" w:rsidRPr="004A30FF" w:rsidRDefault="0085258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51F1F47D" w14:textId="4F5F62AA" w:rsidR="0085258A" w:rsidRPr="004A30FF" w:rsidRDefault="0085258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123,775.74</w:t>
            </w:r>
          </w:p>
        </w:tc>
      </w:tr>
    </w:tbl>
    <w:p w14:paraId="6240E6BE" w14:textId="06D0CBF1" w:rsidR="007726C6" w:rsidRPr="004A30FF" w:rsidRDefault="00390909"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123,775.74</w:t>
      </w:r>
    </w:p>
    <w:p w14:paraId="1EA64406" w14:textId="542072BE" w:rsidR="00390909" w:rsidRPr="004A30FF" w:rsidRDefault="00390909"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B841FC" w:rsidRPr="004A30FF">
        <w:rPr>
          <w:rFonts w:ascii="Times New Roman" w:hAnsi="Times New Roman" w:cs="Times New Roman"/>
          <w:sz w:val="24"/>
          <w:szCs w:val="24"/>
        </w:rPr>
        <w:t xml:space="preserve">                                        </w:t>
      </w:r>
      <w:r w:rsidR="000E77C4" w:rsidRPr="004A30FF">
        <w:rPr>
          <w:rFonts w:ascii="Times New Roman" w:hAnsi="Times New Roman" w:cs="Times New Roman"/>
          <w:sz w:val="24"/>
          <w:szCs w:val="24"/>
        </w:rPr>
        <w:t xml:space="preserve">              </w:t>
      </w:r>
      <w:r w:rsidR="00B841FC" w:rsidRPr="004A30FF">
        <w:rPr>
          <w:rFonts w:ascii="Times New Roman" w:hAnsi="Times New Roman" w:cs="Times New Roman"/>
          <w:sz w:val="24"/>
          <w:szCs w:val="24"/>
        </w:rPr>
        <w:t>123,775.74</w:t>
      </w:r>
    </w:p>
    <w:tbl>
      <w:tblPr>
        <w:tblStyle w:val="TableGrid0"/>
        <w:tblW w:w="0" w:type="auto"/>
        <w:tblLook w:val="04A0" w:firstRow="1" w:lastRow="0" w:firstColumn="1" w:lastColumn="0" w:noHBand="0" w:noVBand="1"/>
      </w:tblPr>
      <w:tblGrid>
        <w:gridCol w:w="2337"/>
        <w:gridCol w:w="2337"/>
        <w:gridCol w:w="2338"/>
        <w:gridCol w:w="2338"/>
      </w:tblGrid>
      <w:tr w:rsidR="0010028A" w:rsidRPr="004A30FF" w14:paraId="2FD1B7DA" w14:textId="77777777" w:rsidTr="00540B05">
        <w:tc>
          <w:tcPr>
            <w:tcW w:w="2337" w:type="dxa"/>
          </w:tcPr>
          <w:p w14:paraId="50E9E355" w14:textId="77777777" w:rsidR="0010028A" w:rsidRPr="004A30FF" w:rsidRDefault="0010028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9801</w:t>
            </w:r>
          </w:p>
          <w:p w14:paraId="38FDE665" w14:textId="595561D9" w:rsidR="0010028A" w:rsidRPr="004A30FF" w:rsidRDefault="0010028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7F7C934B" w14:textId="3D66FC09" w:rsidR="0010028A" w:rsidRPr="004A30FF" w:rsidRDefault="002F6535"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Възникване на ангажименти за разходи с незабавна реализация</w:t>
            </w:r>
          </w:p>
        </w:tc>
        <w:tc>
          <w:tcPr>
            <w:tcW w:w="2338" w:type="dxa"/>
          </w:tcPr>
          <w:p w14:paraId="692BA5F2" w14:textId="4DBDEBF0" w:rsidR="0010028A" w:rsidRPr="004A30FF" w:rsidRDefault="0010028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9801 и кредита на сметката в лева</w:t>
            </w:r>
          </w:p>
        </w:tc>
        <w:tc>
          <w:tcPr>
            <w:tcW w:w="2338" w:type="dxa"/>
          </w:tcPr>
          <w:p w14:paraId="4A8A1EF0" w14:textId="4FA5F723" w:rsidR="0010028A" w:rsidRPr="004A30FF" w:rsidRDefault="0010028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9801 и дебита на сметката в лева</w:t>
            </w:r>
          </w:p>
        </w:tc>
      </w:tr>
      <w:tr w:rsidR="0010028A" w:rsidRPr="004A30FF" w14:paraId="6F126A9A" w14:textId="77777777" w:rsidTr="00540B05">
        <w:tc>
          <w:tcPr>
            <w:tcW w:w="2337" w:type="dxa"/>
          </w:tcPr>
          <w:p w14:paraId="1B86F7CB" w14:textId="04AA714D" w:rsidR="0010028A" w:rsidRPr="004A30FF" w:rsidRDefault="0010028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9803</w:t>
            </w:r>
          </w:p>
        </w:tc>
        <w:tc>
          <w:tcPr>
            <w:tcW w:w="2337" w:type="dxa"/>
          </w:tcPr>
          <w:p w14:paraId="23DCF92B" w14:textId="26069269" w:rsidR="0010028A" w:rsidRPr="004A30FF" w:rsidRDefault="0010028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Реализирани ангажименти за разходи</w:t>
            </w:r>
          </w:p>
        </w:tc>
        <w:tc>
          <w:tcPr>
            <w:tcW w:w="2338" w:type="dxa"/>
          </w:tcPr>
          <w:p w14:paraId="6F4FB8F7" w14:textId="3BB8F57C" w:rsidR="0010028A" w:rsidRPr="004A30FF" w:rsidRDefault="004420B6"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80,198.61</w:t>
            </w:r>
          </w:p>
        </w:tc>
        <w:tc>
          <w:tcPr>
            <w:tcW w:w="2338" w:type="dxa"/>
          </w:tcPr>
          <w:p w14:paraId="6077CD78" w14:textId="0161EECC" w:rsidR="0010028A" w:rsidRPr="004A30FF" w:rsidRDefault="004420B6"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5ED7FC28" w14:textId="34C290C9" w:rsidR="00B841FC" w:rsidRPr="004A30FF" w:rsidRDefault="004420B6"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80,198.61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w:t>
      </w:r>
    </w:p>
    <w:p w14:paraId="0AE95EA6" w14:textId="3489117D" w:rsidR="004420B6" w:rsidRPr="004A30FF" w:rsidRDefault="004420B6"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80,198.61</w:t>
      </w:r>
    </w:p>
    <w:tbl>
      <w:tblPr>
        <w:tblStyle w:val="TableGrid0"/>
        <w:tblW w:w="0" w:type="auto"/>
        <w:tblLook w:val="04A0" w:firstRow="1" w:lastRow="0" w:firstColumn="1" w:lastColumn="0" w:noHBand="0" w:noVBand="1"/>
      </w:tblPr>
      <w:tblGrid>
        <w:gridCol w:w="2337"/>
        <w:gridCol w:w="2337"/>
        <w:gridCol w:w="2338"/>
        <w:gridCol w:w="2338"/>
      </w:tblGrid>
      <w:tr w:rsidR="00C43161" w:rsidRPr="004A30FF" w14:paraId="301A3E67" w14:textId="77777777" w:rsidTr="00791E6A">
        <w:tc>
          <w:tcPr>
            <w:tcW w:w="2337" w:type="dxa"/>
          </w:tcPr>
          <w:p w14:paraId="01FBEF3A" w14:textId="77777777" w:rsidR="00C43161" w:rsidRPr="004A30FF" w:rsidRDefault="00C43161"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9803</w:t>
            </w:r>
          </w:p>
          <w:p w14:paraId="5C76BDF1" w14:textId="2FF2C90C" w:rsidR="00C43161" w:rsidRPr="004A30FF" w:rsidRDefault="00C43161"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5261AC87" w14:textId="78C08492" w:rsidR="00C43161" w:rsidRPr="004A30FF" w:rsidRDefault="00C43161"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Реализирани ангажименти за разходи</w:t>
            </w:r>
          </w:p>
        </w:tc>
        <w:tc>
          <w:tcPr>
            <w:tcW w:w="2338" w:type="dxa"/>
          </w:tcPr>
          <w:p w14:paraId="0824990E" w14:textId="248F6019" w:rsidR="00C43161" w:rsidRPr="004A30FF" w:rsidRDefault="00C43161"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9803 и кредита на сметката в лева</w:t>
            </w:r>
          </w:p>
        </w:tc>
        <w:tc>
          <w:tcPr>
            <w:tcW w:w="2338" w:type="dxa"/>
          </w:tcPr>
          <w:p w14:paraId="7F1051AC" w14:textId="14C6CC95" w:rsidR="00C43161" w:rsidRPr="004A30FF" w:rsidRDefault="00C43161"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9803 и дебита на сметката в лева</w:t>
            </w:r>
          </w:p>
        </w:tc>
      </w:tr>
      <w:tr w:rsidR="00C43161" w:rsidRPr="004A30FF" w14:paraId="5020F115" w14:textId="77777777" w:rsidTr="00791E6A">
        <w:tc>
          <w:tcPr>
            <w:tcW w:w="2337" w:type="dxa"/>
          </w:tcPr>
          <w:p w14:paraId="79D8C643" w14:textId="7FC53158" w:rsidR="00C43161" w:rsidRPr="004A30FF" w:rsidRDefault="00C43161"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lastRenderedPageBreak/>
              <w:t>9200</w:t>
            </w:r>
          </w:p>
        </w:tc>
        <w:tc>
          <w:tcPr>
            <w:tcW w:w="2337" w:type="dxa"/>
          </w:tcPr>
          <w:p w14:paraId="0C3AF82C" w14:textId="674727DA" w:rsidR="00C43161" w:rsidRPr="004A30FF" w:rsidRDefault="00C43161"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Поети задължения по договори</w:t>
            </w:r>
          </w:p>
        </w:tc>
        <w:tc>
          <w:tcPr>
            <w:tcW w:w="2338" w:type="dxa"/>
          </w:tcPr>
          <w:p w14:paraId="4D4F5EF7" w14:textId="6607502F" w:rsidR="00C43161" w:rsidRPr="004A30FF" w:rsidRDefault="00D0010C"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78FAFF4C" w14:textId="356F5E68" w:rsidR="00C43161" w:rsidRPr="004A30FF" w:rsidRDefault="00D0010C"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43,577.13</w:t>
            </w:r>
          </w:p>
        </w:tc>
      </w:tr>
      <w:tr w:rsidR="00C43161" w:rsidRPr="004A30FF" w14:paraId="41191012" w14:textId="77777777" w:rsidTr="00791E6A">
        <w:tc>
          <w:tcPr>
            <w:tcW w:w="2337" w:type="dxa"/>
          </w:tcPr>
          <w:p w14:paraId="1ACD90D1" w14:textId="7A8DB6CD" w:rsidR="00C43161" w:rsidRPr="004A30FF" w:rsidRDefault="00C43161"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9801</w:t>
            </w:r>
          </w:p>
        </w:tc>
        <w:tc>
          <w:tcPr>
            <w:tcW w:w="2337" w:type="dxa"/>
          </w:tcPr>
          <w:p w14:paraId="5B3961C3" w14:textId="33180895" w:rsidR="00C43161" w:rsidRPr="004A30FF" w:rsidRDefault="00C43161"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Възникване на ангажименти за разходи с незабавна реализация</w:t>
            </w:r>
          </w:p>
        </w:tc>
        <w:tc>
          <w:tcPr>
            <w:tcW w:w="2338" w:type="dxa"/>
          </w:tcPr>
          <w:p w14:paraId="43686CC0" w14:textId="455F6A29" w:rsidR="00C43161" w:rsidRPr="004A30FF" w:rsidRDefault="00D0010C"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1820E5B5" w14:textId="4FF264FE" w:rsidR="00C43161" w:rsidRPr="004A30FF" w:rsidRDefault="00D0010C"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80,198.61</w:t>
            </w:r>
          </w:p>
        </w:tc>
      </w:tr>
    </w:tbl>
    <w:p w14:paraId="77331E4E" w14:textId="5DDBAB36" w:rsidR="004420B6" w:rsidRPr="004A30FF" w:rsidRDefault="005C653E"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123,775.74</w:t>
      </w:r>
    </w:p>
    <w:p w14:paraId="634D58DC" w14:textId="75310C1C" w:rsidR="005C653E" w:rsidRPr="004A30FF" w:rsidRDefault="005C653E"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123,775.74</w:t>
      </w:r>
    </w:p>
    <w:tbl>
      <w:tblPr>
        <w:tblStyle w:val="TableGrid0"/>
        <w:tblW w:w="0" w:type="auto"/>
        <w:tblLook w:val="04A0" w:firstRow="1" w:lastRow="0" w:firstColumn="1" w:lastColumn="0" w:noHBand="0" w:noVBand="1"/>
      </w:tblPr>
      <w:tblGrid>
        <w:gridCol w:w="2337"/>
        <w:gridCol w:w="2337"/>
        <w:gridCol w:w="2338"/>
        <w:gridCol w:w="2338"/>
      </w:tblGrid>
      <w:tr w:rsidR="009A12E7" w:rsidRPr="004A30FF" w14:paraId="14C22B04" w14:textId="77777777" w:rsidTr="00CA146A">
        <w:tc>
          <w:tcPr>
            <w:tcW w:w="2337" w:type="dxa"/>
          </w:tcPr>
          <w:p w14:paraId="3E6116A5" w14:textId="77777777" w:rsidR="009A12E7" w:rsidRPr="004A30FF" w:rsidRDefault="009A12E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9981</w:t>
            </w:r>
          </w:p>
          <w:p w14:paraId="64E9D9A8" w14:textId="5FB6E855" w:rsidR="009A12E7" w:rsidRPr="004A30FF" w:rsidRDefault="009A12E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7A4FE648" w14:textId="5E81FBD0" w:rsidR="009A12E7" w:rsidRPr="004A30FF" w:rsidRDefault="009A12E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Кореспондираща сметка за задбалансови активи</w:t>
            </w:r>
          </w:p>
        </w:tc>
        <w:tc>
          <w:tcPr>
            <w:tcW w:w="2338" w:type="dxa"/>
          </w:tcPr>
          <w:p w14:paraId="664259B5" w14:textId="4D138F4F" w:rsidR="009A12E7" w:rsidRPr="004A30FF" w:rsidRDefault="009A12E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9981 и кредита на сметката в лева</w:t>
            </w:r>
          </w:p>
        </w:tc>
        <w:tc>
          <w:tcPr>
            <w:tcW w:w="2338" w:type="dxa"/>
          </w:tcPr>
          <w:p w14:paraId="1A7850D8" w14:textId="1D92775C" w:rsidR="009A12E7" w:rsidRPr="004A30FF" w:rsidRDefault="009A12E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9981 и дебита на сметката в лева</w:t>
            </w:r>
          </w:p>
        </w:tc>
      </w:tr>
      <w:tr w:rsidR="009A12E7" w:rsidRPr="004A30FF" w14:paraId="3F618D81" w14:textId="77777777" w:rsidTr="00CA146A">
        <w:tc>
          <w:tcPr>
            <w:tcW w:w="2337" w:type="dxa"/>
          </w:tcPr>
          <w:p w14:paraId="77F8E2EF" w14:textId="77777777" w:rsidR="009A12E7" w:rsidRPr="004A30FF" w:rsidRDefault="009A12E7" w:rsidP="000E77C4">
            <w:pPr>
              <w:spacing w:line="360" w:lineRule="auto"/>
              <w:jc w:val="right"/>
              <w:rPr>
                <w:rFonts w:ascii="Times New Roman" w:hAnsi="Times New Roman" w:cs="Times New Roman"/>
                <w:sz w:val="24"/>
                <w:szCs w:val="24"/>
              </w:rPr>
            </w:pPr>
          </w:p>
        </w:tc>
        <w:tc>
          <w:tcPr>
            <w:tcW w:w="2337" w:type="dxa"/>
          </w:tcPr>
          <w:p w14:paraId="2226EAA7" w14:textId="41683482" w:rsidR="009A12E7" w:rsidRPr="004A30FF" w:rsidRDefault="009A12E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Начално салдо</w:t>
            </w:r>
          </w:p>
        </w:tc>
        <w:tc>
          <w:tcPr>
            <w:tcW w:w="2338" w:type="dxa"/>
          </w:tcPr>
          <w:p w14:paraId="4A04DE03" w14:textId="78B50720" w:rsidR="009A12E7" w:rsidRPr="004A30FF" w:rsidRDefault="003E737E"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37C5EEA9" w14:textId="21F821B8" w:rsidR="009A12E7" w:rsidRPr="004A30FF" w:rsidRDefault="003E737E"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79,284.11</w:t>
            </w:r>
          </w:p>
        </w:tc>
      </w:tr>
      <w:tr w:rsidR="009A12E7" w:rsidRPr="004A30FF" w14:paraId="699058C2" w14:textId="77777777" w:rsidTr="00CA146A">
        <w:tc>
          <w:tcPr>
            <w:tcW w:w="2337" w:type="dxa"/>
          </w:tcPr>
          <w:p w14:paraId="1C7E6BFA" w14:textId="1B49F681" w:rsidR="009A12E7" w:rsidRPr="004A30FF" w:rsidRDefault="009A12E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9909</w:t>
            </w:r>
          </w:p>
        </w:tc>
        <w:tc>
          <w:tcPr>
            <w:tcW w:w="2337" w:type="dxa"/>
          </w:tcPr>
          <w:p w14:paraId="39010EB1" w14:textId="75DC640F" w:rsidR="009A12E7" w:rsidRPr="004A30FF" w:rsidRDefault="00772DBE"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Други активи</w:t>
            </w:r>
            <w:r w:rsidR="00A05307" w:rsidRPr="004A30FF">
              <w:rPr>
                <w:rFonts w:ascii="Times New Roman" w:hAnsi="Times New Roman" w:cs="Times New Roman"/>
                <w:sz w:val="24"/>
                <w:szCs w:val="24"/>
              </w:rPr>
              <w:t xml:space="preserve"> в употреба, изписани като разход</w:t>
            </w:r>
          </w:p>
        </w:tc>
        <w:tc>
          <w:tcPr>
            <w:tcW w:w="2338" w:type="dxa"/>
          </w:tcPr>
          <w:p w14:paraId="789D70F7" w14:textId="488F62CF" w:rsidR="009A12E7" w:rsidRPr="004A30FF" w:rsidRDefault="003E737E"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4B03BDAC" w14:textId="171866BF" w:rsidR="009A12E7" w:rsidRPr="004A30FF" w:rsidRDefault="003E737E"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1,277.61</w:t>
            </w:r>
          </w:p>
        </w:tc>
      </w:tr>
      <w:tr w:rsidR="00A05307" w:rsidRPr="004A30FF" w14:paraId="397CA192" w14:textId="77777777" w:rsidTr="00CA146A">
        <w:tc>
          <w:tcPr>
            <w:tcW w:w="2337" w:type="dxa"/>
          </w:tcPr>
          <w:p w14:paraId="61A9EC2E" w14:textId="0DE4F88A" w:rsidR="00A05307" w:rsidRPr="004A30FF" w:rsidRDefault="00A0530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9909</w:t>
            </w:r>
          </w:p>
        </w:tc>
        <w:tc>
          <w:tcPr>
            <w:tcW w:w="2337" w:type="dxa"/>
          </w:tcPr>
          <w:p w14:paraId="4ED69B85" w14:textId="31A78774" w:rsidR="00A05307" w:rsidRPr="004A30FF" w:rsidRDefault="00A0530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Други активи в употреба, изписани като разход</w:t>
            </w:r>
          </w:p>
        </w:tc>
        <w:tc>
          <w:tcPr>
            <w:tcW w:w="2338" w:type="dxa"/>
          </w:tcPr>
          <w:p w14:paraId="1A190BFE" w14:textId="28D965DC" w:rsidR="00A05307" w:rsidRPr="004A30FF" w:rsidRDefault="00A0530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8.25</w:t>
            </w:r>
          </w:p>
        </w:tc>
        <w:tc>
          <w:tcPr>
            <w:tcW w:w="2338" w:type="dxa"/>
          </w:tcPr>
          <w:p w14:paraId="4DEDDE79" w14:textId="546E0D1D" w:rsidR="00A05307" w:rsidRPr="004A30FF" w:rsidRDefault="00A05307"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55C14B06" w14:textId="2A898B7F" w:rsidR="005C653E" w:rsidRPr="004A30FF" w:rsidRDefault="00E76FEB"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8.25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w:t>
      </w:r>
      <w:r w:rsidR="006D09F2" w:rsidRPr="004A30FF">
        <w:rPr>
          <w:rFonts w:ascii="Times New Roman" w:hAnsi="Times New Roman" w:cs="Times New Roman"/>
          <w:sz w:val="24"/>
          <w:szCs w:val="24"/>
        </w:rPr>
        <w:t>80,561.72</w:t>
      </w:r>
    </w:p>
    <w:p w14:paraId="2A4CA458" w14:textId="0832264A" w:rsidR="006D09F2" w:rsidRPr="004A30FF" w:rsidRDefault="006D09F2"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w:t>
      </w:r>
      <w:r w:rsidR="00A141E7" w:rsidRPr="004A30FF">
        <w:rPr>
          <w:rFonts w:ascii="Times New Roman" w:hAnsi="Times New Roman" w:cs="Times New Roman"/>
          <w:sz w:val="24"/>
          <w:szCs w:val="24"/>
        </w:rPr>
        <w:t>80,553.47</w:t>
      </w:r>
    </w:p>
    <w:tbl>
      <w:tblPr>
        <w:tblStyle w:val="TableGrid0"/>
        <w:tblW w:w="0" w:type="auto"/>
        <w:tblLook w:val="04A0" w:firstRow="1" w:lastRow="0" w:firstColumn="1" w:lastColumn="0" w:noHBand="0" w:noVBand="1"/>
      </w:tblPr>
      <w:tblGrid>
        <w:gridCol w:w="2337"/>
        <w:gridCol w:w="2337"/>
        <w:gridCol w:w="2338"/>
        <w:gridCol w:w="2338"/>
      </w:tblGrid>
      <w:tr w:rsidR="00C056CA" w:rsidRPr="004A30FF" w14:paraId="3A8EE33D" w14:textId="77777777" w:rsidTr="00A141E7">
        <w:tc>
          <w:tcPr>
            <w:tcW w:w="2337" w:type="dxa"/>
          </w:tcPr>
          <w:p w14:paraId="16D9B4BC" w14:textId="77777777" w:rsidR="00C056CA" w:rsidRPr="004A30FF" w:rsidRDefault="00C056C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9909</w:t>
            </w:r>
          </w:p>
          <w:p w14:paraId="433D4DC7" w14:textId="4365F3AD" w:rsidR="00C056CA" w:rsidRPr="004A30FF" w:rsidRDefault="00C056C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21DDA463" w14:textId="0066C3F6" w:rsidR="00C056CA" w:rsidRPr="004A30FF" w:rsidRDefault="00C056C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Други активи в употреба, изписани като разход</w:t>
            </w:r>
          </w:p>
        </w:tc>
        <w:tc>
          <w:tcPr>
            <w:tcW w:w="2338" w:type="dxa"/>
          </w:tcPr>
          <w:p w14:paraId="4EF81C51" w14:textId="7EA66EAD" w:rsidR="00C056CA" w:rsidRPr="004A30FF" w:rsidRDefault="00C056C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9909 и кредита на сметката в лева</w:t>
            </w:r>
          </w:p>
        </w:tc>
        <w:tc>
          <w:tcPr>
            <w:tcW w:w="2338" w:type="dxa"/>
          </w:tcPr>
          <w:p w14:paraId="1F632BAA" w14:textId="26463C8E" w:rsidR="00C056CA" w:rsidRPr="004A30FF" w:rsidRDefault="00C056C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9909 и дебита на сметката в лева</w:t>
            </w:r>
          </w:p>
        </w:tc>
      </w:tr>
      <w:tr w:rsidR="00C056CA" w:rsidRPr="004A30FF" w14:paraId="50F554D4" w14:textId="77777777" w:rsidTr="00A141E7">
        <w:tc>
          <w:tcPr>
            <w:tcW w:w="2337" w:type="dxa"/>
          </w:tcPr>
          <w:p w14:paraId="16B063C5" w14:textId="77777777" w:rsidR="00C056CA" w:rsidRPr="004A30FF" w:rsidRDefault="00C056CA" w:rsidP="000E77C4">
            <w:pPr>
              <w:spacing w:line="360" w:lineRule="auto"/>
              <w:jc w:val="right"/>
              <w:rPr>
                <w:rFonts w:ascii="Times New Roman" w:hAnsi="Times New Roman" w:cs="Times New Roman"/>
                <w:sz w:val="24"/>
                <w:szCs w:val="24"/>
              </w:rPr>
            </w:pPr>
          </w:p>
        </w:tc>
        <w:tc>
          <w:tcPr>
            <w:tcW w:w="2337" w:type="dxa"/>
          </w:tcPr>
          <w:p w14:paraId="07F0306C" w14:textId="3D2FB551" w:rsidR="00C056CA" w:rsidRPr="004A30FF" w:rsidRDefault="00C056C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Начално салдо</w:t>
            </w:r>
          </w:p>
        </w:tc>
        <w:tc>
          <w:tcPr>
            <w:tcW w:w="2338" w:type="dxa"/>
          </w:tcPr>
          <w:p w14:paraId="247E4706" w14:textId="6BB3D008" w:rsidR="00C056CA" w:rsidRPr="004A30FF" w:rsidRDefault="00315CFC"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76,560.50</w:t>
            </w:r>
          </w:p>
        </w:tc>
        <w:tc>
          <w:tcPr>
            <w:tcW w:w="2338" w:type="dxa"/>
          </w:tcPr>
          <w:p w14:paraId="1B7775F7" w14:textId="0617AFA6" w:rsidR="00C056CA" w:rsidRPr="004A30FF" w:rsidRDefault="00315CFC"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r w:rsidR="00C056CA" w:rsidRPr="004A30FF" w14:paraId="058F0A19" w14:textId="77777777" w:rsidTr="00A141E7">
        <w:tc>
          <w:tcPr>
            <w:tcW w:w="2337" w:type="dxa"/>
          </w:tcPr>
          <w:p w14:paraId="6EC42985" w14:textId="148CE7BF" w:rsidR="00C056CA" w:rsidRPr="004A30FF" w:rsidRDefault="00C056C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9981</w:t>
            </w:r>
          </w:p>
        </w:tc>
        <w:tc>
          <w:tcPr>
            <w:tcW w:w="2337" w:type="dxa"/>
          </w:tcPr>
          <w:p w14:paraId="7679D1B8" w14:textId="6A379F49" w:rsidR="00C056CA" w:rsidRPr="004A30FF" w:rsidRDefault="00C056C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Кореспондираща сметка за задбалансови активи</w:t>
            </w:r>
          </w:p>
        </w:tc>
        <w:tc>
          <w:tcPr>
            <w:tcW w:w="2338" w:type="dxa"/>
          </w:tcPr>
          <w:p w14:paraId="3A6F6A2B" w14:textId="1B102FB0" w:rsidR="00C056CA" w:rsidRPr="004A30FF" w:rsidRDefault="00315CFC"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1,277.61</w:t>
            </w:r>
          </w:p>
        </w:tc>
        <w:tc>
          <w:tcPr>
            <w:tcW w:w="2338" w:type="dxa"/>
          </w:tcPr>
          <w:p w14:paraId="5F48C3DE" w14:textId="440379E2" w:rsidR="00C056CA" w:rsidRPr="004A30FF" w:rsidRDefault="00315CFC"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r w:rsidR="00C056CA" w:rsidRPr="004A30FF" w14:paraId="5CCCE4FF" w14:textId="77777777" w:rsidTr="00A141E7">
        <w:tc>
          <w:tcPr>
            <w:tcW w:w="2337" w:type="dxa"/>
          </w:tcPr>
          <w:p w14:paraId="5B830A84" w14:textId="1AE847ED" w:rsidR="00C056CA" w:rsidRPr="004A30FF" w:rsidRDefault="00C056C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lastRenderedPageBreak/>
              <w:t>9981</w:t>
            </w:r>
          </w:p>
        </w:tc>
        <w:tc>
          <w:tcPr>
            <w:tcW w:w="2337" w:type="dxa"/>
          </w:tcPr>
          <w:p w14:paraId="4D3754F3" w14:textId="3EB52EFB" w:rsidR="00C056CA" w:rsidRPr="004A30FF" w:rsidRDefault="00C056CA"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Кореспондираща сметка за задбалансови активи</w:t>
            </w:r>
          </w:p>
        </w:tc>
        <w:tc>
          <w:tcPr>
            <w:tcW w:w="2338" w:type="dxa"/>
          </w:tcPr>
          <w:p w14:paraId="5EC2D6CD" w14:textId="4E69A93A" w:rsidR="00C056CA" w:rsidRPr="004A30FF" w:rsidRDefault="00315CFC"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c>
          <w:tcPr>
            <w:tcW w:w="2338" w:type="dxa"/>
          </w:tcPr>
          <w:p w14:paraId="73B75F38" w14:textId="1C0C0FB7" w:rsidR="00C056CA" w:rsidRPr="004A30FF" w:rsidRDefault="00315CFC"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8.25</w:t>
            </w:r>
          </w:p>
        </w:tc>
      </w:tr>
    </w:tbl>
    <w:p w14:paraId="04F63EE0" w14:textId="6E3E71C8" w:rsidR="00B57C64" w:rsidRPr="004A30FF" w:rsidRDefault="00315CFC"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B57C64" w:rsidRPr="004A30FF">
        <w:rPr>
          <w:rFonts w:ascii="Times New Roman" w:hAnsi="Times New Roman" w:cs="Times New Roman"/>
          <w:sz w:val="24"/>
          <w:szCs w:val="24"/>
        </w:rPr>
        <w:t xml:space="preserve">                                 </w:t>
      </w:r>
      <w:r w:rsidR="000E77C4" w:rsidRPr="004A30FF">
        <w:rPr>
          <w:rFonts w:ascii="Times New Roman" w:hAnsi="Times New Roman" w:cs="Times New Roman"/>
          <w:sz w:val="24"/>
          <w:szCs w:val="24"/>
        </w:rPr>
        <w:t xml:space="preserve">                   </w:t>
      </w:r>
      <w:r w:rsidR="00B57C64" w:rsidRPr="004A30FF">
        <w:rPr>
          <w:rFonts w:ascii="Times New Roman" w:hAnsi="Times New Roman" w:cs="Times New Roman"/>
          <w:sz w:val="24"/>
          <w:szCs w:val="24"/>
        </w:rPr>
        <w:t xml:space="preserve">77,838.11               </w:t>
      </w:r>
      <w:r w:rsidR="000E77C4" w:rsidRPr="004A30FF">
        <w:rPr>
          <w:rFonts w:ascii="Times New Roman" w:hAnsi="Times New Roman" w:cs="Times New Roman"/>
          <w:sz w:val="24"/>
          <w:szCs w:val="24"/>
        </w:rPr>
        <w:t xml:space="preserve">         </w:t>
      </w:r>
      <w:r w:rsidR="00B57C64" w:rsidRPr="004A30FF">
        <w:rPr>
          <w:rFonts w:ascii="Times New Roman" w:hAnsi="Times New Roman" w:cs="Times New Roman"/>
          <w:sz w:val="24"/>
          <w:szCs w:val="24"/>
        </w:rPr>
        <w:t xml:space="preserve">         8.25</w:t>
      </w:r>
    </w:p>
    <w:p w14:paraId="0084D5F9" w14:textId="44E5822D" w:rsidR="00A141E7" w:rsidRPr="004A30FF" w:rsidRDefault="00315CFC"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Крайно салдо в лева</w:t>
      </w:r>
      <w:r w:rsidR="00B57C64" w:rsidRPr="004A30FF">
        <w:rPr>
          <w:rFonts w:ascii="Times New Roman" w:hAnsi="Times New Roman" w:cs="Times New Roman"/>
          <w:sz w:val="24"/>
          <w:szCs w:val="24"/>
        </w:rPr>
        <w:t xml:space="preserve">                                                                                  </w:t>
      </w:r>
      <w:r w:rsidR="000E77C4" w:rsidRPr="004A30FF">
        <w:rPr>
          <w:rFonts w:ascii="Times New Roman" w:hAnsi="Times New Roman" w:cs="Times New Roman"/>
          <w:sz w:val="24"/>
          <w:szCs w:val="24"/>
        </w:rPr>
        <w:t xml:space="preserve">                 </w:t>
      </w:r>
      <w:r w:rsidR="00B57C64" w:rsidRPr="004A30FF">
        <w:rPr>
          <w:rFonts w:ascii="Times New Roman" w:hAnsi="Times New Roman" w:cs="Times New Roman"/>
          <w:sz w:val="24"/>
          <w:szCs w:val="24"/>
        </w:rPr>
        <w:t xml:space="preserve">    -77,829.86</w:t>
      </w:r>
    </w:p>
    <w:tbl>
      <w:tblPr>
        <w:tblStyle w:val="TableGrid0"/>
        <w:tblW w:w="0" w:type="auto"/>
        <w:tblLook w:val="04A0" w:firstRow="1" w:lastRow="0" w:firstColumn="1" w:lastColumn="0" w:noHBand="0" w:noVBand="1"/>
      </w:tblPr>
      <w:tblGrid>
        <w:gridCol w:w="2337"/>
        <w:gridCol w:w="2337"/>
        <w:gridCol w:w="2338"/>
        <w:gridCol w:w="2338"/>
      </w:tblGrid>
      <w:tr w:rsidR="003D073B" w:rsidRPr="004A30FF" w14:paraId="3FA352BB" w14:textId="77777777" w:rsidTr="00A648AB">
        <w:tc>
          <w:tcPr>
            <w:tcW w:w="2337" w:type="dxa"/>
          </w:tcPr>
          <w:p w14:paraId="54E612EB" w14:textId="77777777" w:rsidR="003D073B" w:rsidRPr="004A30FF" w:rsidRDefault="003D073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9913</w:t>
            </w:r>
          </w:p>
          <w:p w14:paraId="65A82478" w14:textId="60160E2D" w:rsidR="003D073B" w:rsidRPr="004A30FF" w:rsidRDefault="003D073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7E8BEF6C" w14:textId="2F10A09F" w:rsidR="003D073B" w:rsidRPr="004A30FF" w:rsidRDefault="003D073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Просрочени вземания от клиенти</w:t>
            </w:r>
          </w:p>
        </w:tc>
        <w:tc>
          <w:tcPr>
            <w:tcW w:w="2338" w:type="dxa"/>
          </w:tcPr>
          <w:p w14:paraId="596D0EA6" w14:textId="01D04C9C" w:rsidR="003D073B" w:rsidRPr="004A30FF" w:rsidRDefault="003D073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9913 и кредита на сметката в лева</w:t>
            </w:r>
          </w:p>
        </w:tc>
        <w:tc>
          <w:tcPr>
            <w:tcW w:w="2338" w:type="dxa"/>
          </w:tcPr>
          <w:p w14:paraId="47D7DF6E" w14:textId="2C1C9B26" w:rsidR="003D073B" w:rsidRPr="004A30FF" w:rsidRDefault="003D073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9913 и дебита на сметката в лева</w:t>
            </w:r>
          </w:p>
        </w:tc>
      </w:tr>
      <w:tr w:rsidR="003D073B" w:rsidRPr="004A30FF" w14:paraId="3CC68B85" w14:textId="77777777" w:rsidTr="00A648AB">
        <w:tc>
          <w:tcPr>
            <w:tcW w:w="2337" w:type="dxa"/>
          </w:tcPr>
          <w:p w14:paraId="77A9AC9E" w14:textId="77777777" w:rsidR="003D073B" w:rsidRPr="004A30FF" w:rsidRDefault="003D073B" w:rsidP="000E77C4">
            <w:pPr>
              <w:spacing w:line="360" w:lineRule="auto"/>
              <w:jc w:val="right"/>
              <w:rPr>
                <w:rFonts w:ascii="Times New Roman" w:hAnsi="Times New Roman" w:cs="Times New Roman"/>
                <w:sz w:val="24"/>
                <w:szCs w:val="24"/>
              </w:rPr>
            </w:pPr>
          </w:p>
        </w:tc>
        <w:tc>
          <w:tcPr>
            <w:tcW w:w="2337" w:type="dxa"/>
          </w:tcPr>
          <w:p w14:paraId="43501DB0" w14:textId="3218E2BB" w:rsidR="003D073B" w:rsidRPr="004A30FF" w:rsidRDefault="003D073B"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Начално салдо</w:t>
            </w:r>
          </w:p>
        </w:tc>
        <w:tc>
          <w:tcPr>
            <w:tcW w:w="2338" w:type="dxa"/>
          </w:tcPr>
          <w:p w14:paraId="738FBF2D" w14:textId="5BE18660" w:rsidR="003D073B" w:rsidRPr="004A30FF" w:rsidRDefault="00AB165E"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2,723.61</w:t>
            </w:r>
          </w:p>
        </w:tc>
        <w:tc>
          <w:tcPr>
            <w:tcW w:w="2338" w:type="dxa"/>
          </w:tcPr>
          <w:p w14:paraId="6CA6242C" w14:textId="1CD74945" w:rsidR="00AB165E" w:rsidRPr="004A30FF" w:rsidRDefault="00AB165E"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50DCE348" w14:textId="6D1FA438" w:rsidR="00B57C64" w:rsidRPr="004A30FF" w:rsidRDefault="00AB165E"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2,723.61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w:t>
      </w:r>
    </w:p>
    <w:p w14:paraId="5245B8F6" w14:textId="2FC6A90D" w:rsidR="00AB165E" w:rsidRPr="004A30FF" w:rsidRDefault="00AB165E"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2,723.61</w:t>
      </w:r>
    </w:p>
    <w:tbl>
      <w:tblPr>
        <w:tblStyle w:val="TableGrid0"/>
        <w:tblW w:w="0" w:type="auto"/>
        <w:tblLook w:val="04A0" w:firstRow="1" w:lastRow="0" w:firstColumn="1" w:lastColumn="0" w:noHBand="0" w:noVBand="1"/>
      </w:tblPr>
      <w:tblGrid>
        <w:gridCol w:w="2337"/>
        <w:gridCol w:w="2337"/>
        <w:gridCol w:w="2338"/>
        <w:gridCol w:w="2338"/>
      </w:tblGrid>
      <w:tr w:rsidR="00717975" w:rsidRPr="004A30FF" w14:paraId="37745EF9" w14:textId="77777777" w:rsidTr="00BF2214">
        <w:tc>
          <w:tcPr>
            <w:tcW w:w="2337" w:type="dxa"/>
          </w:tcPr>
          <w:p w14:paraId="2C83E189" w14:textId="77777777" w:rsidR="00717975" w:rsidRPr="004A30FF" w:rsidRDefault="00717975"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Сметка 9989</w:t>
            </w:r>
          </w:p>
          <w:p w14:paraId="6E08045F" w14:textId="5EE8DB72" w:rsidR="00717975" w:rsidRPr="004A30FF" w:rsidRDefault="00717975"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Със сметка</w:t>
            </w:r>
          </w:p>
        </w:tc>
        <w:tc>
          <w:tcPr>
            <w:tcW w:w="2337" w:type="dxa"/>
          </w:tcPr>
          <w:p w14:paraId="449C901F" w14:textId="11F47B06" w:rsidR="00717975" w:rsidRPr="004A30FF" w:rsidRDefault="00717975"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Кореспондираща сметка за задбалансови пасиви</w:t>
            </w:r>
          </w:p>
        </w:tc>
        <w:tc>
          <w:tcPr>
            <w:tcW w:w="2338" w:type="dxa"/>
          </w:tcPr>
          <w:p w14:paraId="4551C669" w14:textId="4199C44F" w:rsidR="00717975" w:rsidRPr="004A30FF" w:rsidRDefault="00717975"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дебита на 9989 и кредита на сметката в лева</w:t>
            </w:r>
          </w:p>
        </w:tc>
        <w:tc>
          <w:tcPr>
            <w:tcW w:w="2338" w:type="dxa"/>
          </w:tcPr>
          <w:p w14:paraId="6D35791E" w14:textId="4BEC76E7" w:rsidR="00717975" w:rsidRPr="004A30FF" w:rsidRDefault="00717975"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По кредита на 9989 и дебита на сметката в лева</w:t>
            </w:r>
          </w:p>
        </w:tc>
      </w:tr>
      <w:tr w:rsidR="00717975" w:rsidRPr="004A30FF" w14:paraId="0315C3D6" w14:textId="77777777" w:rsidTr="00BF2214">
        <w:tc>
          <w:tcPr>
            <w:tcW w:w="2337" w:type="dxa"/>
          </w:tcPr>
          <w:p w14:paraId="066C3FAA" w14:textId="77777777" w:rsidR="00717975" w:rsidRPr="004A30FF" w:rsidRDefault="00717975" w:rsidP="000E77C4">
            <w:pPr>
              <w:spacing w:line="360" w:lineRule="auto"/>
              <w:jc w:val="right"/>
              <w:rPr>
                <w:rFonts w:ascii="Times New Roman" w:hAnsi="Times New Roman" w:cs="Times New Roman"/>
                <w:sz w:val="24"/>
                <w:szCs w:val="24"/>
              </w:rPr>
            </w:pPr>
          </w:p>
        </w:tc>
        <w:tc>
          <w:tcPr>
            <w:tcW w:w="2337" w:type="dxa"/>
          </w:tcPr>
          <w:p w14:paraId="01D321FF" w14:textId="5DC61A55" w:rsidR="00717975" w:rsidRPr="004A30FF" w:rsidRDefault="00717975"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Начално салдо</w:t>
            </w:r>
          </w:p>
        </w:tc>
        <w:tc>
          <w:tcPr>
            <w:tcW w:w="2338" w:type="dxa"/>
          </w:tcPr>
          <w:p w14:paraId="1BCBE0D2" w14:textId="599B300F" w:rsidR="00717975" w:rsidRPr="004A30FF" w:rsidRDefault="00875C00"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70,724.31</w:t>
            </w:r>
          </w:p>
        </w:tc>
        <w:tc>
          <w:tcPr>
            <w:tcW w:w="2338" w:type="dxa"/>
          </w:tcPr>
          <w:p w14:paraId="777CA012" w14:textId="76380083" w:rsidR="00717975" w:rsidRPr="004A30FF" w:rsidRDefault="00875C00"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r w:rsidR="00717975" w:rsidRPr="004A30FF" w14:paraId="1FB0FAD9" w14:textId="77777777" w:rsidTr="00BF2214">
        <w:tc>
          <w:tcPr>
            <w:tcW w:w="2337" w:type="dxa"/>
          </w:tcPr>
          <w:p w14:paraId="75068E6E" w14:textId="3B5A4CC5" w:rsidR="00717975" w:rsidRPr="004A30FF" w:rsidRDefault="00717975"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9860</w:t>
            </w:r>
          </w:p>
        </w:tc>
        <w:tc>
          <w:tcPr>
            <w:tcW w:w="2337" w:type="dxa"/>
          </w:tcPr>
          <w:p w14:paraId="1792F9D1" w14:textId="3B87528D" w:rsidR="00717975" w:rsidRPr="004A30FF" w:rsidRDefault="00717975"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Възникнали нови задължения за разходи</w:t>
            </w:r>
          </w:p>
        </w:tc>
        <w:tc>
          <w:tcPr>
            <w:tcW w:w="2338" w:type="dxa"/>
          </w:tcPr>
          <w:p w14:paraId="7C868809" w14:textId="41650989" w:rsidR="00717975" w:rsidRPr="004A30FF" w:rsidRDefault="00875C00"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123,775.74</w:t>
            </w:r>
          </w:p>
        </w:tc>
        <w:tc>
          <w:tcPr>
            <w:tcW w:w="2338" w:type="dxa"/>
          </w:tcPr>
          <w:p w14:paraId="501DBB8D" w14:textId="6D33873D" w:rsidR="00717975" w:rsidRPr="004A30FF" w:rsidRDefault="00875C00" w:rsidP="000E77C4">
            <w:pPr>
              <w:spacing w:line="360" w:lineRule="auto"/>
              <w:jc w:val="right"/>
              <w:rPr>
                <w:rFonts w:ascii="Times New Roman" w:hAnsi="Times New Roman" w:cs="Times New Roman"/>
                <w:sz w:val="24"/>
                <w:szCs w:val="24"/>
              </w:rPr>
            </w:pPr>
            <w:r w:rsidRPr="004A30FF">
              <w:rPr>
                <w:rFonts w:ascii="Times New Roman" w:hAnsi="Times New Roman" w:cs="Times New Roman"/>
                <w:sz w:val="24"/>
                <w:szCs w:val="24"/>
              </w:rPr>
              <w:t>0,00</w:t>
            </w:r>
          </w:p>
        </w:tc>
      </w:tr>
    </w:tbl>
    <w:p w14:paraId="215701C2" w14:textId="2FE5231F" w:rsidR="00AB165E" w:rsidRPr="004A30FF" w:rsidRDefault="00875C00"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Всичко обороти за периода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194,500.05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0,00</w:t>
      </w:r>
    </w:p>
    <w:p w14:paraId="59217BD0" w14:textId="02ECF1C2" w:rsidR="000A6A3B" w:rsidRPr="004A30FF" w:rsidRDefault="00875C00" w:rsidP="00A770D1">
      <w:pPr>
        <w:spacing w:line="360" w:lineRule="auto"/>
        <w:rPr>
          <w:rFonts w:ascii="Times New Roman" w:hAnsi="Times New Roman" w:cs="Times New Roman"/>
          <w:sz w:val="24"/>
          <w:szCs w:val="24"/>
        </w:rPr>
      </w:pPr>
      <w:r w:rsidRPr="004A30FF">
        <w:rPr>
          <w:rFonts w:ascii="Times New Roman" w:hAnsi="Times New Roman" w:cs="Times New Roman"/>
          <w:sz w:val="24"/>
          <w:szCs w:val="24"/>
        </w:rPr>
        <w:t xml:space="preserve">Крайно салдо в лева                                   </w:t>
      </w:r>
      <w:r w:rsidR="000E77C4" w:rsidRPr="004A30FF">
        <w:rPr>
          <w:rFonts w:ascii="Times New Roman" w:hAnsi="Times New Roman" w:cs="Times New Roman"/>
          <w:sz w:val="24"/>
          <w:szCs w:val="24"/>
        </w:rPr>
        <w:t xml:space="preserve">             </w:t>
      </w:r>
      <w:r w:rsidRPr="004A30FF">
        <w:rPr>
          <w:rFonts w:ascii="Times New Roman" w:hAnsi="Times New Roman" w:cs="Times New Roman"/>
          <w:sz w:val="24"/>
          <w:szCs w:val="24"/>
        </w:rPr>
        <w:t xml:space="preserve">         </w:t>
      </w:r>
      <w:r w:rsidR="000A6A3B" w:rsidRPr="004A30FF">
        <w:rPr>
          <w:rFonts w:ascii="Times New Roman" w:hAnsi="Times New Roman" w:cs="Times New Roman"/>
          <w:sz w:val="24"/>
          <w:szCs w:val="24"/>
        </w:rPr>
        <w:t xml:space="preserve">   194,500.05</w:t>
      </w:r>
    </w:p>
    <w:p w14:paraId="5F870394" w14:textId="77777777" w:rsidR="00DF068E" w:rsidRPr="004A30FF" w:rsidRDefault="00875C00" w:rsidP="00364B9C">
      <w:pPr>
        <w:tabs>
          <w:tab w:val="center" w:pos="5242"/>
        </w:tabs>
        <w:spacing w:after="15"/>
        <w:jc w:val="both"/>
        <w:rPr>
          <w:rFonts w:ascii="Times New Roman" w:eastAsia="Times New Roman" w:hAnsi="Times New Roman" w:cs="Times New Roman"/>
          <w:sz w:val="16"/>
        </w:rPr>
      </w:pPr>
      <w:r w:rsidRPr="004A30FF">
        <w:rPr>
          <w:rFonts w:ascii="Times New Roman" w:hAnsi="Times New Roman" w:cs="Times New Roman"/>
          <w:sz w:val="24"/>
          <w:szCs w:val="24"/>
        </w:rPr>
        <w:t xml:space="preserve">    </w:t>
      </w:r>
      <w:r w:rsidR="0001789A" w:rsidRPr="004A30FF">
        <w:rPr>
          <w:rFonts w:ascii="Times New Roman" w:eastAsia="Times New Roman" w:hAnsi="Times New Roman" w:cs="Times New Roman"/>
          <w:sz w:val="16"/>
        </w:rPr>
        <w:tab/>
      </w:r>
    </w:p>
    <w:p w14:paraId="4BBE6FC9" w14:textId="77777777" w:rsidR="00ED5A98" w:rsidRPr="004A30FF" w:rsidRDefault="00ED5A98">
      <w:pPr>
        <w:rPr>
          <w:rFonts w:ascii="Times New Roman" w:hAnsi="Times New Roman" w:cs="Times New Roman"/>
          <w:b/>
          <w:bCs/>
          <w:sz w:val="24"/>
          <w:szCs w:val="24"/>
        </w:rPr>
      </w:pPr>
      <w:r w:rsidRPr="004A30FF">
        <w:rPr>
          <w:rFonts w:ascii="Times New Roman" w:hAnsi="Times New Roman" w:cs="Times New Roman"/>
          <w:b/>
          <w:bCs/>
          <w:sz w:val="24"/>
          <w:szCs w:val="24"/>
        </w:rPr>
        <w:br w:type="page"/>
      </w:r>
    </w:p>
    <w:p w14:paraId="3B1A95F1" w14:textId="3D6B1802" w:rsidR="00364B9C" w:rsidRPr="004A30FF" w:rsidRDefault="00ED5A98" w:rsidP="00ED5A98">
      <w:pPr>
        <w:tabs>
          <w:tab w:val="center" w:pos="5242"/>
        </w:tabs>
        <w:spacing w:after="15"/>
        <w:jc w:val="both"/>
        <w:rPr>
          <w:rFonts w:ascii="Times New Roman" w:eastAsia="Times New Roman" w:hAnsi="Times New Roman" w:cs="Times New Roman"/>
          <w:b/>
          <w:bCs/>
          <w:sz w:val="16"/>
        </w:rPr>
      </w:pPr>
      <w:r w:rsidRPr="004A30FF">
        <w:rPr>
          <w:rFonts w:ascii="Times New Roman" w:hAnsi="Times New Roman" w:cs="Times New Roman"/>
          <w:b/>
          <w:bCs/>
          <w:sz w:val="24"/>
          <w:szCs w:val="24"/>
        </w:rPr>
        <w:lastRenderedPageBreak/>
        <w:t xml:space="preserve">Приложение 2. </w:t>
      </w:r>
      <w:r w:rsidR="00364B9C" w:rsidRPr="004A30FF">
        <w:rPr>
          <w:rFonts w:ascii="Times New Roman" w:hAnsi="Times New Roman" w:cs="Times New Roman"/>
          <w:b/>
          <w:bCs/>
          <w:sz w:val="24"/>
          <w:szCs w:val="24"/>
        </w:rPr>
        <w:t xml:space="preserve">Годишен финансов отчет на ДГ „Осми март“ гр. Радомир   </w:t>
      </w:r>
    </w:p>
    <w:p w14:paraId="4A7503E4" w14:textId="77777777" w:rsidR="00DF068E" w:rsidRPr="004A30FF" w:rsidRDefault="00DF068E" w:rsidP="0001789A">
      <w:pPr>
        <w:tabs>
          <w:tab w:val="center" w:pos="5242"/>
        </w:tabs>
        <w:spacing w:after="15"/>
        <w:rPr>
          <w:rFonts w:ascii="Times New Roman" w:eastAsia="Times New Roman" w:hAnsi="Times New Roman" w:cs="Times New Roman"/>
          <w:sz w:val="16"/>
        </w:rPr>
      </w:pPr>
    </w:p>
    <w:p w14:paraId="2139409D" w14:textId="2C90CF7F" w:rsidR="0001789A" w:rsidRPr="004A30FF" w:rsidRDefault="0001789A" w:rsidP="00DF068E">
      <w:pPr>
        <w:tabs>
          <w:tab w:val="center" w:pos="5242"/>
        </w:tabs>
        <w:spacing w:after="15"/>
        <w:jc w:val="center"/>
      </w:pPr>
      <w:r w:rsidRPr="004A30FF">
        <w:rPr>
          <w:rFonts w:ascii="Times New Roman" w:eastAsia="Times New Roman" w:hAnsi="Times New Roman" w:cs="Times New Roman"/>
          <w:sz w:val="28"/>
        </w:rPr>
        <w:t>Отчет за бюджета за периода</w:t>
      </w:r>
    </w:p>
    <w:p w14:paraId="2C708587" w14:textId="77777777" w:rsidR="0001789A" w:rsidRPr="004A30FF" w:rsidRDefault="0001789A" w:rsidP="0001789A">
      <w:pPr>
        <w:pStyle w:val="Heading1"/>
        <w:spacing w:after="13"/>
        <w:ind w:right="125"/>
        <w:rPr>
          <w:lang w:val="bg-BG"/>
        </w:rPr>
      </w:pPr>
      <w:r w:rsidRPr="004A30FF">
        <w:rPr>
          <w:lang w:val="bg-BG"/>
        </w:rPr>
        <w:t>Декември 2023</w:t>
      </w:r>
    </w:p>
    <w:p w14:paraId="0DC342A9" w14:textId="40A631A7" w:rsidR="0001789A" w:rsidRPr="004A30FF" w:rsidRDefault="0001789A" w:rsidP="00DA58C2">
      <w:pPr>
        <w:spacing w:after="105"/>
        <w:ind w:right="136"/>
        <w:jc w:val="center"/>
      </w:pPr>
      <w:r w:rsidRPr="004A30FF">
        <w:rPr>
          <w:rFonts w:ascii="Times New Roman" w:eastAsia="Times New Roman" w:hAnsi="Times New Roman" w:cs="Times New Roman"/>
          <w:sz w:val="20"/>
        </w:rPr>
        <w:t>Област бюджет</w:t>
      </w:r>
    </w:p>
    <w:tbl>
      <w:tblPr>
        <w:tblStyle w:val="TableGrid"/>
        <w:tblW w:w="10438" w:type="dxa"/>
        <w:tblInd w:w="7" w:type="dxa"/>
        <w:tblCellMar>
          <w:top w:w="87" w:type="dxa"/>
          <w:left w:w="24" w:type="dxa"/>
          <w:bottom w:w="33" w:type="dxa"/>
          <w:right w:w="28" w:type="dxa"/>
        </w:tblCellMar>
        <w:tblLook w:val="04A0" w:firstRow="1" w:lastRow="0" w:firstColumn="1" w:lastColumn="0" w:noHBand="0" w:noVBand="1"/>
      </w:tblPr>
      <w:tblGrid>
        <w:gridCol w:w="608"/>
        <w:gridCol w:w="4620"/>
        <w:gridCol w:w="1320"/>
        <w:gridCol w:w="1291"/>
        <w:gridCol w:w="1289"/>
        <w:gridCol w:w="1310"/>
      </w:tblGrid>
      <w:tr w:rsidR="0001789A" w:rsidRPr="004A30FF" w14:paraId="4053FF78" w14:textId="77777777" w:rsidTr="00CE0A76">
        <w:trPr>
          <w:trHeight w:val="892"/>
        </w:trPr>
        <w:tc>
          <w:tcPr>
            <w:tcW w:w="5227" w:type="dxa"/>
            <w:gridSpan w:val="2"/>
            <w:tcBorders>
              <w:top w:val="single" w:sz="6" w:space="0" w:color="000000"/>
              <w:left w:val="single" w:sz="6" w:space="0" w:color="000000"/>
              <w:bottom w:val="double" w:sz="6" w:space="0" w:color="000000"/>
              <w:right w:val="nil"/>
            </w:tcBorders>
          </w:tcPr>
          <w:p w14:paraId="16E105F8" w14:textId="77777777" w:rsidR="0001789A" w:rsidRPr="004A30FF" w:rsidRDefault="0001789A" w:rsidP="00CE0A76">
            <w:pPr>
              <w:spacing w:after="66"/>
              <w:ind w:left="986"/>
            </w:pPr>
            <w:r w:rsidRPr="004A30FF">
              <w:rPr>
                <w:rFonts w:ascii="Times New Roman" w:eastAsia="Times New Roman" w:hAnsi="Times New Roman" w:cs="Times New Roman"/>
                <w:sz w:val="18"/>
              </w:rPr>
              <w:t>Код: 311</w:t>
            </w:r>
          </w:p>
          <w:p w14:paraId="51AEB3E3" w14:textId="77777777" w:rsidR="0001789A" w:rsidRPr="004A30FF" w:rsidRDefault="0001789A" w:rsidP="00CE0A76">
            <w:pPr>
              <w:spacing w:after="132"/>
            </w:pPr>
            <w:r w:rsidRPr="004A30FF">
              <w:rPr>
                <w:rFonts w:ascii="Times New Roman" w:eastAsia="Times New Roman" w:hAnsi="Times New Roman" w:cs="Times New Roman"/>
                <w:sz w:val="18"/>
              </w:rPr>
              <w:t>Наименование: Целодневни детски градини</w:t>
            </w:r>
          </w:p>
          <w:p w14:paraId="3637FF88" w14:textId="77777777" w:rsidR="0001789A" w:rsidRPr="004A30FF" w:rsidRDefault="0001789A" w:rsidP="00CE0A76">
            <w:pPr>
              <w:tabs>
                <w:tab w:val="center" w:pos="2499"/>
              </w:tabs>
            </w:pPr>
            <w:r w:rsidRPr="004A30FF">
              <w:rPr>
                <w:rFonts w:ascii="Times New Roman" w:eastAsia="Times New Roman" w:hAnsi="Times New Roman" w:cs="Times New Roman"/>
                <w:sz w:val="18"/>
              </w:rPr>
              <w:t>Параграф</w:t>
            </w:r>
            <w:r w:rsidRPr="004A30FF">
              <w:rPr>
                <w:rFonts w:ascii="Times New Roman" w:eastAsia="Times New Roman" w:hAnsi="Times New Roman" w:cs="Times New Roman"/>
                <w:sz w:val="18"/>
              </w:rPr>
              <w:tab/>
              <w:t>Наименование на параграфа</w:t>
            </w:r>
          </w:p>
        </w:tc>
        <w:tc>
          <w:tcPr>
            <w:tcW w:w="1320" w:type="dxa"/>
            <w:tcBorders>
              <w:top w:val="single" w:sz="6" w:space="0" w:color="000000"/>
              <w:left w:val="nil"/>
              <w:bottom w:val="double" w:sz="6" w:space="0" w:color="000000"/>
              <w:right w:val="nil"/>
            </w:tcBorders>
            <w:vAlign w:val="bottom"/>
          </w:tcPr>
          <w:p w14:paraId="1D52C5BF" w14:textId="77777777" w:rsidR="0001789A" w:rsidRPr="004A30FF" w:rsidRDefault="0001789A" w:rsidP="00CE0A76">
            <w:pPr>
              <w:ind w:right="6"/>
              <w:jc w:val="center"/>
            </w:pPr>
            <w:r w:rsidRPr="004A30FF">
              <w:rPr>
                <w:rFonts w:ascii="Times New Roman" w:eastAsia="Times New Roman" w:hAnsi="Times New Roman" w:cs="Times New Roman"/>
                <w:sz w:val="18"/>
              </w:rPr>
              <w:t>Всичко</w:t>
            </w:r>
          </w:p>
        </w:tc>
        <w:tc>
          <w:tcPr>
            <w:tcW w:w="1291" w:type="dxa"/>
            <w:tcBorders>
              <w:top w:val="single" w:sz="6" w:space="0" w:color="000000"/>
              <w:left w:val="nil"/>
              <w:bottom w:val="double" w:sz="6" w:space="0" w:color="000000"/>
              <w:right w:val="nil"/>
            </w:tcBorders>
            <w:vAlign w:val="bottom"/>
          </w:tcPr>
          <w:p w14:paraId="0B78F2DA" w14:textId="77777777" w:rsidR="0001789A" w:rsidRPr="004A30FF" w:rsidRDefault="0001789A" w:rsidP="00CE0A76">
            <w:pPr>
              <w:ind w:left="67"/>
            </w:pPr>
            <w:r w:rsidRPr="004A30FF">
              <w:rPr>
                <w:rFonts w:ascii="Times New Roman" w:eastAsia="Times New Roman" w:hAnsi="Times New Roman" w:cs="Times New Roman"/>
                <w:sz w:val="18"/>
              </w:rPr>
              <w:t>Държ. д-сти</w:t>
            </w:r>
          </w:p>
        </w:tc>
        <w:tc>
          <w:tcPr>
            <w:tcW w:w="1289" w:type="dxa"/>
            <w:tcBorders>
              <w:top w:val="single" w:sz="6" w:space="0" w:color="000000"/>
              <w:left w:val="nil"/>
              <w:bottom w:val="double" w:sz="6" w:space="0" w:color="000000"/>
              <w:right w:val="nil"/>
            </w:tcBorders>
            <w:vAlign w:val="bottom"/>
          </w:tcPr>
          <w:p w14:paraId="3A094D18" w14:textId="77777777" w:rsidR="0001789A" w:rsidRPr="004A30FF" w:rsidRDefault="0001789A" w:rsidP="00CE0A76">
            <w:pPr>
              <w:ind w:left="111"/>
            </w:pPr>
            <w:r w:rsidRPr="004A30FF">
              <w:rPr>
                <w:rFonts w:ascii="Times New Roman" w:eastAsia="Times New Roman" w:hAnsi="Times New Roman" w:cs="Times New Roman"/>
                <w:sz w:val="18"/>
              </w:rPr>
              <w:t>Общ. д-сти</w:t>
            </w:r>
          </w:p>
        </w:tc>
        <w:tc>
          <w:tcPr>
            <w:tcW w:w="1310" w:type="dxa"/>
            <w:tcBorders>
              <w:top w:val="single" w:sz="6" w:space="0" w:color="000000"/>
              <w:left w:val="nil"/>
              <w:bottom w:val="double" w:sz="6" w:space="0" w:color="000000"/>
              <w:right w:val="single" w:sz="6" w:space="0" w:color="000000"/>
            </w:tcBorders>
            <w:vAlign w:val="bottom"/>
          </w:tcPr>
          <w:p w14:paraId="11DF5887" w14:textId="77777777" w:rsidR="0001789A" w:rsidRPr="004A30FF" w:rsidRDefault="0001789A" w:rsidP="00CE0A76">
            <w:pPr>
              <w:ind w:left="141"/>
            </w:pPr>
            <w:r w:rsidRPr="004A30FF">
              <w:rPr>
                <w:rFonts w:ascii="Times New Roman" w:eastAsia="Times New Roman" w:hAnsi="Times New Roman" w:cs="Times New Roman"/>
                <w:sz w:val="18"/>
              </w:rPr>
              <w:t>Дофинан.</w:t>
            </w:r>
          </w:p>
        </w:tc>
      </w:tr>
      <w:tr w:rsidR="0001789A" w:rsidRPr="004A30FF" w14:paraId="451ABF73"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vAlign w:val="bottom"/>
          </w:tcPr>
          <w:p w14:paraId="717C82EC" w14:textId="77777777" w:rsidR="0001789A" w:rsidRPr="004A30FF" w:rsidRDefault="0001789A" w:rsidP="00CE0A76">
            <w:pPr>
              <w:ind w:left="29"/>
            </w:pPr>
            <w:r w:rsidRPr="004A30FF">
              <w:rPr>
                <w:rFonts w:ascii="Times New Roman" w:eastAsia="Times New Roman" w:hAnsi="Times New Roman" w:cs="Times New Roman"/>
                <w:sz w:val="18"/>
              </w:rPr>
              <w:t>0100</w:t>
            </w:r>
          </w:p>
        </w:tc>
        <w:tc>
          <w:tcPr>
            <w:tcW w:w="4620" w:type="dxa"/>
            <w:tcBorders>
              <w:top w:val="double" w:sz="6" w:space="0" w:color="000000"/>
              <w:left w:val="single" w:sz="6" w:space="0" w:color="000000"/>
              <w:bottom w:val="double" w:sz="6" w:space="0" w:color="000000"/>
              <w:right w:val="single" w:sz="6" w:space="0" w:color="000000"/>
            </w:tcBorders>
          </w:tcPr>
          <w:p w14:paraId="50B779E4" w14:textId="77777777" w:rsidR="0001789A" w:rsidRPr="004A30FF" w:rsidRDefault="0001789A" w:rsidP="00CE0A76"/>
        </w:tc>
        <w:tc>
          <w:tcPr>
            <w:tcW w:w="1320" w:type="dxa"/>
            <w:tcBorders>
              <w:top w:val="double" w:sz="6" w:space="0" w:color="000000"/>
              <w:left w:val="single" w:sz="6" w:space="0" w:color="000000"/>
              <w:bottom w:val="double" w:sz="6" w:space="0" w:color="000000"/>
              <w:right w:val="single" w:sz="6" w:space="0" w:color="000000"/>
            </w:tcBorders>
            <w:vAlign w:val="center"/>
          </w:tcPr>
          <w:p w14:paraId="29CBF7DF" w14:textId="77777777" w:rsidR="0001789A" w:rsidRPr="004A30FF" w:rsidRDefault="0001789A" w:rsidP="00CE0A76">
            <w:pPr>
              <w:jc w:val="right"/>
            </w:pPr>
            <w:r w:rsidRPr="004A30FF">
              <w:rPr>
                <w:rFonts w:ascii="Times New Roman" w:eastAsia="Times New Roman" w:hAnsi="Times New Roman" w:cs="Times New Roman"/>
                <w:sz w:val="14"/>
              </w:rPr>
              <w:t xml:space="preserve">     399 863.82</w:t>
            </w:r>
          </w:p>
        </w:tc>
        <w:tc>
          <w:tcPr>
            <w:tcW w:w="1291" w:type="dxa"/>
            <w:tcBorders>
              <w:top w:val="double" w:sz="6" w:space="0" w:color="000000"/>
              <w:left w:val="single" w:sz="6" w:space="0" w:color="000000"/>
              <w:bottom w:val="double" w:sz="6" w:space="0" w:color="000000"/>
              <w:right w:val="single" w:sz="6" w:space="0" w:color="000000"/>
            </w:tcBorders>
            <w:vAlign w:val="center"/>
          </w:tcPr>
          <w:p w14:paraId="10F0E9E6" w14:textId="77777777" w:rsidR="0001789A" w:rsidRPr="004A30FF" w:rsidRDefault="0001789A" w:rsidP="00CE0A76">
            <w:pPr>
              <w:ind w:right="2"/>
              <w:jc w:val="right"/>
            </w:pPr>
            <w:r w:rsidRPr="004A30FF">
              <w:rPr>
                <w:rFonts w:ascii="Times New Roman" w:eastAsia="Times New Roman" w:hAnsi="Times New Roman" w:cs="Times New Roman"/>
                <w:sz w:val="14"/>
              </w:rPr>
              <w:t xml:space="preserve">     399 863.82</w:t>
            </w:r>
          </w:p>
        </w:tc>
        <w:tc>
          <w:tcPr>
            <w:tcW w:w="1289" w:type="dxa"/>
            <w:tcBorders>
              <w:top w:val="double" w:sz="6" w:space="0" w:color="000000"/>
              <w:left w:val="single" w:sz="6" w:space="0" w:color="000000"/>
              <w:bottom w:val="double" w:sz="6" w:space="0" w:color="000000"/>
              <w:right w:val="single" w:sz="6" w:space="0" w:color="000000"/>
            </w:tcBorders>
            <w:vAlign w:val="center"/>
          </w:tcPr>
          <w:p w14:paraId="0549E5C3" w14:textId="77777777" w:rsidR="0001789A" w:rsidRPr="004A30FF" w:rsidRDefault="0001789A"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7F002F12" w14:textId="77777777" w:rsidR="0001789A" w:rsidRPr="004A30FF" w:rsidRDefault="0001789A" w:rsidP="00CE0A76">
            <w:pPr>
              <w:ind w:right="22"/>
              <w:jc w:val="right"/>
            </w:pPr>
            <w:r w:rsidRPr="004A30FF">
              <w:rPr>
                <w:rFonts w:ascii="Times New Roman" w:eastAsia="Times New Roman" w:hAnsi="Times New Roman" w:cs="Times New Roman"/>
                <w:sz w:val="14"/>
              </w:rPr>
              <w:t xml:space="preserve">           0.00</w:t>
            </w:r>
          </w:p>
        </w:tc>
      </w:tr>
      <w:tr w:rsidR="0001789A" w:rsidRPr="004A30FF" w14:paraId="72645ACE"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tcPr>
          <w:p w14:paraId="2E2F66A3" w14:textId="77777777" w:rsidR="0001789A" w:rsidRPr="004A30FF" w:rsidRDefault="0001789A" w:rsidP="00CE0A76">
            <w:pPr>
              <w:ind w:left="43"/>
            </w:pPr>
            <w:r w:rsidRPr="004A30FF">
              <w:rPr>
                <w:rFonts w:ascii="Times New Roman" w:eastAsia="Times New Roman" w:hAnsi="Times New Roman" w:cs="Times New Roman"/>
                <w:sz w:val="16"/>
              </w:rPr>
              <w:t>0101</w:t>
            </w:r>
          </w:p>
        </w:tc>
        <w:tc>
          <w:tcPr>
            <w:tcW w:w="4620" w:type="dxa"/>
            <w:tcBorders>
              <w:top w:val="double" w:sz="6" w:space="0" w:color="000000"/>
              <w:left w:val="single" w:sz="6" w:space="0" w:color="000000"/>
              <w:bottom w:val="double" w:sz="6" w:space="0" w:color="000000"/>
              <w:right w:val="single" w:sz="6" w:space="0" w:color="000000"/>
            </w:tcBorders>
          </w:tcPr>
          <w:p w14:paraId="6B81361B" w14:textId="77777777" w:rsidR="0001789A" w:rsidRPr="004A30FF" w:rsidRDefault="0001789A" w:rsidP="00CE0A76">
            <w:pPr>
              <w:ind w:left="22"/>
            </w:pPr>
            <w:r w:rsidRPr="004A30FF">
              <w:rPr>
                <w:rFonts w:ascii="Times New Roman" w:eastAsia="Times New Roman" w:hAnsi="Times New Roman" w:cs="Times New Roman"/>
                <w:sz w:val="16"/>
              </w:rPr>
              <w:t>заплати и възнагражденияна персонала нает по трудо</w:t>
            </w:r>
          </w:p>
        </w:tc>
        <w:tc>
          <w:tcPr>
            <w:tcW w:w="1320" w:type="dxa"/>
            <w:tcBorders>
              <w:top w:val="double" w:sz="6" w:space="0" w:color="000000"/>
              <w:left w:val="single" w:sz="6" w:space="0" w:color="000000"/>
              <w:bottom w:val="double" w:sz="6" w:space="0" w:color="000000"/>
              <w:right w:val="single" w:sz="6" w:space="0" w:color="000000"/>
            </w:tcBorders>
            <w:vAlign w:val="center"/>
          </w:tcPr>
          <w:p w14:paraId="5705A12B" w14:textId="77777777" w:rsidR="0001789A" w:rsidRPr="004A30FF" w:rsidRDefault="0001789A" w:rsidP="00CE0A76">
            <w:pPr>
              <w:jc w:val="right"/>
            </w:pPr>
            <w:r w:rsidRPr="004A30FF">
              <w:rPr>
                <w:rFonts w:ascii="Times New Roman" w:eastAsia="Times New Roman" w:hAnsi="Times New Roman" w:cs="Times New Roman"/>
                <w:sz w:val="14"/>
              </w:rPr>
              <w:t xml:space="preserve">     399 863.82</w:t>
            </w:r>
          </w:p>
        </w:tc>
        <w:tc>
          <w:tcPr>
            <w:tcW w:w="1291" w:type="dxa"/>
            <w:tcBorders>
              <w:top w:val="double" w:sz="6" w:space="0" w:color="000000"/>
              <w:left w:val="single" w:sz="6" w:space="0" w:color="000000"/>
              <w:bottom w:val="double" w:sz="6" w:space="0" w:color="000000"/>
              <w:right w:val="single" w:sz="6" w:space="0" w:color="000000"/>
            </w:tcBorders>
            <w:vAlign w:val="center"/>
          </w:tcPr>
          <w:p w14:paraId="0E04D61A" w14:textId="77777777" w:rsidR="0001789A" w:rsidRPr="004A30FF" w:rsidRDefault="0001789A" w:rsidP="00CE0A76">
            <w:pPr>
              <w:ind w:right="2"/>
              <w:jc w:val="right"/>
            </w:pPr>
            <w:r w:rsidRPr="004A30FF">
              <w:rPr>
                <w:rFonts w:ascii="Times New Roman" w:eastAsia="Times New Roman" w:hAnsi="Times New Roman" w:cs="Times New Roman"/>
                <w:sz w:val="14"/>
              </w:rPr>
              <w:t xml:space="preserve">     399 863.82</w:t>
            </w:r>
          </w:p>
        </w:tc>
        <w:tc>
          <w:tcPr>
            <w:tcW w:w="1289" w:type="dxa"/>
            <w:tcBorders>
              <w:top w:val="double" w:sz="6" w:space="0" w:color="000000"/>
              <w:left w:val="single" w:sz="6" w:space="0" w:color="000000"/>
              <w:bottom w:val="double" w:sz="6" w:space="0" w:color="000000"/>
              <w:right w:val="single" w:sz="6" w:space="0" w:color="000000"/>
            </w:tcBorders>
            <w:vAlign w:val="center"/>
          </w:tcPr>
          <w:p w14:paraId="6A965100" w14:textId="77777777" w:rsidR="0001789A" w:rsidRPr="004A30FF" w:rsidRDefault="0001789A"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23AE57A0" w14:textId="77777777" w:rsidR="0001789A" w:rsidRPr="004A30FF" w:rsidRDefault="0001789A" w:rsidP="00CE0A76">
            <w:pPr>
              <w:ind w:right="22"/>
              <w:jc w:val="right"/>
            </w:pPr>
            <w:r w:rsidRPr="004A30FF">
              <w:rPr>
                <w:rFonts w:ascii="Times New Roman" w:eastAsia="Times New Roman" w:hAnsi="Times New Roman" w:cs="Times New Roman"/>
                <w:sz w:val="14"/>
              </w:rPr>
              <w:t xml:space="preserve">           0.00</w:t>
            </w:r>
          </w:p>
        </w:tc>
      </w:tr>
      <w:tr w:rsidR="0001789A" w:rsidRPr="004A30FF" w14:paraId="2DD90F43"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vAlign w:val="bottom"/>
          </w:tcPr>
          <w:p w14:paraId="0EFC8E32" w14:textId="77777777" w:rsidR="0001789A" w:rsidRPr="004A30FF" w:rsidRDefault="0001789A" w:rsidP="00CE0A76">
            <w:pPr>
              <w:ind w:left="29"/>
            </w:pPr>
            <w:r w:rsidRPr="004A30FF">
              <w:rPr>
                <w:rFonts w:ascii="Times New Roman" w:eastAsia="Times New Roman" w:hAnsi="Times New Roman" w:cs="Times New Roman"/>
                <w:sz w:val="18"/>
              </w:rPr>
              <w:t>0200</w:t>
            </w:r>
          </w:p>
        </w:tc>
        <w:tc>
          <w:tcPr>
            <w:tcW w:w="4620" w:type="dxa"/>
            <w:tcBorders>
              <w:top w:val="double" w:sz="6" w:space="0" w:color="000000"/>
              <w:left w:val="single" w:sz="6" w:space="0" w:color="000000"/>
              <w:bottom w:val="double" w:sz="6" w:space="0" w:color="000000"/>
              <w:right w:val="single" w:sz="6" w:space="0" w:color="000000"/>
            </w:tcBorders>
          </w:tcPr>
          <w:p w14:paraId="09E7C34C" w14:textId="77777777" w:rsidR="0001789A" w:rsidRPr="004A30FF" w:rsidRDefault="0001789A" w:rsidP="00CE0A76"/>
        </w:tc>
        <w:tc>
          <w:tcPr>
            <w:tcW w:w="1320" w:type="dxa"/>
            <w:tcBorders>
              <w:top w:val="double" w:sz="6" w:space="0" w:color="000000"/>
              <w:left w:val="single" w:sz="6" w:space="0" w:color="000000"/>
              <w:bottom w:val="double" w:sz="6" w:space="0" w:color="000000"/>
              <w:right w:val="single" w:sz="6" w:space="0" w:color="000000"/>
            </w:tcBorders>
            <w:vAlign w:val="center"/>
          </w:tcPr>
          <w:p w14:paraId="1B3BF7C1" w14:textId="77777777" w:rsidR="0001789A" w:rsidRPr="004A30FF" w:rsidRDefault="0001789A" w:rsidP="00CE0A76">
            <w:pPr>
              <w:ind w:right="1"/>
              <w:jc w:val="right"/>
            </w:pPr>
            <w:r w:rsidRPr="004A30FF">
              <w:rPr>
                <w:rFonts w:ascii="Times New Roman" w:eastAsia="Times New Roman" w:hAnsi="Times New Roman" w:cs="Times New Roman"/>
                <w:sz w:val="14"/>
              </w:rPr>
              <w:t xml:space="preserve">      41 674.50</w:t>
            </w:r>
          </w:p>
        </w:tc>
        <w:tc>
          <w:tcPr>
            <w:tcW w:w="1291" w:type="dxa"/>
            <w:tcBorders>
              <w:top w:val="double" w:sz="6" w:space="0" w:color="000000"/>
              <w:left w:val="single" w:sz="6" w:space="0" w:color="000000"/>
              <w:bottom w:val="double" w:sz="6" w:space="0" w:color="000000"/>
              <w:right w:val="single" w:sz="6" w:space="0" w:color="000000"/>
            </w:tcBorders>
            <w:vAlign w:val="center"/>
          </w:tcPr>
          <w:p w14:paraId="669C62FB" w14:textId="77777777" w:rsidR="0001789A" w:rsidRPr="004A30FF" w:rsidRDefault="0001789A" w:rsidP="00CE0A76">
            <w:pPr>
              <w:ind w:right="3"/>
              <w:jc w:val="right"/>
            </w:pPr>
            <w:r w:rsidRPr="004A30FF">
              <w:rPr>
                <w:rFonts w:ascii="Times New Roman" w:eastAsia="Times New Roman" w:hAnsi="Times New Roman" w:cs="Times New Roman"/>
                <w:sz w:val="14"/>
              </w:rPr>
              <w:t xml:space="preserve">      41 674.50</w:t>
            </w:r>
          </w:p>
        </w:tc>
        <w:tc>
          <w:tcPr>
            <w:tcW w:w="1289" w:type="dxa"/>
            <w:tcBorders>
              <w:top w:val="double" w:sz="6" w:space="0" w:color="000000"/>
              <w:left w:val="single" w:sz="6" w:space="0" w:color="000000"/>
              <w:bottom w:val="double" w:sz="6" w:space="0" w:color="000000"/>
              <w:right w:val="single" w:sz="6" w:space="0" w:color="000000"/>
            </w:tcBorders>
            <w:vAlign w:val="center"/>
          </w:tcPr>
          <w:p w14:paraId="188E160C" w14:textId="77777777" w:rsidR="0001789A" w:rsidRPr="004A30FF" w:rsidRDefault="0001789A"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1DF07C30" w14:textId="77777777" w:rsidR="0001789A" w:rsidRPr="004A30FF" w:rsidRDefault="0001789A" w:rsidP="00CE0A76">
            <w:pPr>
              <w:ind w:right="22"/>
              <w:jc w:val="right"/>
            </w:pPr>
            <w:r w:rsidRPr="004A30FF">
              <w:rPr>
                <w:rFonts w:ascii="Times New Roman" w:eastAsia="Times New Roman" w:hAnsi="Times New Roman" w:cs="Times New Roman"/>
                <w:sz w:val="14"/>
              </w:rPr>
              <w:t xml:space="preserve">           0.00</w:t>
            </w:r>
          </w:p>
        </w:tc>
      </w:tr>
      <w:tr w:rsidR="0001789A" w:rsidRPr="004A30FF" w14:paraId="27AF3AFB"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tcPr>
          <w:p w14:paraId="7B2B3E4D" w14:textId="77777777" w:rsidR="0001789A" w:rsidRPr="004A30FF" w:rsidRDefault="0001789A" w:rsidP="00CE0A76">
            <w:pPr>
              <w:ind w:left="43"/>
            </w:pPr>
            <w:r w:rsidRPr="004A30FF">
              <w:rPr>
                <w:rFonts w:ascii="Times New Roman" w:eastAsia="Times New Roman" w:hAnsi="Times New Roman" w:cs="Times New Roman"/>
                <w:sz w:val="16"/>
              </w:rPr>
              <w:t>0205</w:t>
            </w:r>
          </w:p>
        </w:tc>
        <w:tc>
          <w:tcPr>
            <w:tcW w:w="4620" w:type="dxa"/>
            <w:tcBorders>
              <w:top w:val="double" w:sz="6" w:space="0" w:color="000000"/>
              <w:left w:val="single" w:sz="6" w:space="0" w:color="000000"/>
              <w:bottom w:val="double" w:sz="6" w:space="0" w:color="000000"/>
              <w:right w:val="single" w:sz="6" w:space="0" w:color="000000"/>
            </w:tcBorders>
          </w:tcPr>
          <w:p w14:paraId="4501FC52" w14:textId="77777777" w:rsidR="0001789A" w:rsidRPr="004A30FF" w:rsidRDefault="0001789A" w:rsidP="00CE0A76">
            <w:pPr>
              <w:ind w:left="22"/>
            </w:pPr>
            <w:r w:rsidRPr="004A30FF">
              <w:rPr>
                <w:rFonts w:ascii="Times New Roman" w:eastAsia="Times New Roman" w:hAnsi="Times New Roman" w:cs="Times New Roman"/>
                <w:sz w:val="16"/>
              </w:rPr>
              <w:t>изплатени суми отСБКО, за облекло и други на персо</w:t>
            </w:r>
          </w:p>
        </w:tc>
        <w:tc>
          <w:tcPr>
            <w:tcW w:w="1320" w:type="dxa"/>
            <w:tcBorders>
              <w:top w:val="double" w:sz="6" w:space="0" w:color="000000"/>
              <w:left w:val="single" w:sz="6" w:space="0" w:color="000000"/>
              <w:bottom w:val="double" w:sz="6" w:space="0" w:color="000000"/>
              <w:right w:val="single" w:sz="6" w:space="0" w:color="000000"/>
            </w:tcBorders>
            <w:vAlign w:val="center"/>
          </w:tcPr>
          <w:p w14:paraId="7839A270" w14:textId="77777777" w:rsidR="0001789A" w:rsidRPr="004A30FF" w:rsidRDefault="0001789A" w:rsidP="00CE0A76">
            <w:pPr>
              <w:ind w:right="1"/>
              <w:jc w:val="right"/>
            </w:pPr>
            <w:r w:rsidRPr="004A30FF">
              <w:rPr>
                <w:rFonts w:ascii="Times New Roman" w:eastAsia="Times New Roman" w:hAnsi="Times New Roman" w:cs="Times New Roman"/>
                <w:sz w:val="14"/>
              </w:rPr>
              <w:t xml:space="preserve">      10 159.10</w:t>
            </w:r>
          </w:p>
        </w:tc>
        <w:tc>
          <w:tcPr>
            <w:tcW w:w="1291" w:type="dxa"/>
            <w:tcBorders>
              <w:top w:val="double" w:sz="6" w:space="0" w:color="000000"/>
              <w:left w:val="single" w:sz="6" w:space="0" w:color="000000"/>
              <w:bottom w:val="double" w:sz="6" w:space="0" w:color="000000"/>
              <w:right w:val="single" w:sz="6" w:space="0" w:color="000000"/>
            </w:tcBorders>
            <w:vAlign w:val="center"/>
          </w:tcPr>
          <w:p w14:paraId="56199BEC" w14:textId="77777777" w:rsidR="0001789A" w:rsidRPr="004A30FF" w:rsidRDefault="0001789A" w:rsidP="00CE0A76">
            <w:pPr>
              <w:ind w:right="3"/>
              <w:jc w:val="right"/>
            </w:pPr>
            <w:r w:rsidRPr="004A30FF">
              <w:rPr>
                <w:rFonts w:ascii="Times New Roman" w:eastAsia="Times New Roman" w:hAnsi="Times New Roman" w:cs="Times New Roman"/>
                <w:sz w:val="14"/>
              </w:rPr>
              <w:t xml:space="preserve">      10 159.10</w:t>
            </w:r>
          </w:p>
        </w:tc>
        <w:tc>
          <w:tcPr>
            <w:tcW w:w="1289" w:type="dxa"/>
            <w:tcBorders>
              <w:top w:val="double" w:sz="6" w:space="0" w:color="000000"/>
              <w:left w:val="single" w:sz="6" w:space="0" w:color="000000"/>
              <w:bottom w:val="double" w:sz="6" w:space="0" w:color="000000"/>
              <w:right w:val="single" w:sz="6" w:space="0" w:color="000000"/>
            </w:tcBorders>
            <w:vAlign w:val="center"/>
          </w:tcPr>
          <w:p w14:paraId="2F7F82AE" w14:textId="77777777" w:rsidR="0001789A" w:rsidRPr="004A30FF" w:rsidRDefault="0001789A"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49C50DCD" w14:textId="77777777" w:rsidR="0001789A" w:rsidRPr="004A30FF" w:rsidRDefault="0001789A" w:rsidP="00CE0A76">
            <w:pPr>
              <w:ind w:right="22"/>
              <w:jc w:val="right"/>
            </w:pPr>
            <w:r w:rsidRPr="004A30FF">
              <w:rPr>
                <w:rFonts w:ascii="Times New Roman" w:eastAsia="Times New Roman" w:hAnsi="Times New Roman" w:cs="Times New Roman"/>
                <w:sz w:val="14"/>
              </w:rPr>
              <w:t xml:space="preserve">           0.00</w:t>
            </w:r>
          </w:p>
        </w:tc>
      </w:tr>
      <w:tr w:rsidR="0001789A" w:rsidRPr="004A30FF" w14:paraId="4035C9BB"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tcPr>
          <w:p w14:paraId="087669EE" w14:textId="77777777" w:rsidR="0001789A" w:rsidRPr="004A30FF" w:rsidRDefault="0001789A" w:rsidP="00CE0A76">
            <w:pPr>
              <w:ind w:left="43"/>
            </w:pPr>
            <w:r w:rsidRPr="004A30FF">
              <w:rPr>
                <w:rFonts w:ascii="Times New Roman" w:eastAsia="Times New Roman" w:hAnsi="Times New Roman" w:cs="Times New Roman"/>
                <w:sz w:val="16"/>
              </w:rPr>
              <w:t>0208</w:t>
            </w:r>
          </w:p>
        </w:tc>
        <w:tc>
          <w:tcPr>
            <w:tcW w:w="4620" w:type="dxa"/>
            <w:tcBorders>
              <w:top w:val="double" w:sz="6" w:space="0" w:color="000000"/>
              <w:left w:val="single" w:sz="6" w:space="0" w:color="000000"/>
              <w:bottom w:val="double" w:sz="6" w:space="0" w:color="000000"/>
              <w:right w:val="single" w:sz="6" w:space="0" w:color="000000"/>
            </w:tcBorders>
          </w:tcPr>
          <w:p w14:paraId="41CA9286" w14:textId="77777777" w:rsidR="0001789A" w:rsidRPr="004A30FF" w:rsidRDefault="0001789A" w:rsidP="00CE0A76">
            <w:pPr>
              <w:ind w:left="22"/>
            </w:pPr>
            <w:r w:rsidRPr="004A30FF">
              <w:rPr>
                <w:rFonts w:ascii="Times New Roman" w:eastAsia="Times New Roman" w:hAnsi="Times New Roman" w:cs="Times New Roman"/>
                <w:sz w:val="16"/>
              </w:rPr>
              <w:t>обезщетенияза персонала, с характер на възнагражде</w:t>
            </w:r>
          </w:p>
        </w:tc>
        <w:tc>
          <w:tcPr>
            <w:tcW w:w="1320" w:type="dxa"/>
            <w:tcBorders>
              <w:top w:val="double" w:sz="6" w:space="0" w:color="000000"/>
              <w:left w:val="single" w:sz="6" w:space="0" w:color="000000"/>
              <w:bottom w:val="double" w:sz="6" w:space="0" w:color="000000"/>
              <w:right w:val="single" w:sz="6" w:space="0" w:color="000000"/>
            </w:tcBorders>
            <w:vAlign w:val="center"/>
          </w:tcPr>
          <w:p w14:paraId="1363E7F6" w14:textId="77777777" w:rsidR="0001789A" w:rsidRPr="004A30FF" w:rsidRDefault="0001789A" w:rsidP="00CE0A76">
            <w:pPr>
              <w:ind w:right="1"/>
              <w:jc w:val="right"/>
            </w:pPr>
            <w:r w:rsidRPr="004A30FF">
              <w:rPr>
                <w:rFonts w:ascii="Times New Roman" w:eastAsia="Times New Roman" w:hAnsi="Times New Roman" w:cs="Times New Roman"/>
                <w:sz w:val="14"/>
              </w:rPr>
              <w:t xml:space="preserve">      29 179.29</w:t>
            </w:r>
          </w:p>
        </w:tc>
        <w:tc>
          <w:tcPr>
            <w:tcW w:w="1291" w:type="dxa"/>
            <w:tcBorders>
              <w:top w:val="double" w:sz="6" w:space="0" w:color="000000"/>
              <w:left w:val="single" w:sz="6" w:space="0" w:color="000000"/>
              <w:bottom w:val="double" w:sz="6" w:space="0" w:color="000000"/>
              <w:right w:val="single" w:sz="6" w:space="0" w:color="000000"/>
            </w:tcBorders>
            <w:vAlign w:val="center"/>
          </w:tcPr>
          <w:p w14:paraId="7AC69491" w14:textId="77777777" w:rsidR="0001789A" w:rsidRPr="004A30FF" w:rsidRDefault="0001789A" w:rsidP="00CE0A76">
            <w:pPr>
              <w:ind w:right="3"/>
              <w:jc w:val="right"/>
            </w:pPr>
            <w:r w:rsidRPr="004A30FF">
              <w:rPr>
                <w:rFonts w:ascii="Times New Roman" w:eastAsia="Times New Roman" w:hAnsi="Times New Roman" w:cs="Times New Roman"/>
                <w:sz w:val="14"/>
              </w:rPr>
              <w:t xml:space="preserve">      29 179.29</w:t>
            </w:r>
          </w:p>
        </w:tc>
        <w:tc>
          <w:tcPr>
            <w:tcW w:w="1289" w:type="dxa"/>
            <w:tcBorders>
              <w:top w:val="double" w:sz="6" w:space="0" w:color="000000"/>
              <w:left w:val="single" w:sz="6" w:space="0" w:color="000000"/>
              <w:bottom w:val="double" w:sz="6" w:space="0" w:color="000000"/>
              <w:right w:val="single" w:sz="6" w:space="0" w:color="000000"/>
            </w:tcBorders>
            <w:vAlign w:val="center"/>
          </w:tcPr>
          <w:p w14:paraId="2F3E7477" w14:textId="77777777" w:rsidR="0001789A" w:rsidRPr="004A30FF" w:rsidRDefault="0001789A"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0A06C164" w14:textId="77777777" w:rsidR="0001789A" w:rsidRPr="004A30FF" w:rsidRDefault="0001789A" w:rsidP="00CE0A76">
            <w:pPr>
              <w:ind w:right="22"/>
              <w:jc w:val="right"/>
            </w:pPr>
            <w:r w:rsidRPr="004A30FF">
              <w:rPr>
                <w:rFonts w:ascii="Times New Roman" w:eastAsia="Times New Roman" w:hAnsi="Times New Roman" w:cs="Times New Roman"/>
                <w:sz w:val="14"/>
              </w:rPr>
              <w:t xml:space="preserve">           0.00</w:t>
            </w:r>
          </w:p>
        </w:tc>
      </w:tr>
      <w:tr w:rsidR="0001789A" w:rsidRPr="004A30FF" w14:paraId="180DBA55"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tcPr>
          <w:p w14:paraId="6A88F1CF" w14:textId="77777777" w:rsidR="0001789A" w:rsidRPr="004A30FF" w:rsidRDefault="0001789A" w:rsidP="00CE0A76">
            <w:pPr>
              <w:ind w:left="43"/>
            </w:pPr>
            <w:r w:rsidRPr="004A30FF">
              <w:rPr>
                <w:rFonts w:ascii="Times New Roman" w:eastAsia="Times New Roman" w:hAnsi="Times New Roman" w:cs="Times New Roman"/>
                <w:sz w:val="16"/>
              </w:rPr>
              <w:t>0209</w:t>
            </w:r>
          </w:p>
        </w:tc>
        <w:tc>
          <w:tcPr>
            <w:tcW w:w="4620" w:type="dxa"/>
            <w:tcBorders>
              <w:top w:val="double" w:sz="6" w:space="0" w:color="000000"/>
              <w:left w:val="single" w:sz="6" w:space="0" w:color="000000"/>
              <w:bottom w:val="double" w:sz="6" w:space="0" w:color="000000"/>
              <w:right w:val="single" w:sz="6" w:space="0" w:color="000000"/>
            </w:tcBorders>
          </w:tcPr>
          <w:p w14:paraId="22B17B1A" w14:textId="77777777" w:rsidR="0001789A" w:rsidRPr="004A30FF" w:rsidRDefault="0001789A" w:rsidP="00CE0A76">
            <w:pPr>
              <w:ind w:left="22"/>
            </w:pPr>
            <w:r w:rsidRPr="004A30FF">
              <w:rPr>
                <w:rFonts w:ascii="Times New Roman" w:eastAsia="Times New Roman" w:hAnsi="Times New Roman" w:cs="Times New Roman"/>
                <w:sz w:val="16"/>
              </w:rPr>
              <w:t>другиплащания и възнаграждения</w:t>
            </w:r>
          </w:p>
        </w:tc>
        <w:tc>
          <w:tcPr>
            <w:tcW w:w="1320" w:type="dxa"/>
            <w:tcBorders>
              <w:top w:val="double" w:sz="6" w:space="0" w:color="000000"/>
              <w:left w:val="single" w:sz="6" w:space="0" w:color="000000"/>
              <w:bottom w:val="double" w:sz="6" w:space="0" w:color="000000"/>
              <w:right w:val="single" w:sz="6" w:space="0" w:color="000000"/>
            </w:tcBorders>
            <w:vAlign w:val="center"/>
          </w:tcPr>
          <w:p w14:paraId="0DCC5350" w14:textId="77777777" w:rsidR="0001789A" w:rsidRPr="004A30FF" w:rsidRDefault="0001789A" w:rsidP="00CE0A76">
            <w:pPr>
              <w:jc w:val="right"/>
            </w:pPr>
            <w:r w:rsidRPr="004A30FF">
              <w:rPr>
                <w:rFonts w:ascii="Times New Roman" w:eastAsia="Times New Roman" w:hAnsi="Times New Roman" w:cs="Times New Roman"/>
                <w:sz w:val="14"/>
              </w:rPr>
              <w:t xml:space="preserve">       2 336.11</w:t>
            </w:r>
          </w:p>
        </w:tc>
        <w:tc>
          <w:tcPr>
            <w:tcW w:w="1291" w:type="dxa"/>
            <w:tcBorders>
              <w:top w:val="double" w:sz="6" w:space="0" w:color="000000"/>
              <w:left w:val="single" w:sz="6" w:space="0" w:color="000000"/>
              <w:bottom w:val="double" w:sz="6" w:space="0" w:color="000000"/>
              <w:right w:val="single" w:sz="6" w:space="0" w:color="000000"/>
            </w:tcBorders>
            <w:vAlign w:val="center"/>
          </w:tcPr>
          <w:p w14:paraId="72A4E6BF" w14:textId="77777777" w:rsidR="0001789A" w:rsidRPr="004A30FF" w:rsidRDefault="0001789A" w:rsidP="00CE0A76">
            <w:pPr>
              <w:ind w:right="2"/>
              <w:jc w:val="right"/>
            </w:pPr>
            <w:r w:rsidRPr="004A30FF">
              <w:rPr>
                <w:rFonts w:ascii="Times New Roman" w:eastAsia="Times New Roman" w:hAnsi="Times New Roman" w:cs="Times New Roman"/>
                <w:sz w:val="14"/>
              </w:rPr>
              <w:t xml:space="preserve">       2 336.11</w:t>
            </w:r>
          </w:p>
        </w:tc>
        <w:tc>
          <w:tcPr>
            <w:tcW w:w="1289" w:type="dxa"/>
            <w:tcBorders>
              <w:top w:val="double" w:sz="6" w:space="0" w:color="000000"/>
              <w:left w:val="single" w:sz="6" w:space="0" w:color="000000"/>
              <w:bottom w:val="double" w:sz="6" w:space="0" w:color="000000"/>
              <w:right w:val="single" w:sz="6" w:space="0" w:color="000000"/>
            </w:tcBorders>
            <w:vAlign w:val="center"/>
          </w:tcPr>
          <w:p w14:paraId="3B35208D" w14:textId="77777777" w:rsidR="0001789A" w:rsidRPr="004A30FF" w:rsidRDefault="0001789A"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002EA21C" w14:textId="77777777" w:rsidR="0001789A" w:rsidRPr="004A30FF" w:rsidRDefault="0001789A" w:rsidP="00CE0A76">
            <w:pPr>
              <w:ind w:right="22"/>
              <w:jc w:val="right"/>
            </w:pPr>
            <w:r w:rsidRPr="004A30FF">
              <w:rPr>
                <w:rFonts w:ascii="Times New Roman" w:eastAsia="Times New Roman" w:hAnsi="Times New Roman" w:cs="Times New Roman"/>
                <w:sz w:val="14"/>
              </w:rPr>
              <w:t xml:space="preserve">           0.00</w:t>
            </w:r>
          </w:p>
        </w:tc>
      </w:tr>
      <w:tr w:rsidR="0001789A" w:rsidRPr="004A30FF" w14:paraId="651CFDA3"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vAlign w:val="bottom"/>
          </w:tcPr>
          <w:p w14:paraId="61B1FE29" w14:textId="77777777" w:rsidR="0001789A" w:rsidRPr="004A30FF" w:rsidRDefault="0001789A" w:rsidP="00CE0A76">
            <w:pPr>
              <w:ind w:left="29"/>
            </w:pPr>
            <w:r w:rsidRPr="004A30FF">
              <w:rPr>
                <w:rFonts w:ascii="Times New Roman" w:eastAsia="Times New Roman" w:hAnsi="Times New Roman" w:cs="Times New Roman"/>
                <w:sz w:val="18"/>
              </w:rPr>
              <w:t>0500</w:t>
            </w:r>
          </w:p>
        </w:tc>
        <w:tc>
          <w:tcPr>
            <w:tcW w:w="4620" w:type="dxa"/>
            <w:tcBorders>
              <w:top w:val="double" w:sz="6" w:space="0" w:color="000000"/>
              <w:left w:val="single" w:sz="6" w:space="0" w:color="000000"/>
              <w:bottom w:val="double" w:sz="6" w:space="0" w:color="000000"/>
              <w:right w:val="single" w:sz="6" w:space="0" w:color="000000"/>
            </w:tcBorders>
          </w:tcPr>
          <w:p w14:paraId="04704458" w14:textId="77777777" w:rsidR="0001789A" w:rsidRPr="004A30FF" w:rsidRDefault="0001789A" w:rsidP="00CE0A76"/>
        </w:tc>
        <w:tc>
          <w:tcPr>
            <w:tcW w:w="1320" w:type="dxa"/>
            <w:tcBorders>
              <w:top w:val="double" w:sz="6" w:space="0" w:color="000000"/>
              <w:left w:val="single" w:sz="6" w:space="0" w:color="000000"/>
              <w:bottom w:val="double" w:sz="6" w:space="0" w:color="000000"/>
              <w:right w:val="single" w:sz="6" w:space="0" w:color="000000"/>
            </w:tcBorders>
            <w:vAlign w:val="center"/>
          </w:tcPr>
          <w:p w14:paraId="61FA9AAA" w14:textId="77777777" w:rsidR="0001789A" w:rsidRPr="004A30FF" w:rsidRDefault="0001789A" w:rsidP="00CE0A76">
            <w:pPr>
              <w:ind w:right="1"/>
              <w:jc w:val="right"/>
            </w:pPr>
            <w:r w:rsidRPr="004A30FF">
              <w:rPr>
                <w:rFonts w:ascii="Times New Roman" w:eastAsia="Times New Roman" w:hAnsi="Times New Roman" w:cs="Times New Roman"/>
                <w:sz w:val="14"/>
              </w:rPr>
              <w:t xml:space="preserve">      89 446.44</w:t>
            </w:r>
          </w:p>
        </w:tc>
        <w:tc>
          <w:tcPr>
            <w:tcW w:w="1291" w:type="dxa"/>
            <w:tcBorders>
              <w:top w:val="double" w:sz="6" w:space="0" w:color="000000"/>
              <w:left w:val="single" w:sz="6" w:space="0" w:color="000000"/>
              <w:bottom w:val="double" w:sz="6" w:space="0" w:color="000000"/>
              <w:right w:val="single" w:sz="6" w:space="0" w:color="000000"/>
            </w:tcBorders>
            <w:vAlign w:val="center"/>
          </w:tcPr>
          <w:p w14:paraId="660C5C86" w14:textId="77777777" w:rsidR="0001789A" w:rsidRPr="004A30FF" w:rsidRDefault="0001789A" w:rsidP="00CE0A76">
            <w:pPr>
              <w:ind w:right="3"/>
              <w:jc w:val="right"/>
            </w:pPr>
            <w:r w:rsidRPr="004A30FF">
              <w:rPr>
                <w:rFonts w:ascii="Times New Roman" w:eastAsia="Times New Roman" w:hAnsi="Times New Roman" w:cs="Times New Roman"/>
                <w:sz w:val="14"/>
              </w:rPr>
              <w:t xml:space="preserve">      89 446.44</w:t>
            </w:r>
          </w:p>
        </w:tc>
        <w:tc>
          <w:tcPr>
            <w:tcW w:w="1289" w:type="dxa"/>
            <w:tcBorders>
              <w:top w:val="double" w:sz="6" w:space="0" w:color="000000"/>
              <w:left w:val="single" w:sz="6" w:space="0" w:color="000000"/>
              <w:bottom w:val="double" w:sz="6" w:space="0" w:color="000000"/>
              <w:right w:val="single" w:sz="6" w:space="0" w:color="000000"/>
            </w:tcBorders>
            <w:vAlign w:val="center"/>
          </w:tcPr>
          <w:p w14:paraId="034668AF" w14:textId="77777777" w:rsidR="0001789A" w:rsidRPr="004A30FF" w:rsidRDefault="0001789A"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3F2AB98C" w14:textId="77777777" w:rsidR="0001789A" w:rsidRPr="004A30FF" w:rsidRDefault="0001789A" w:rsidP="00CE0A76">
            <w:pPr>
              <w:ind w:right="22"/>
              <w:jc w:val="right"/>
            </w:pPr>
            <w:r w:rsidRPr="004A30FF">
              <w:rPr>
                <w:rFonts w:ascii="Times New Roman" w:eastAsia="Times New Roman" w:hAnsi="Times New Roman" w:cs="Times New Roman"/>
                <w:sz w:val="14"/>
              </w:rPr>
              <w:t xml:space="preserve">           0.00</w:t>
            </w:r>
          </w:p>
        </w:tc>
      </w:tr>
      <w:tr w:rsidR="0001789A" w:rsidRPr="004A30FF" w14:paraId="04D6E4E4"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tcPr>
          <w:p w14:paraId="243B3587" w14:textId="77777777" w:rsidR="0001789A" w:rsidRPr="004A30FF" w:rsidRDefault="0001789A" w:rsidP="00CE0A76">
            <w:pPr>
              <w:ind w:left="43"/>
            </w:pPr>
            <w:r w:rsidRPr="004A30FF">
              <w:rPr>
                <w:rFonts w:ascii="Times New Roman" w:eastAsia="Times New Roman" w:hAnsi="Times New Roman" w:cs="Times New Roman"/>
                <w:sz w:val="16"/>
              </w:rPr>
              <w:t>0551</w:t>
            </w:r>
          </w:p>
        </w:tc>
        <w:tc>
          <w:tcPr>
            <w:tcW w:w="4620" w:type="dxa"/>
            <w:tcBorders>
              <w:top w:val="double" w:sz="6" w:space="0" w:color="000000"/>
              <w:left w:val="single" w:sz="6" w:space="0" w:color="000000"/>
              <w:bottom w:val="double" w:sz="6" w:space="0" w:color="000000"/>
              <w:right w:val="single" w:sz="6" w:space="0" w:color="000000"/>
            </w:tcBorders>
          </w:tcPr>
          <w:p w14:paraId="0E813152" w14:textId="77777777" w:rsidR="0001789A" w:rsidRPr="004A30FF" w:rsidRDefault="0001789A" w:rsidP="00CE0A76">
            <w:pPr>
              <w:ind w:left="22"/>
            </w:pPr>
            <w:r w:rsidRPr="004A30FF">
              <w:rPr>
                <w:rFonts w:ascii="Times New Roman" w:eastAsia="Times New Roman" w:hAnsi="Times New Roman" w:cs="Times New Roman"/>
                <w:sz w:val="16"/>
              </w:rPr>
              <w:t>осигурителни вноски от работодатели за ДОО</w:t>
            </w:r>
          </w:p>
        </w:tc>
        <w:tc>
          <w:tcPr>
            <w:tcW w:w="1320" w:type="dxa"/>
            <w:tcBorders>
              <w:top w:val="double" w:sz="6" w:space="0" w:color="000000"/>
              <w:left w:val="single" w:sz="6" w:space="0" w:color="000000"/>
              <w:bottom w:val="double" w:sz="6" w:space="0" w:color="000000"/>
              <w:right w:val="single" w:sz="6" w:space="0" w:color="000000"/>
            </w:tcBorders>
            <w:vAlign w:val="center"/>
          </w:tcPr>
          <w:p w14:paraId="0D4DCFE3" w14:textId="77777777" w:rsidR="0001789A" w:rsidRPr="004A30FF" w:rsidRDefault="0001789A" w:rsidP="00CE0A76">
            <w:pPr>
              <w:ind w:right="1"/>
              <w:jc w:val="right"/>
            </w:pPr>
            <w:r w:rsidRPr="004A30FF">
              <w:rPr>
                <w:rFonts w:ascii="Times New Roman" w:eastAsia="Times New Roman" w:hAnsi="Times New Roman" w:cs="Times New Roman"/>
                <w:sz w:val="14"/>
              </w:rPr>
              <w:t xml:space="preserve">      46 378.43</w:t>
            </w:r>
          </w:p>
        </w:tc>
        <w:tc>
          <w:tcPr>
            <w:tcW w:w="1291" w:type="dxa"/>
            <w:tcBorders>
              <w:top w:val="double" w:sz="6" w:space="0" w:color="000000"/>
              <w:left w:val="single" w:sz="6" w:space="0" w:color="000000"/>
              <w:bottom w:val="double" w:sz="6" w:space="0" w:color="000000"/>
              <w:right w:val="single" w:sz="6" w:space="0" w:color="000000"/>
            </w:tcBorders>
            <w:vAlign w:val="center"/>
          </w:tcPr>
          <w:p w14:paraId="7D2CFAAC" w14:textId="77777777" w:rsidR="0001789A" w:rsidRPr="004A30FF" w:rsidRDefault="0001789A" w:rsidP="00CE0A76">
            <w:pPr>
              <w:ind w:right="3"/>
              <w:jc w:val="right"/>
            </w:pPr>
            <w:r w:rsidRPr="004A30FF">
              <w:rPr>
                <w:rFonts w:ascii="Times New Roman" w:eastAsia="Times New Roman" w:hAnsi="Times New Roman" w:cs="Times New Roman"/>
                <w:sz w:val="14"/>
              </w:rPr>
              <w:t xml:space="preserve">      46 378.43</w:t>
            </w:r>
          </w:p>
        </w:tc>
        <w:tc>
          <w:tcPr>
            <w:tcW w:w="1289" w:type="dxa"/>
            <w:tcBorders>
              <w:top w:val="double" w:sz="6" w:space="0" w:color="000000"/>
              <w:left w:val="single" w:sz="6" w:space="0" w:color="000000"/>
              <w:bottom w:val="double" w:sz="6" w:space="0" w:color="000000"/>
              <w:right w:val="single" w:sz="6" w:space="0" w:color="000000"/>
            </w:tcBorders>
            <w:vAlign w:val="center"/>
          </w:tcPr>
          <w:p w14:paraId="41999610" w14:textId="77777777" w:rsidR="0001789A" w:rsidRPr="004A30FF" w:rsidRDefault="0001789A"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3C1ECE23" w14:textId="77777777" w:rsidR="0001789A" w:rsidRPr="004A30FF" w:rsidRDefault="0001789A" w:rsidP="00CE0A76">
            <w:pPr>
              <w:ind w:right="22"/>
              <w:jc w:val="right"/>
            </w:pPr>
            <w:r w:rsidRPr="004A30FF">
              <w:rPr>
                <w:rFonts w:ascii="Times New Roman" w:eastAsia="Times New Roman" w:hAnsi="Times New Roman" w:cs="Times New Roman"/>
                <w:sz w:val="14"/>
              </w:rPr>
              <w:t xml:space="preserve">           0.00</w:t>
            </w:r>
          </w:p>
        </w:tc>
      </w:tr>
      <w:tr w:rsidR="0001789A" w:rsidRPr="004A30FF" w14:paraId="1BA52123"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tcPr>
          <w:p w14:paraId="4317BFF1" w14:textId="77777777" w:rsidR="0001789A" w:rsidRPr="004A30FF" w:rsidRDefault="0001789A" w:rsidP="00CE0A76">
            <w:pPr>
              <w:ind w:left="43"/>
            </w:pPr>
            <w:r w:rsidRPr="004A30FF">
              <w:rPr>
                <w:rFonts w:ascii="Times New Roman" w:eastAsia="Times New Roman" w:hAnsi="Times New Roman" w:cs="Times New Roman"/>
                <w:sz w:val="16"/>
              </w:rPr>
              <w:t>0552</w:t>
            </w:r>
          </w:p>
        </w:tc>
        <w:tc>
          <w:tcPr>
            <w:tcW w:w="4620" w:type="dxa"/>
            <w:tcBorders>
              <w:top w:val="double" w:sz="6" w:space="0" w:color="000000"/>
              <w:left w:val="single" w:sz="6" w:space="0" w:color="000000"/>
              <w:bottom w:val="double" w:sz="6" w:space="0" w:color="000000"/>
              <w:right w:val="single" w:sz="6" w:space="0" w:color="000000"/>
            </w:tcBorders>
          </w:tcPr>
          <w:p w14:paraId="012B547A" w14:textId="77777777" w:rsidR="0001789A" w:rsidRPr="004A30FF" w:rsidRDefault="0001789A" w:rsidP="00CE0A76">
            <w:pPr>
              <w:ind w:left="22"/>
            </w:pPr>
            <w:r w:rsidRPr="004A30FF">
              <w:rPr>
                <w:rFonts w:ascii="Times New Roman" w:eastAsia="Times New Roman" w:hAnsi="Times New Roman" w:cs="Times New Roman"/>
                <w:sz w:val="16"/>
              </w:rPr>
              <w:t>осигурителни вноски от работодатели за УПФ</w:t>
            </w:r>
          </w:p>
        </w:tc>
        <w:tc>
          <w:tcPr>
            <w:tcW w:w="1320" w:type="dxa"/>
            <w:tcBorders>
              <w:top w:val="double" w:sz="6" w:space="0" w:color="000000"/>
              <w:left w:val="single" w:sz="6" w:space="0" w:color="000000"/>
              <w:bottom w:val="double" w:sz="6" w:space="0" w:color="000000"/>
              <w:right w:val="single" w:sz="6" w:space="0" w:color="000000"/>
            </w:tcBorders>
            <w:vAlign w:val="center"/>
          </w:tcPr>
          <w:p w14:paraId="76546A37" w14:textId="77777777" w:rsidR="0001789A" w:rsidRPr="004A30FF" w:rsidRDefault="0001789A" w:rsidP="00CE0A76">
            <w:pPr>
              <w:ind w:right="1"/>
              <w:jc w:val="right"/>
            </w:pPr>
            <w:r w:rsidRPr="004A30FF">
              <w:rPr>
                <w:rFonts w:ascii="Times New Roman" w:eastAsia="Times New Roman" w:hAnsi="Times New Roman" w:cs="Times New Roman"/>
                <w:sz w:val="14"/>
              </w:rPr>
              <w:t xml:space="preserve">      11 404.20</w:t>
            </w:r>
          </w:p>
        </w:tc>
        <w:tc>
          <w:tcPr>
            <w:tcW w:w="1291" w:type="dxa"/>
            <w:tcBorders>
              <w:top w:val="double" w:sz="6" w:space="0" w:color="000000"/>
              <w:left w:val="single" w:sz="6" w:space="0" w:color="000000"/>
              <w:bottom w:val="double" w:sz="6" w:space="0" w:color="000000"/>
              <w:right w:val="single" w:sz="6" w:space="0" w:color="000000"/>
            </w:tcBorders>
            <w:vAlign w:val="center"/>
          </w:tcPr>
          <w:p w14:paraId="1F7BAC08" w14:textId="77777777" w:rsidR="0001789A" w:rsidRPr="004A30FF" w:rsidRDefault="0001789A" w:rsidP="00CE0A76">
            <w:pPr>
              <w:ind w:right="3"/>
              <w:jc w:val="right"/>
            </w:pPr>
            <w:r w:rsidRPr="004A30FF">
              <w:rPr>
                <w:rFonts w:ascii="Times New Roman" w:eastAsia="Times New Roman" w:hAnsi="Times New Roman" w:cs="Times New Roman"/>
                <w:sz w:val="14"/>
              </w:rPr>
              <w:t xml:space="preserve">      11 404.20</w:t>
            </w:r>
          </w:p>
        </w:tc>
        <w:tc>
          <w:tcPr>
            <w:tcW w:w="1289" w:type="dxa"/>
            <w:tcBorders>
              <w:top w:val="double" w:sz="6" w:space="0" w:color="000000"/>
              <w:left w:val="single" w:sz="6" w:space="0" w:color="000000"/>
              <w:bottom w:val="double" w:sz="6" w:space="0" w:color="000000"/>
              <w:right w:val="single" w:sz="6" w:space="0" w:color="000000"/>
            </w:tcBorders>
            <w:vAlign w:val="center"/>
          </w:tcPr>
          <w:p w14:paraId="66836B12" w14:textId="77777777" w:rsidR="0001789A" w:rsidRPr="004A30FF" w:rsidRDefault="0001789A"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5AAF8C45" w14:textId="77777777" w:rsidR="0001789A" w:rsidRPr="004A30FF" w:rsidRDefault="0001789A" w:rsidP="00CE0A76">
            <w:pPr>
              <w:ind w:right="22"/>
              <w:jc w:val="right"/>
            </w:pPr>
            <w:r w:rsidRPr="004A30FF">
              <w:rPr>
                <w:rFonts w:ascii="Times New Roman" w:eastAsia="Times New Roman" w:hAnsi="Times New Roman" w:cs="Times New Roman"/>
                <w:sz w:val="14"/>
              </w:rPr>
              <w:t xml:space="preserve">           0.00</w:t>
            </w:r>
          </w:p>
        </w:tc>
      </w:tr>
      <w:tr w:rsidR="0001789A" w:rsidRPr="004A30FF" w14:paraId="53FE35AD"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tcPr>
          <w:p w14:paraId="28F50F09" w14:textId="77777777" w:rsidR="0001789A" w:rsidRPr="004A30FF" w:rsidRDefault="0001789A" w:rsidP="00CE0A76">
            <w:pPr>
              <w:ind w:left="43"/>
            </w:pPr>
            <w:r w:rsidRPr="004A30FF">
              <w:rPr>
                <w:rFonts w:ascii="Times New Roman" w:eastAsia="Times New Roman" w:hAnsi="Times New Roman" w:cs="Times New Roman"/>
                <w:sz w:val="16"/>
              </w:rPr>
              <w:t>0560</w:t>
            </w:r>
          </w:p>
        </w:tc>
        <w:tc>
          <w:tcPr>
            <w:tcW w:w="4620" w:type="dxa"/>
            <w:tcBorders>
              <w:top w:val="double" w:sz="6" w:space="0" w:color="000000"/>
              <w:left w:val="single" w:sz="6" w:space="0" w:color="000000"/>
              <w:bottom w:val="double" w:sz="6" w:space="0" w:color="000000"/>
              <w:right w:val="single" w:sz="6" w:space="0" w:color="000000"/>
            </w:tcBorders>
          </w:tcPr>
          <w:p w14:paraId="5C4EA582" w14:textId="77777777" w:rsidR="0001789A" w:rsidRPr="004A30FF" w:rsidRDefault="0001789A" w:rsidP="00CE0A76">
            <w:pPr>
              <w:ind w:left="22"/>
            </w:pPr>
            <w:r w:rsidRPr="004A30FF">
              <w:rPr>
                <w:rFonts w:ascii="Times New Roman" w:eastAsia="Times New Roman" w:hAnsi="Times New Roman" w:cs="Times New Roman"/>
                <w:sz w:val="16"/>
              </w:rPr>
              <w:t>здравно-осигурителни вноскиот работодатели</w:t>
            </w:r>
          </w:p>
        </w:tc>
        <w:tc>
          <w:tcPr>
            <w:tcW w:w="1320" w:type="dxa"/>
            <w:tcBorders>
              <w:top w:val="double" w:sz="6" w:space="0" w:color="000000"/>
              <w:left w:val="single" w:sz="6" w:space="0" w:color="000000"/>
              <w:bottom w:val="double" w:sz="6" w:space="0" w:color="000000"/>
              <w:right w:val="single" w:sz="6" w:space="0" w:color="000000"/>
            </w:tcBorders>
            <w:vAlign w:val="center"/>
          </w:tcPr>
          <w:p w14:paraId="503052E1" w14:textId="77777777" w:rsidR="0001789A" w:rsidRPr="004A30FF" w:rsidRDefault="0001789A" w:rsidP="00CE0A76">
            <w:pPr>
              <w:ind w:right="1"/>
              <w:jc w:val="right"/>
            </w:pPr>
            <w:r w:rsidRPr="004A30FF">
              <w:rPr>
                <w:rFonts w:ascii="Times New Roman" w:eastAsia="Times New Roman" w:hAnsi="Times New Roman" w:cs="Times New Roman"/>
                <w:sz w:val="14"/>
              </w:rPr>
              <w:t xml:space="preserve">      20 292.56</w:t>
            </w:r>
          </w:p>
        </w:tc>
        <w:tc>
          <w:tcPr>
            <w:tcW w:w="1291" w:type="dxa"/>
            <w:tcBorders>
              <w:top w:val="double" w:sz="6" w:space="0" w:color="000000"/>
              <w:left w:val="single" w:sz="6" w:space="0" w:color="000000"/>
              <w:bottom w:val="double" w:sz="6" w:space="0" w:color="000000"/>
              <w:right w:val="single" w:sz="6" w:space="0" w:color="000000"/>
            </w:tcBorders>
            <w:vAlign w:val="center"/>
          </w:tcPr>
          <w:p w14:paraId="68E855BB" w14:textId="77777777" w:rsidR="0001789A" w:rsidRPr="004A30FF" w:rsidRDefault="0001789A" w:rsidP="00CE0A76">
            <w:pPr>
              <w:ind w:right="3"/>
              <w:jc w:val="right"/>
            </w:pPr>
            <w:r w:rsidRPr="004A30FF">
              <w:rPr>
                <w:rFonts w:ascii="Times New Roman" w:eastAsia="Times New Roman" w:hAnsi="Times New Roman" w:cs="Times New Roman"/>
                <w:sz w:val="14"/>
              </w:rPr>
              <w:t xml:space="preserve">      20 292.56</w:t>
            </w:r>
          </w:p>
        </w:tc>
        <w:tc>
          <w:tcPr>
            <w:tcW w:w="1289" w:type="dxa"/>
            <w:tcBorders>
              <w:top w:val="double" w:sz="6" w:space="0" w:color="000000"/>
              <w:left w:val="single" w:sz="6" w:space="0" w:color="000000"/>
              <w:bottom w:val="double" w:sz="6" w:space="0" w:color="000000"/>
              <w:right w:val="single" w:sz="6" w:space="0" w:color="000000"/>
            </w:tcBorders>
            <w:vAlign w:val="center"/>
          </w:tcPr>
          <w:p w14:paraId="342DD887" w14:textId="77777777" w:rsidR="0001789A" w:rsidRPr="004A30FF" w:rsidRDefault="0001789A"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5DD8749B" w14:textId="77777777" w:rsidR="0001789A" w:rsidRPr="004A30FF" w:rsidRDefault="0001789A" w:rsidP="00CE0A76">
            <w:pPr>
              <w:ind w:right="22"/>
              <w:jc w:val="right"/>
            </w:pPr>
            <w:r w:rsidRPr="004A30FF">
              <w:rPr>
                <w:rFonts w:ascii="Times New Roman" w:eastAsia="Times New Roman" w:hAnsi="Times New Roman" w:cs="Times New Roman"/>
                <w:sz w:val="14"/>
              </w:rPr>
              <w:t xml:space="preserve">           0.00</w:t>
            </w:r>
          </w:p>
        </w:tc>
      </w:tr>
      <w:tr w:rsidR="0001789A" w:rsidRPr="004A30FF" w14:paraId="2D193810"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tcPr>
          <w:p w14:paraId="5A5DFFBE" w14:textId="77777777" w:rsidR="0001789A" w:rsidRPr="004A30FF" w:rsidRDefault="0001789A" w:rsidP="00CE0A76">
            <w:pPr>
              <w:ind w:left="43"/>
            </w:pPr>
            <w:r w:rsidRPr="004A30FF">
              <w:rPr>
                <w:rFonts w:ascii="Times New Roman" w:eastAsia="Times New Roman" w:hAnsi="Times New Roman" w:cs="Times New Roman"/>
                <w:sz w:val="16"/>
              </w:rPr>
              <w:t>0580</w:t>
            </w:r>
          </w:p>
        </w:tc>
        <w:tc>
          <w:tcPr>
            <w:tcW w:w="4620" w:type="dxa"/>
            <w:tcBorders>
              <w:top w:val="double" w:sz="6" w:space="0" w:color="000000"/>
              <w:left w:val="single" w:sz="6" w:space="0" w:color="000000"/>
              <w:bottom w:val="double" w:sz="6" w:space="0" w:color="000000"/>
              <w:right w:val="single" w:sz="6" w:space="0" w:color="000000"/>
            </w:tcBorders>
          </w:tcPr>
          <w:p w14:paraId="63290A51" w14:textId="77777777" w:rsidR="0001789A" w:rsidRPr="004A30FF" w:rsidRDefault="0001789A" w:rsidP="00CE0A76">
            <w:pPr>
              <w:ind w:left="22"/>
            </w:pPr>
            <w:r w:rsidRPr="004A30FF">
              <w:rPr>
                <w:rFonts w:ascii="Times New Roman" w:eastAsia="Times New Roman" w:hAnsi="Times New Roman" w:cs="Times New Roman"/>
                <w:sz w:val="16"/>
              </w:rPr>
              <w:t>вноски за ДЗПО от работодатели</w:t>
            </w:r>
          </w:p>
        </w:tc>
        <w:tc>
          <w:tcPr>
            <w:tcW w:w="1320" w:type="dxa"/>
            <w:tcBorders>
              <w:top w:val="double" w:sz="6" w:space="0" w:color="000000"/>
              <w:left w:val="single" w:sz="6" w:space="0" w:color="000000"/>
              <w:bottom w:val="double" w:sz="6" w:space="0" w:color="000000"/>
              <w:right w:val="single" w:sz="6" w:space="0" w:color="000000"/>
            </w:tcBorders>
            <w:vAlign w:val="center"/>
          </w:tcPr>
          <w:p w14:paraId="387DADA7" w14:textId="77777777" w:rsidR="0001789A" w:rsidRPr="004A30FF" w:rsidRDefault="0001789A" w:rsidP="00CE0A76">
            <w:pPr>
              <w:ind w:right="1"/>
              <w:jc w:val="right"/>
            </w:pPr>
            <w:r w:rsidRPr="004A30FF">
              <w:rPr>
                <w:rFonts w:ascii="Times New Roman" w:eastAsia="Times New Roman" w:hAnsi="Times New Roman" w:cs="Times New Roman"/>
                <w:sz w:val="14"/>
              </w:rPr>
              <w:t xml:space="preserve">      11 371.25</w:t>
            </w:r>
          </w:p>
        </w:tc>
        <w:tc>
          <w:tcPr>
            <w:tcW w:w="1291" w:type="dxa"/>
            <w:tcBorders>
              <w:top w:val="double" w:sz="6" w:space="0" w:color="000000"/>
              <w:left w:val="single" w:sz="6" w:space="0" w:color="000000"/>
              <w:bottom w:val="double" w:sz="6" w:space="0" w:color="000000"/>
              <w:right w:val="single" w:sz="6" w:space="0" w:color="000000"/>
            </w:tcBorders>
            <w:vAlign w:val="center"/>
          </w:tcPr>
          <w:p w14:paraId="487BAC8B" w14:textId="77777777" w:rsidR="0001789A" w:rsidRPr="004A30FF" w:rsidRDefault="0001789A" w:rsidP="00CE0A76">
            <w:pPr>
              <w:ind w:right="3"/>
              <w:jc w:val="right"/>
            </w:pPr>
            <w:r w:rsidRPr="004A30FF">
              <w:rPr>
                <w:rFonts w:ascii="Times New Roman" w:eastAsia="Times New Roman" w:hAnsi="Times New Roman" w:cs="Times New Roman"/>
                <w:sz w:val="14"/>
              </w:rPr>
              <w:t xml:space="preserve">      11 371.25</w:t>
            </w:r>
          </w:p>
        </w:tc>
        <w:tc>
          <w:tcPr>
            <w:tcW w:w="1289" w:type="dxa"/>
            <w:tcBorders>
              <w:top w:val="double" w:sz="6" w:space="0" w:color="000000"/>
              <w:left w:val="single" w:sz="6" w:space="0" w:color="000000"/>
              <w:bottom w:val="double" w:sz="6" w:space="0" w:color="000000"/>
              <w:right w:val="single" w:sz="6" w:space="0" w:color="000000"/>
            </w:tcBorders>
            <w:vAlign w:val="center"/>
          </w:tcPr>
          <w:p w14:paraId="4B973845" w14:textId="77777777" w:rsidR="0001789A" w:rsidRPr="004A30FF" w:rsidRDefault="0001789A"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03569EDD" w14:textId="77777777" w:rsidR="0001789A" w:rsidRPr="004A30FF" w:rsidRDefault="0001789A" w:rsidP="00CE0A76">
            <w:pPr>
              <w:ind w:right="22"/>
              <w:jc w:val="right"/>
            </w:pPr>
            <w:r w:rsidRPr="004A30FF">
              <w:rPr>
                <w:rFonts w:ascii="Times New Roman" w:eastAsia="Times New Roman" w:hAnsi="Times New Roman" w:cs="Times New Roman"/>
                <w:sz w:val="14"/>
              </w:rPr>
              <w:t xml:space="preserve">           0.00</w:t>
            </w:r>
          </w:p>
        </w:tc>
      </w:tr>
      <w:tr w:rsidR="0001789A" w:rsidRPr="004A30FF" w14:paraId="1DF5A119"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vAlign w:val="bottom"/>
          </w:tcPr>
          <w:p w14:paraId="3B8884FF" w14:textId="77777777" w:rsidR="0001789A" w:rsidRPr="004A30FF" w:rsidRDefault="0001789A" w:rsidP="00CE0A76">
            <w:pPr>
              <w:ind w:left="29"/>
            </w:pPr>
            <w:r w:rsidRPr="004A30FF">
              <w:rPr>
                <w:rFonts w:ascii="Times New Roman" w:eastAsia="Times New Roman" w:hAnsi="Times New Roman" w:cs="Times New Roman"/>
                <w:sz w:val="18"/>
              </w:rPr>
              <w:t>1000</w:t>
            </w:r>
          </w:p>
        </w:tc>
        <w:tc>
          <w:tcPr>
            <w:tcW w:w="4620" w:type="dxa"/>
            <w:tcBorders>
              <w:top w:val="double" w:sz="6" w:space="0" w:color="000000"/>
              <w:left w:val="single" w:sz="6" w:space="0" w:color="000000"/>
              <w:bottom w:val="double" w:sz="6" w:space="0" w:color="000000"/>
              <w:right w:val="single" w:sz="6" w:space="0" w:color="000000"/>
            </w:tcBorders>
          </w:tcPr>
          <w:p w14:paraId="7F62F38A" w14:textId="77777777" w:rsidR="0001789A" w:rsidRPr="004A30FF" w:rsidRDefault="0001789A" w:rsidP="00CE0A76"/>
        </w:tc>
        <w:tc>
          <w:tcPr>
            <w:tcW w:w="1320" w:type="dxa"/>
            <w:tcBorders>
              <w:top w:val="double" w:sz="6" w:space="0" w:color="000000"/>
              <w:left w:val="single" w:sz="6" w:space="0" w:color="000000"/>
              <w:bottom w:val="double" w:sz="6" w:space="0" w:color="000000"/>
              <w:right w:val="single" w:sz="6" w:space="0" w:color="000000"/>
            </w:tcBorders>
            <w:vAlign w:val="center"/>
          </w:tcPr>
          <w:p w14:paraId="1225EB39" w14:textId="77777777" w:rsidR="0001789A" w:rsidRPr="004A30FF" w:rsidRDefault="0001789A" w:rsidP="00CE0A76">
            <w:pPr>
              <w:jc w:val="right"/>
            </w:pPr>
            <w:r w:rsidRPr="004A30FF">
              <w:rPr>
                <w:rFonts w:ascii="Times New Roman" w:eastAsia="Times New Roman" w:hAnsi="Times New Roman" w:cs="Times New Roman"/>
                <w:sz w:val="14"/>
              </w:rPr>
              <w:t xml:space="preserve">     117 724.23</w:t>
            </w:r>
          </w:p>
        </w:tc>
        <w:tc>
          <w:tcPr>
            <w:tcW w:w="1291" w:type="dxa"/>
            <w:tcBorders>
              <w:top w:val="double" w:sz="6" w:space="0" w:color="000000"/>
              <w:left w:val="single" w:sz="6" w:space="0" w:color="000000"/>
              <w:bottom w:val="double" w:sz="6" w:space="0" w:color="000000"/>
              <w:right w:val="single" w:sz="6" w:space="0" w:color="000000"/>
            </w:tcBorders>
            <w:vAlign w:val="center"/>
          </w:tcPr>
          <w:p w14:paraId="53BDA75F" w14:textId="77777777" w:rsidR="0001789A" w:rsidRPr="004A30FF" w:rsidRDefault="0001789A" w:rsidP="00CE0A76">
            <w:pPr>
              <w:ind w:right="2"/>
              <w:jc w:val="right"/>
            </w:pPr>
            <w:r w:rsidRPr="004A30FF">
              <w:rPr>
                <w:rFonts w:ascii="Times New Roman" w:eastAsia="Times New Roman" w:hAnsi="Times New Roman" w:cs="Times New Roman"/>
                <w:sz w:val="14"/>
              </w:rPr>
              <w:t xml:space="preserve">     117 724.23</w:t>
            </w:r>
          </w:p>
        </w:tc>
        <w:tc>
          <w:tcPr>
            <w:tcW w:w="1289" w:type="dxa"/>
            <w:tcBorders>
              <w:top w:val="double" w:sz="6" w:space="0" w:color="000000"/>
              <w:left w:val="single" w:sz="6" w:space="0" w:color="000000"/>
              <w:bottom w:val="double" w:sz="6" w:space="0" w:color="000000"/>
              <w:right w:val="single" w:sz="6" w:space="0" w:color="000000"/>
            </w:tcBorders>
            <w:vAlign w:val="center"/>
          </w:tcPr>
          <w:p w14:paraId="2DCAD429" w14:textId="77777777" w:rsidR="0001789A" w:rsidRPr="004A30FF" w:rsidRDefault="0001789A"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5939EAE8" w14:textId="77777777" w:rsidR="0001789A" w:rsidRPr="004A30FF" w:rsidRDefault="0001789A" w:rsidP="00CE0A76">
            <w:pPr>
              <w:ind w:right="22"/>
              <w:jc w:val="right"/>
            </w:pPr>
            <w:r w:rsidRPr="004A30FF">
              <w:rPr>
                <w:rFonts w:ascii="Times New Roman" w:eastAsia="Times New Roman" w:hAnsi="Times New Roman" w:cs="Times New Roman"/>
                <w:sz w:val="14"/>
              </w:rPr>
              <w:t xml:space="preserve">           0.00</w:t>
            </w:r>
          </w:p>
        </w:tc>
      </w:tr>
      <w:tr w:rsidR="0001789A" w:rsidRPr="004A30FF" w14:paraId="7F0D57AF"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tcPr>
          <w:p w14:paraId="7331F540" w14:textId="77777777" w:rsidR="0001789A" w:rsidRPr="004A30FF" w:rsidRDefault="0001789A" w:rsidP="00CE0A76">
            <w:pPr>
              <w:ind w:left="43"/>
            </w:pPr>
            <w:r w:rsidRPr="004A30FF">
              <w:rPr>
                <w:rFonts w:ascii="Times New Roman" w:eastAsia="Times New Roman" w:hAnsi="Times New Roman" w:cs="Times New Roman"/>
                <w:sz w:val="16"/>
              </w:rPr>
              <w:t>1011</w:t>
            </w:r>
          </w:p>
        </w:tc>
        <w:tc>
          <w:tcPr>
            <w:tcW w:w="4620" w:type="dxa"/>
            <w:tcBorders>
              <w:top w:val="double" w:sz="6" w:space="0" w:color="000000"/>
              <w:left w:val="single" w:sz="6" w:space="0" w:color="000000"/>
              <w:bottom w:val="double" w:sz="6" w:space="0" w:color="000000"/>
              <w:right w:val="single" w:sz="6" w:space="0" w:color="000000"/>
            </w:tcBorders>
          </w:tcPr>
          <w:p w14:paraId="5E9A88CA" w14:textId="77777777" w:rsidR="0001789A" w:rsidRPr="004A30FF" w:rsidRDefault="0001789A" w:rsidP="00CE0A76">
            <w:pPr>
              <w:ind w:left="22"/>
            </w:pPr>
            <w:r w:rsidRPr="004A30FF">
              <w:rPr>
                <w:rFonts w:ascii="Times New Roman" w:eastAsia="Times New Roman" w:hAnsi="Times New Roman" w:cs="Times New Roman"/>
                <w:sz w:val="16"/>
              </w:rPr>
              <w:t>храна</w:t>
            </w:r>
          </w:p>
        </w:tc>
        <w:tc>
          <w:tcPr>
            <w:tcW w:w="1320" w:type="dxa"/>
            <w:tcBorders>
              <w:top w:val="double" w:sz="6" w:space="0" w:color="000000"/>
              <w:left w:val="single" w:sz="6" w:space="0" w:color="000000"/>
              <w:bottom w:val="double" w:sz="6" w:space="0" w:color="000000"/>
              <w:right w:val="single" w:sz="6" w:space="0" w:color="000000"/>
            </w:tcBorders>
            <w:vAlign w:val="center"/>
          </w:tcPr>
          <w:p w14:paraId="697EA6FD" w14:textId="77777777" w:rsidR="0001789A" w:rsidRPr="004A30FF" w:rsidRDefault="0001789A" w:rsidP="00CE0A76">
            <w:pPr>
              <w:ind w:right="1"/>
              <w:jc w:val="right"/>
            </w:pPr>
            <w:r w:rsidRPr="004A30FF">
              <w:rPr>
                <w:rFonts w:ascii="Times New Roman" w:eastAsia="Times New Roman" w:hAnsi="Times New Roman" w:cs="Times New Roman"/>
                <w:sz w:val="14"/>
              </w:rPr>
              <w:t xml:space="preserve">      25 011.12</w:t>
            </w:r>
          </w:p>
        </w:tc>
        <w:tc>
          <w:tcPr>
            <w:tcW w:w="1291" w:type="dxa"/>
            <w:tcBorders>
              <w:top w:val="double" w:sz="6" w:space="0" w:color="000000"/>
              <w:left w:val="single" w:sz="6" w:space="0" w:color="000000"/>
              <w:bottom w:val="double" w:sz="6" w:space="0" w:color="000000"/>
              <w:right w:val="single" w:sz="6" w:space="0" w:color="000000"/>
            </w:tcBorders>
            <w:vAlign w:val="center"/>
          </w:tcPr>
          <w:p w14:paraId="3AD9308C" w14:textId="77777777" w:rsidR="0001789A" w:rsidRPr="004A30FF" w:rsidRDefault="0001789A" w:rsidP="00CE0A76">
            <w:pPr>
              <w:ind w:right="3"/>
              <w:jc w:val="right"/>
            </w:pPr>
            <w:r w:rsidRPr="004A30FF">
              <w:rPr>
                <w:rFonts w:ascii="Times New Roman" w:eastAsia="Times New Roman" w:hAnsi="Times New Roman" w:cs="Times New Roman"/>
                <w:sz w:val="14"/>
              </w:rPr>
              <w:t xml:space="preserve">      25 011.12</w:t>
            </w:r>
          </w:p>
        </w:tc>
        <w:tc>
          <w:tcPr>
            <w:tcW w:w="1289" w:type="dxa"/>
            <w:tcBorders>
              <w:top w:val="double" w:sz="6" w:space="0" w:color="000000"/>
              <w:left w:val="single" w:sz="6" w:space="0" w:color="000000"/>
              <w:bottom w:val="double" w:sz="6" w:space="0" w:color="000000"/>
              <w:right w:val="single" w:sz="6" w:space="0" w:color="000000"/>
            </w:tcBorders>
            <w:vAlign w:val="center"/>
          </w:tcPr>
          <w:p w14:paraId="39282F45" w14:textId="77777777" w:rsidR="0001789A" w:rsidRPr="004A30FF" w:rsidRDefault="0001789A"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55AA3DAF" w14:textId="77777777" w:rsidR="0001789A" w:rsidRPr="004A30FF" w:rsidRDefault="0001789A" w:rsidP="00CE0A76">
            <w:pPr>
              <w:ind w:right="22"/>
              <w:jc w:val="right"/>
            </w:pPr>
            <w:r w:rsidRPr="004A30FF">
              <w:rPr>
                <w:rFonts w:ascii="Times New Roman" w:eastAsia="Times New Roman" w:hAnsi="Times New Roman" w:cs="Times New Roman"/>
                <w:sz w:val="14"/>
              </w:rPr>
              <w:t xml:space="preserve">           0.00</w:t>
            </w:r>
          </w:p>
        </w:tc>
      </w:tr>
      <w:tr w:rsidR="0001789A" w:rsidRPr="004A30FF" w14:paraId="55C13DEC"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tcPr>
          <w:p w14:paraId="3DE9D11B" w14:textId="77777777" w:rsidR="0001789A" w:rsidRPr="004A30FF" w:rsidRDefault="0001789A" w:rsidP="00CE0A76">
            <w:pPr>
              <w:ind w:left="43"/>
            </w:pPr>
            <w:r w:rsidRPr="004A30FF">
              <w:rPr>
                <w:rFonts w:ascii="Times New Roman" w:eastAsia="Times New Roman" w:hAnsi="Times New Roman" w:cs="Times New Roman"/>
                <w:sz w:val="16"/>
              </w:rPr>
              <w:t>1013</w:t>
            </w:r>
          </w:p>
        </w:tc>
        <w:tc>
          <w:tcPr>
            <w:tcW w:w="4620" w:type="dxa"/>
            <w:tcBorders>
              <w:top w:val="double" w:sz="6" w:space="0" w:color="000000"/>
              <w:left w:val="single" w:sz="6" w:space="0" w:color="000000"/>
              <w:bottom w:val="double" w:sz="6" w:space="0" w:color="000000"/>
              <w:right w:val="single" w:sz="6" w:space="0" w:color="000000"/>
            </w:tcBorders>
          </w:tcPr>
          <w:p w14:paraId="4E07CE73" w14:textId="77777777" w:rsidR="0001789A" w:rsidRPr="004A30FF" w:rsidRDefault="0001789A" w:rsidP="00CE0A76">
            <w:pPr>
              <w:ind w:left="22"/>
            </w:pPr>
            <w:r w:rsidRPr="004A30FF">
              <w:rPr>
                <w:rFonts w:ascii="Times New Roman" w:eastAsia="Times New Roman" w:hAnsi="Times New Roman" w:cs="Times New Roman"/>
                <w:sz w:val="16"/>
              </w:rPr>
              <w:t>постелен инвентар и облекло</w:t>
            </w:r>
          </w:p>
        </w:tc>
        <w:tc>
          <w:tcPr>
            <w:tcW w:w="1320" w:type="dxa"/>
            <w:tcBorders>
              <w:top w:val="double" w:sz="6" w:space="0" w:color="000000"/>
              <w:left w:val="single" w:sz="6" w:space="0" w:color="000000"/>
              <w:bottom w:val="double" w:sz="6" w:space="0" w:color="000000"/>
              <w:right w:val="single" w:sz="6" w:space="0" w:color="000000"/>
            </w:tcBorders>
            <w:vAlign w:val="center"/>
          </w:tcPr>
          <w:p w14:paraId="1C880339" w14:textId="77777777" w:rsidR="0001789A" w:rsidRPr="004A30FF" w:rsidRDefault="0001789A" w:rsidP="00CE0A76">
            <w:pPr>
              <w:jc w:val="right"/>
            </w:pPr>
            <w:r w:rsidRPr="004A30FF">
              <w:rPr>
                <w:rFonts w:ascii="Times New Roman" w:eastAsia="Times New Roman" w:hAnsi="Times New Roman" w:cs="Times New Roman"/>
                <w:sz w:val="14"/>
              </w:rPr>
              <w:t xml:space="preserve">       3 025.00</w:t>
            </w:r>
          </w:p>
        </w:tc>
        <w:tc>
          <w:tcPr>
            <w:tcW w:w="1291" w:type="dxa"/>
            <w:tcBorders>
              <w:top w:val="double" w:sz="6" w:space="0" w:color="000000"/>
              <w:left w:val="single" w:sz="6" w:space="0" w:color="000000"/>
              <w:bottom w:val="double" w:sz="6" w:space="0" w:color="000000"/>
              <w:right w:val="single" w:sz="6" w:space="0" w:color="000000"/>
            </w:tcBorders>
            <w:vAlign w:val="center"/>
          </w:tcPr>
          <w:p w14:paraId="28F05556" w14:textId="77777777" w:rsidR="0001789A" w:rsidRPr="004A30FF" w:rsidRDefault="0001789A" w:rsidP="00CE0A76">
            <w:pPr>
              <w:ind w:right="2"/>
              <w:jc w:val="right"/>
            </w:pPr>
            <w:r w:rsidRPr="004A30FF">
              <w:rPr>
                <w:rFonts w:ascii="Times New Roman" w:eastAsia="Times New Roman" w:hAnsi="Times New Roman" w:cs="Times New Roman"/>
                <w:sz w:val="14"/>
              </w:rPr>
              <w:t xml:space="preserve">       3 025.00</w:t>
            </w:r>
          </w:p>
        </w:tc>
        <w:tc>
          <w:tcPr>
            <w:tcW w:w="1289" w:type="dxa"/>
            <w:tcBorders>
              <w:top w:val="double" w:sz="6" w:space="0" w:color="000000"/>
              <w:left w:val="single" w:sz="6" w:space="0" w:color="000000"/>
              <w:bottom w:val="double" w:sz="6" w:space="0" w:color="000000"/>
              <w:right w:val="single" w:sz="6" w:space="0" w:color="000000"/>
            </w:tcBorders>
            <w:vAlign w:val="center"/>
          </w:tcPr>
          <w:p w14:paraId="27067D7D" w14:textId="77777777" w:rsidR="0001789A" w:rsidRPr="004A30FF" w:rsidRDefault="0001789A"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3F08F58F" w14:textId="77777777" w:rsidR="0001789A" w:rsidRPr="004A30FF" w:rsidRDefault="0001789A" w:rsidP="00CE0A76">
            <w:pPr>
              <w:ind w:right="22"/>
              <w:jc w:val="right"/>
            </w:pPr>
            <w:r w:rsidRPr="004A30FF">
              <w:rPr>
                <w:rFonts w:ascii="Times New Roman" w:eastAsia="Times New Roman" w:hAnsi="Times New Roman" w:cs="Times New Roman"/>
                <w:sz w:val="14"/>
              </w:rPr>
              <w:t xml:space="preserve">           0.00</w:t>
            </w:r>
          </w:p>
        </w:tc>
      </w:tr>
      <w:tr w:rsidR="0001789A" w:rsidRPr="004A30FF" w14:paraId="43608A20"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tcPr>
          <w:p w14:paraId="717171CE" w14:textId="77777777" w:rsidR="0001789A" w:rsidRPr="004A30FF" w:rsidRDefault="0001789A" w:rsidP="00CE0A76">
            <w:pPr>
              <w:ind w:left="43"/>
            </w:pPr>
            <w:r w:rsidRPr="004A30FF">
              <w:rPr>
                <w:rFonts w:ascii="Times New Roman" w:eastAsia="Times New Roman" w:hAnsi="Times New Roman" w:cs="Times New Roman"/>
                <w:sz w:val="16"/>
              </w:rPr>
              <w:t>1014</w:t>
            </w:r>
          </w:p>
        </w:tc>
        <w:tc>
          <w:tcPr>
            <w:tcW w:w="4620" w:type="dxa"/>
            <w:tcBorders>
              <w:top w:val="double" w:sz="6" w:space="0" w:color="000000"/>
              <w:left w:val="single" w:sz="6" w:space="0" w:color="000000"/>
              <w:bottom w:val="double" w:sz="6" w:space="0" w:color="000000"/>
              <w:right w:val="single" w:sz="6" w:space="0" w:color="000000"/>
            </w:tcBorders>
          </w:tcPr>
          <w:p w14:paraId="2827DB55" w14:textId="77777777" w:rsidR="0001789A" w:rsidRPr="004A30FF" w:rsidRDefault="0001789A" w:rsidP="00CE0A76">
            <w:pPr>
              <w:ind w:left="22"/>
            </w:pPr>
            <w:r w:rsidRPr="004A30FF">
              <w:rPr>
                <w:rFonts w:ascii="Times New Roman" w:eastAsia="Times New Roman" w:hAnsi="Times New Roman" w:cs="Times New Roman"/>
                <w:sz w:val="16"/>
              </w:rPr>
              <w:t>учебни и научно-изследователски разходи и книги за</w:t>
            </w:r>
          </w:p>
        </w:tc>
        <w:tc>
          <w:tcPr>
            <w:tcW w:w="1320" w:type="dxa"/>
            <w:tcBorders>
              <w:top w:val="double" w:sz="6" w:space="0" w:color="000000"/>
              <w:left w:val="single" w:sz="6" w:space="0" w:color="000000"/>
              <w:bottom w:val="double" w:sz="6" w:space="0" w:color="000000"/>
              <w:right w:val="single" w:sz="6" w:space="0" w:color="000000"/>
            </w:tcBorders>
            <w:vAlign w:val="center"/>
          </w:tcPr>
          <w:p w14:paraId="1C160A26" w14:textId="77777777" w:rsidR="0001789A" w:rsidRPr="004A30FF" w:rsidRDefault="0001789A" w:rsidP="00CE0A76">
            <w:pPr>
              <w:jc w:val="right"/>
            </w:pPr>
            <w:r w:rsidRPr="004A30FF">
              <w:rPr>
                <w:rFonts w:ascii="Times New Roman" w:eastAsia="Times New Roman" w:hAnsi="Times New Roman" w:cs="Times New Roman"/>
                <w:sz w:val="14"/>
              </w:rPr>
              <w:t xml:space="preserve">       3 535.68</w:t>
            </w:r>
          </w:p>
        </w:tc>
        <w:tc>
          <w:tcPr>
            <w:tcW w:w="1291" w:type="dxa"/>
            <w:tcBorders>
              <w:top w:val="double" w:sz="6" w:space="0" w:color="000000"/>
              <w:left w:val="single" w:sz="6" w:space="0" w:color="000000"/>
              <w:bottom w:val="double" w:sz="6" w:space="0" w:color="000000"/>
              <w:right w:val="single" w:sz="6" w:space="0" w:color="000000"/>
            </w:tcBorders>
            <w:vAlign w:val="center"/>
          </w:tcPr>
          <w:p w14:paraId="1490051C" w14:textId="77777777" w:rsidR="0001789A" w:rsidRPr="004A30FF" w:rsidRDefault="0001789A" w:rsidP="00CE0A76">
            <w:pPr>
              <w:ind w:right="2"/>
              <w:jc w:val="right"/>
            </w:pPr>
            <w:r w:rsidRPr="004A30FF">
              <w:rPr>
                <w:rFonts w:ascii="Times New Roman" w:eastAsia="Times New Roman" w:hAnsi="Times New Roman" w:cs="Times New Roman"/>
                <w:sz w:val="14"/>
              </w:rPr>
              <w:t xml:space="preserve">       3 535.68</w:t>
            </w:r>
          </w:p>
        </w:tc>
        <w:tc>
          <w:tcPr>
            <w:tcW w:w="1289" w:type="dxa"/>
            <w:tcBorders>
              <w:top w:val="double" w:sz="6" w:space="0" w:color="000000"/>
              <w:left w:val="single" w:sz="6" w:space="0" w:color="000000"/>
              <w:bottom w:val="double" w:sz="6" w:space="0" w:color="000000"/>
              <w:right w:val="single" w:sz="6" w:space="0" w:color="000000"/>
            </w:tcBorders>
            <w:vAlign w:val="center"/>
          </w:tcPr>
          <w:p w14:paraId="7420CA93" w14:textId="77777777" w:rsidR="0001789A" w:rsidRPr="004A30FF" w:rsidRDefault="0001789A"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29086D94" w14:textId="77777777" w:rsidR="0001789A" w:rsidRPr="004A30FF" w:rsidRDefault="0001789A" w:rsidP="00CE0A76">
            <w:pPr>
              <w:ind w:right="22"/>
              <w:jc w:val="right"/>
            </w:pPr>
            <w:r w:rsidRPr="004A30FF">
              <w:rPr>
                <w:rFonts w:ascii="Times New Roman" w:eastAsia="Times New Roman" w:hAnsi="Times New Roman" w:cs="Times New Roman"/>
                <w:sz w:val="14"/>
              </w:rPr>
              <w:t xml:space="preserve">           0.00</w:t>
            </w:r>
          </w:p>
        </w:tc>
      </w:tr>
      <w:tr w:rsidR="0001789A" w:rsidRPr="004A30FF" w14:paraId="4AD4F414"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tcPr>
          <w:p w14:paraId="699FD2C7" w14:textId="77777777" w:rsidR="0001789A" w:rsidRPr="004A30FF" w:rsidRDefault="0001789A" w:rsidP="00CE0A76">
            <w:pPr>
              <w:ind w:left="43"/>
            </w:pPr>
            <w:r w:rsidRPr="004A30FF">
              <w:rPr>
                <w:rFonts w:ascii="Times New Roman" w:eastAsia="Times New Roman" w:hAnsi="Times New Roman" w:cs="Times New Roman"/>
                <w:sz w:val="16"/>
              </w:rPr>
              <w:t>1015</w:t>
            </w:r>
          </w:p>
        </w:tc>
        <w:tc>
          <w:tcPr>
            <w:tcW w:w="4620" w:type="dxa"/>
            <w:tcBorders>
              <w:top w:val="double" w:sz="6" w:space="0" w:color="000000"/>
              <w:left w:val="single" w:sz="6" w:space="0" w:color="000000"/>
              <w:bottom w:val="double" w:sz="6" w:space="0" w:color="000000"/>
              <w:right w:val="single" w:sz="6" w:space="0" w:color="000000"/>
            </w:tcBorders>
          </w:tcPr>
          <w:p w14:paraId="3365FE60" w14:textId="77777777" w:rsidR="0001789A" w:rsidRPr="004A30FF" w:rsidRDefault="0001789A" w:rsidP="00CE0A76">
            <w:pPr>
              <w:ind w:left="22"/>
            </w:pPr>
            <w:r w:rsidRPr="004A30FF">
              <w:rPr>
                <w:rFonts w:ascii="Times New Roman" w:eastAsia="Times New Roman" w:hAnsi="Times New Roman" w:cs="Times New Roman"/>
                <w:sz w:val="16"/>
              </w:rPr>
              <w:t>материали</w:t>
            </w:r>
          </w:p>
        </w:tc>
        <w:tc>
          <w:tcPr>
            <w:tcW w:w="1320" w:type="dxa"/>
            <w:tcBorders>
              <w:top w:val="double" w:sz="6" w:space="0" w:color="000000"/>
              <w:left w:val="single" w:sz="6" w:space="0" w:color="000000"/>
              <w:bottom w:val="double" w:sz="6" w:space="0" w:color="000000"/>
              <w:right w:val="single" w:sz="6" w:space="0" w:color="000000"/>
            </w:tcBorders>
            <w:vAlign w:val="center"/>
          </w:tcPr>
          <w:p w14:paraId="6ADC79CC" w14:textId="77777777" w:rsidR="0001789A" w:rsidRPr="004A30FF" w:rsidRDefault="0001789A" w:rsidP="00CE0A76">
            <w:pPr>
              <w:jc w:val="right"/>
            </w:pPr>
            <w:r w:rsidRPr="004A30FF">
              <w:rPr>
                <w:rFonts w:ascii="Times New Roman" w:eastAsia="Times New Roman" w:hAnsi="Times New Roman" w:cs="Times New Roman"/>
                <w:sz w:val="14"/>
              </w:rPr>
              <w:t xml:space="preserve">       5 929.64</w:t>
            </w:r>
          </w:p>
        </w:tc>
        <w:tc>
          <w:tcPr>
            <w:tcW w:w="1291" w:type="dxa"/>
            <w:tcBorders>
              <w:top w:val="double" w:sz="6" w:space="0" w:color="000000"/>
              <w:left w:val="single" w:sz="6" w:space="0" w:color="000000"/>
              <w:bottom w:val="double" w:sz="6" w:space="0" w:color="000000"/>
              <w:right w:val="single" w:sz="6" w:space="0" w:color="000000"/>
            </w:tcBorders>
            <w:vAlign w:val="center"/>
          </w:tcPr>
          <w:p w14:paraId="2739678B" w14:textId="77777777" w:rsidR="0001789A" w:rsidRPr="004A30FF" w:rsidRDefault="0001789A" w:rsidP="00CE0A76">
            <w:pPr>
              <w:ind w:right="2"/>
              <w:jc w:val="right"/>
            </w:pPr>
            <w:r w:rsidRPr="004A30FF">
              <w:rPr>
                <w:rFonts w:ascii="Times New Roman" w:eastAsia="Times New Roman" w:hAnsi="Times New Roman" w:cs="Times New Roman"/>
                <w:sz w:val="14"/>
              </w:rPr>
              <w:t xml:space="preserve">       5 929.64</w:t>
            </w:r>
          </w:p>
        </w:tc>
        <w:tc>
          <w:tcPr>
            <w:tcW w:w="1289" w:type="dxa"/>
            <w:tcBorders>
              <w:top w:val="double" w:sz="6" w:space="0" w:color="000000"/>
              <w:left w:val="single" w:sz="6" w:space="0" w:color="000000"/>
              <w:bottom w:val="double" w:sz="6" w:space="0" w:color="000000"/>
              <w:right w:val="single" w:sz="6" w:space="0" w:color="000000"/>
            </w:tcBorders>
            <w:vAlign w:val="center"/>
          </w:tcPr>
          <w:p w14:paraId="604610A4" w14:textId="77777777" w:rsidR="0001789A" w:rsidRPr="004A30FF" w:rsidRDefault="0001789A"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7AF958EA" w14:textId="77777777" w:rsidR="0001789A" w:rsidRPr="004A30FF" w:rsidRDefault="0001789A" w:rsidP="00CE0A76">
            <w:pPr>
              <w:ind w:right="22"/>
              <w:jc w:val="right"/>
            </w:pPr>
            <w:r w:rsidRPr="004A30FF">
              <w:rPr>
                <w:rFonts w:ascii="Times New Roman" w:eastAsia="Times New Roman" w:hAnsi="Times New Roman" w:cs="Times New Roman"/>
                <w:sz w:val="14"/>
              </w:rPr>
              <w:t xml:space="preserve">           0.00</w:t>
            </w:r>
          </w:p>
        </w:tc>
      </w:tr>
      <w:tr w:rsidR="0001789A" w:rsidRPr="004A30FF" w14:paraId="4814BC8C"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tcPr>
          <w:p w14:paraId="66A492D5" w14:textId="77777777" w:rsidR="0001789A" w:rsidRPr="004A30FF" w:rsidRDefault="0001789A" w:rsidP="00CE0A76">
            <w:pPr>
              <w:ind w:left="43"/>
            </w:pPr>
            <w:r w:rsidRPr="004A30FF">
              <w:rPr>
                <w:rFonts w:ascii="Times New Roman" w:eastAsia="Times New Roman" w:hAnsi="Times New Roman" w:cs="Times New Roman"/>
                <w:sz w:val="16"/>
              </w:rPr>
              <w:t>1016</w:t>
            </w:r>
          </w:p>
        </w:tc>
        <w:tc>
          <w:tcPr>
            <w:tcW w:w="4620" w:type="dxa"/>
            <w:tcBorders>
              <w:top w:val="double" w:sz="6" w:space="0" w:color="000000"/>
              <w:left w:val="single" w:sz="6" w:space="0" w:color="000000"/>
              <w:bottom w:val="double" w:sz="6" w:space="0" w:color="000000"/>
              <w:right w:val="single" w:sz="6" w:space="0" w:color="000000"/>
            </w:tcBorders>
          </w:tcPr>
          <w:p w14:paraId="52A1E0FA" w14:textId="77777777" w:rsidR="0001789A" w:rsidRPr="004A30FF" w:rsidRDefault="0001789A" w:rsidP="00CE0A76">
            <w:pPr>
              <w:ind w:left="22"/>
            </w:pPr>
            <w:r w:rsidRPr="004A30FF">
              <w:rPr>
                <w:rFonts w:ascii="Times New Roman" w:eastAsia="Times New Roman" w:hAnsi="Times New Roman" w:cs="Times New Roman"/>
                <w:sz w:val="16"/>
              </w:rPr>
              <w:t>вода, горива и енергия</w:t>
            </w:r>
          </w:p>
        </w:tc>
        <w:tc>
          <w:tcPr>
            <w:tcW w:w="1320" w:type="dxa"/>
            <w:tcBorders>
              <w:top w:val="double" w:sz="6" w:space="0" w:color="000000"/>
              <w:left w:val="single" w:sz="6" w:space="0" w:color="000000"/>
              <w:bottom w:val="double" w:sz="6" w:space="0" w:color="000000"/>
              <w:right w:val="single" w:sz="6" w:space="0" w:color="000000"/>
            </w:tcBorders>
            <w:vAlign w:val="center"/>
          </w:tcPr>
          <w:p w14:paraId="2740AA5E" w14:textId="77777777" w:rsidR="0001789A" w:rsidRPr="004A30FF" w:rsidRDefault="0001789A" w:rsidP="00CE0A76">
            <w:pPr>
              <w:ind w:right="1"/>
              <w:jc w:val="right"/>
            </w:pPr>
            <w:r w:rsidRPr="004A30FF">
              <w:rPr>
                <w:rFonts w:ascii="Times New Roman" w:eastAsia="Times New Roman" w:hAnsi="Times New Roman" w:cs="Times New Roman"/>
                <w:sz w:val="14"/>
              </w:rPr>
              <w:t xml:space="preserve">      35 237.45</w:t>
            </w:r>
          </w:p>
        </w:tc>
        <w:tc>
          <w:tcPr>
            <w:tcW w:w="1291" w:type="dxa"/>
            <w:tcBorders>
              <w:top w:val="double" w:sz="6" w:space="0" w:color="000000"/>
              <w:left w:val="single" w:sz="6" w:space="0" w:color="000000"/>
              <w:bottom w:val="double" w:sz="6" w:space="0" w:color="000000"/>
              <w:right w:val="single" w:sz="6" w:space="0" w:color="000000"/>
            </w:tcBorders>
            <w:vAlign w:val="center"/>
          </w:tcPr>
          <w:p w14:paraId="76D49FED" w14:textId="77777777" w:rsidR="0001789A" w:rsidRPr="004A30FF" w:rsidRDefault="0001789A" w:rsidP="00CE0A76">
            <w:pPr>
              <w:ind w:right="3"/>
              <w:jc w:val="right"/>
            </w:pPr>
            <w:r w:rsidRPr="004A30FF">
              <w:rPr>
                <w:rFonts w:ascii="Times New Roman" w:eastAsia="Times New Roman" w:hAnsi="Times New Roman" w:cs="Times New Roman"/>
                <w:sz w:val="14"/>
              </w:rPr>
              <w:t xml:space="preserve">      35 237.45</w:t>
            </w:r>
          </w:p>
        </w:tc>
        <w:tc>
          <w:tcPr>
            <w:tcW w:w="1289" w:type="dxa"/>
            <w:tcBorders>
              <w:top w:val="double" w:sz="6" w:space="0" w:color="000000"/>
              <w:left w:val="single" w:sz="6" w:space="0" w:color="000000"/>
              <w:bottom w:val="double" w:sz="6" w:space="0" w:color="000000"/>
              <w:right w:val="single" w:sz="6" w:space="0" w:color="000000"/>
            </w:tcBorders>
            <w:vAlign w:val="center"/>
          </w:tcPr>
          <w:p w14:paraId="560847C0" w14:textId="77777777" w:rsidR="0001789A" w:rsidRPr="004A30FF" w:rsidRDefault="0001789A"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16B565F2" w14:textId="77777777" w:rsidR="0001789A" w:rsidRPr="004A30FF" w:rsidRDefault="0001789A" w:rsidP="00CE0A76">
            <w:pPr>
              <w:ind w:right="22"/>
              <w:jc w:val="right"/>
            </w:pPr>
            <w:r w:rsidRPr="004A30FF">
              <w:rPr>
                <w:rFonts w:ascii="Times New Roman" w:eastAsia="Times New Roman" w:hAnsi="Times New Roman" w:cs="Times New Roman"/>
                <w:sz w:val="14"/>
              </w:rPr>
              <w:t xml:space="preserve">           0.00</w:t>
            </w:r>
          </w:p>
        </w:tc>
      </w:tr>
      <w:tr w:rsidR="0001789A" w:rsidRPr="004A30FF" w14:paraId="39118DED"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tcPr>
          <w:p w14:paraId="5E921336" w14:textId="77777777" w:rsidR="0001789A" w:rsidRPr="004A30FF" w:rsidRDefault="0001789A" w:rsidP="00CE0A76">
            <w:pPr>
              <w:ind w:left="43"/>
            </w:pPr>
            <w:r w:rsidRPr="004A30FF">
              <w:rPr>
                <w:rFonts w:ascii="Times New Roman" w:eastAsia="Times New Roman" w:hAnsi="Times New Roman" w:cs="Times New Roman"/>
                <w:sz w:val="16"/>
              </w:rPr>
              <w:t>1020</w:t>
            </w:r>
          </w:p>
        </w:tc>
        <w:tc>
          <w:tcPr>
            <w:tcW w:w="4620" w:type="dxa"/>
            <w:tcBorders>
              <w:top w:val="double" w:sz="6" w:space="0" w:color="000000"/>
              <w:left w:val="single" w:sz="6" w:space="0" w:color="000000"/>
              <w:bottom w:val="double" w:sz="6" w:space="0" w:color="000000"/>
              <w:right w:val="single" w:sz="6" w:space="0" w:color="000000"/>
            </w:tcBorders>
          </w:tcPr>
          <w:p w14:paraId="24F7DBFB" w14:textId="77777777" w:rsidR="0001789A" w:rsidRPr="004A30FF" w:rsidRDefault="0001789A" w:rsidP="00CE0A76">
            <w:pPr>
              <w:ind w:left="22"/>
            </w:pPr>
            <w:r w:rsidRPr="004A30FF">
              <w:rPr>
                <w:rFonts w:ascii="Times New Roman" w:eastAsia="Times New Roman" w:hAnsi="Times New Roman" w:cs="Times New Roman"/>
                <w:sz w:val="16"/>
              </w:rPr>
              <w:t>разходи за външни услуги</w:t>
            </w:r>
          </w:p>
        </w:tc>
        <w:tc>
          <w:tcPr>
            <w:tcW w:w="1320" w:type="dxa"/>
            <w:tcBorders>
              <w:top w:val="double" w:sz="6" w:space="0" w:color="000000"/>
              <w:left w:val="single" w:sz="6" w:space="0" w:color="000000"/>
              <w:bottom w:val="double" w:sz="6" w:space="0" w:color="000000"/>
              <w:right w:val="single" w:sz="6" w:space="0" w:color="000000"/>
            </w:tcBorders>
            <w:vAlign w:val="center"/>
          </w:tcPr>
          <w:p w14:paraId="53BEEC19" w14:textId="77777777" w:rsidR="0001789A" w:rsidRPr="004A30FF" w:rsidRDefault="0001789A" w:rsidP="00CE0A76">
            <w:pPr>
              <w:ind w:right="1"/>
              <w:jc w:val="right"/>
            </w:pPr>
            <w:r w:rsidRPr="004A30FF">
              <w:rPr>
                <w:rFonts w:ascii="Times New Roman" w:eastAsia="Times New Roman" w:hAnsi="Times New Roman" w:cs="Times New Roman"/>
                <w:sz w:val="14"/>
              </w:rPr>
              <w:t xml:space="preserve">      38 518.70</w:t>
            </w:r>
          </w:p>
        </w:tc>
        <w:tc>
          <w:tcPr>
            <w:tcW w:w="1291" w:type="dxa"/>
            <w:tcBorders>
              <w:top w:val="double" w:sz="6" w:space="0" w:color="000000"/>
              <w:left w:val="single" w:sz="6" w:space="0" w:color="000000"/>
              <w:bottom w:val="double" w:sz="6" w:space="0" w:color="000000"/>
              <w:right w:val="single" w:sz="6" w:space="0" w:color="000000"/>
            </w:tcBorders>
            <w:vAlign w:val="center"/>
          </w:tcPr>
          <w:p w14:paraId="5E745299" w14:textId="77777777" w:rsidR="0001789A" w:rsidRPr="004A30FF" w:rsidRDefault="0001789A" w:rsidP="00CE0A76">
            <w:pPr>
              <w:ind w:right="3"/>
              <w:jc w:val="right"/>
            </w:pPr>
            <w:r w:rsidRPr="004A30FF">
              <w:rPr>
                <w:rFonts w:ascii="Times New Roman" w:eastAsia="Times New Roman" w:hAnsi="Times New Roman" w:cs="Times New Roman"/>
                <w:sz w:val="14"/>
              </w:rPr>
              <w:t xml:space="preserve">      38 518.70</w:t>
            </w:r>
          </w:p>
        </w:tc>
        <w:tc>
          <w:tcPr>
            <w:tcW w:w="1289" w:type="dxa"/>
            <w:tcBorders>
              <w:top w:val="double" w:sz="6" w:space="0" w:color="000000"/>
              <w:left w:val="single" w:sz="6" w:space="0" w:color="000000"/>
              <w:bottom w:val="double" w:sz="6" w:space="0" w:color="000000"/>
              <w:right w:val="single" w:sz="6" w:space="0" w:color="000000"/>
            </w:tcBorders>
            <w:vAlign w:val="center"/>
          </w:tcPr>
          <w:p w14:paraId="2F91976B" w14:textId="77777777" w:rsidR="0001789A" w:rsidRPr="004A30FF" w:rsidRDefault="0001789A"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7F6AA38E" w14:textId="77777777" w:rsidR="0001789A" w:rsidRPr="004A30FF" w:rsidRDefault="0001789A" w:rsidP="00CE0A76">
            <w:pPr>
              <w:ind w:right="22"/>
              <w:jc w:val="right"/>
            </w:pPr>
            <w:r w:rsidRPr="004A30FF">
              <w:rPr>
                <w:rFonts w:ascii="Times New Roman" w:eastAsia="Times New Roman" w:hAnsi="Times New Roman" w:cs="Times New Roman"/>
                <w:sz w:val="14"/>
              </w:rPr>
              <w:t xml:space="preserve">           0.00</w:t>
            </w:r>
          </w:p>
        </w:tc>
      </w:tr>
      <w:tr w:rsidR="0001789A" w:rsidRPr="004A30FF" w14:paraId="62F31C98"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tcPr>
          <w:p w14:paraId="717E8301" w14:textId="77777777" w:rsidR="0001789A" w:rsidRPr="004A30FF" w:rsidRDefault="0001789A" w:rsidP="00CE0A76">
            <w:pPr>
              <w:ind w:left="43"/>
            </w:pPr>
            <w:r w:rsidRPr="004A30FF">
              <w:rPr>
                <w:rFonts w:ascii="Times New Roman" w:eastAsia="Times New Roman" w:hAnsi="Times New Roman" w:cs="Times New Roman"/>
                <w:sz w:val="16"/>
              </w:rPr>
              <w:t>1030</w:t>
            </w:r>
          </w:p>
        </w:tc>
        <w:tc>
          <w:tcPr>
            <w:tcW w:w="4620" w:type="dxa"/>
            <w:tcBorders>
              <w:top w:val="double" w:sz="6" w:space="0" w:color="000000"/>
              <w:left w:val="single" w:sz="6" w:space="0" w:color="000000"/>
              <w:bottom w:val="double" w:sz="6" w:space="0" w:color="000000"/>
              <w:right w:val="single" w:sz="6" w:space="0" w:color="000000"/>
            </w:tcBorders>
          </w:tcPr>
          <w:p w14:paraId="1D74A943" w14:textId="77777777" w:rsidR="0001789A" w:rsidRPr="004A30FF" w:rsidRDefault="0001789A" w:rsidP="00CE0A76">
            <w:pPr>
              <w:ind w:left="22"/>
            </w:pPr>
            <w:r w:rsidRPr="004A30FF">
              <w:rPr>
                <w:rFonts w:ascii="Times New Roman" w:eastAsia="Times New Roman" w:hAnsi="Times New Roman" w:cs="Times New Roman"/>
                <w:sz w:val="16"/>
              </w:rPr>
              <w:t>текущ ремонт</w:t>
            </w:r>
          </w:p>
        </w:tc>
        <w:tc>
          <w:tcPr>
            <w:tcW w:w="1320" w:type="dxa"/>
            <w:tcBorders>
              <w:top w:val="double" w:sz="6" w:space="0" w:color="000000"/>
              <w:left w:val="single" w:sz="6" w:space="0" w:color="000000"/>
              <w:bottom w:val="double" w:sz="6" w:space="0" w:color="000000"/>
              <w:right w:val="single" w:sz="6" w:space="0" w:color="000000"/>
            </w:tcBorders>
            <w:vAlign w:val="center"/>
          </w:tcPr>
          <w:p w14:paraId="1F8E3866" w14:textId="77777777" w:rsidR="0001789A" w:rsidRPr="004A30FF" w:rsidRDefault="0001789A" w:rsidP="00CE0A76">
            <w:pPr>
              <w:jc w:val="right"/>
            </w:pPr>
            <w:r w:rsidRPr="004A30FF">
              <w:rPr>
                <w:rFonts w:ascii="Times New Roman" w:eastAsia="Times New Roman" w:hAnsi="Times New Roman" w:cs="Times New Roman"/>
                <w:sz w:val="14"/>
              </w:rPr>
              <w:t xml:space="preserve">       5 445.22</w:t>
            </w:r>
          </w:p>
        </w:tc>
        <w:tc>
          <w:tcPr>
            <w:tcW w:w="1291" w:type="dxa"/>
            <w:tcBorders>
              <w:top w:val="double" w:sz="6" w:space="0" w:color="000000"/>
              <w:left w:val="single" w:sz="6" w:space="0" w:color="000000"/>
              <w:bottom w:val="double" w:sz="6" w:space="0" w:color="000000"/>
              <w:right w:val="single" w:sz="6" w:space="0" w:color="000000"/>
            </w:tcBorders>
            <w:vAlign w:val="center"/>
          </w:tcPr>
          <w:p w14:paraId="2E16585A" w14:textId="77777777" w:rsidR="0001789A" w:rsidRPr="004A30FF" w:rsidRDefault="0001789A" w:rsidP="00CE0A76">
            <w:pPr>
              <w:ind w:right="2"/>
              <w:jc w:val="right"/>
            </w:pPr>
            <w:r w:rsidRPr="004A30FF">
              <w:rPr>
                <w:rFonts w:ascii="Times New Roman" w:eastAsia="Times New Roman" w:hAnsi="Times New Roman" w:cs="Times New Roman"/>
                <w:sz w:val="14"/>
              </w:rPr>
              <w:t xml:space="preserve">       5 445.22</w:t>
            </w:r>
          </w:p>
        </w:tc>
        <w:tc>
          <w:tcPr>
            <w:tcW w:w="1289" w:type="dxa"/>
            <w:tcBorders>
              <w:top w:val="double" w:sz="6" w:space="0" w:color="000000"/>
              <w:left w:val="single" w:sz="6" w:space="0" w:color="000000"/>
              <w:bottom w:val="double" w:sz="6" w:space="0" w:color="000000"/>
              <w:right w:val="single" w:sz="6" w:space="0" w:color="000000"/>
            </w:tcBorders>
            <w:vAlign w:val="center"/>
          </w:tcPr>
          <w:p w14:paraId="2A48507C" w14:textId="77777777" w:rsidR="0001789A" w:rsidRPr="004A30FF" w:rsidRDefault="0001789A"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33446C14" w14:textId="77777777" w:rsidR="0001789A" w:rsidRPr="004A30FF" w:rsidRDefault="0001789A" w:rsidP="00CE0A76">
            <w:pPr>
              <w:ind w:right="22"/>
              <w:jc w:val="right"/>
            </w:pPr>
            <w:r w:rsidRPr="004A30FF">
              <w:rPr>
                <w:rFonts w:ascii="Times New Roman" w:eastAsia="Times New Roman" w:hAnsi="Times New Roman" w:cs="Times New Roman"/>
                <w:sz w:val="14"/>
              </w:rPr>
              <w:t xml:space="preserve">           0.00</w:t>
            </w:r>
          </w:p>
        </w:tc>
      </w:tr>
      <w:tr w:rsidR="0001789A" w:rsidRPr="004A30FF" w14:paraId="2E03CA02"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tcPr>
          <w:p w14:paraId="239CF18D" w14:textId="77777777" w:rsidR="0001789A" w:rsidRPr="004A30FF" w:rsidRDefault="0001789A" w:rsidP="00CE0A76">
            <w:pPr>
              <w:ind w:left="43"/>
            </w:pPr>
            <w:r w:rsidRPr="004A30FF">
              <w:rPr>
                <w:rFonts w:ascii="Times New Roman" w:eastAsia="Times New Roman" w:hAnsi="Times New Roman" w:cs="Times New Roman"/>
                <w:sz w:val="16"/>
              </w:rPr>
              <w:lastRenderedPageBreak/>
              <w:t>1062</w:t>
            </w:r>
          </w:p>
        </w:tc>
        <w:tc>
          <w:tcPr>
            <w:tcW w:w="4620" w:type="dxa"/>
            <w:tcBorders>
              <w:top w:val="double" w:sz="6" w:space="0" w:color="000000"/>
              <w:left w:val="single" w:sz="6" w:space="0" w:color="000000"/>
              <w:bottom w:val="double" w:sz="6" w:space="0" w:color="000000"/>
              <w:right w:val="single" w:sz="6" w:space="0" w:color="000000"/>
            </w:tcBorders>
          </w:tcPr>
          <w:p w14:paraId="56EB6B23" w14:textId="77777777" w:rsidR="0001789A" w:rsidRPr="004A30FF" w:rsidRDefault="0001789A" w:rsidP="00CE0A76">
            <w:pPr>
              <w:ind w:left="22"/>
            </w:pPr>
            <w:r w:rsidRPr="004A30FF">
              <w:rPr>
                <w:rFonts w:ascii="Times New Roman" w:eastAsia="Times New Roman" w:hAnsi="Times New Roman" w:cs="Times New Roman"/>
                <w:sz w:val="16"/>
              </w:rPr>
              <w:t>разходи за застраховки</w:t>
            </w:r>
          </w:p>
        </w:tc>
        <w:tc>
          <w:tcPr>
            <w:tcW w:w="1320" w:type="dxa"/>
            <w:tcBorders>
              <w:top w:val="double" w:sz="6" w:space="0" w:color="000000"/>
              <w:left w:val="single" w:sz="6" w:space="0" w:color="000000"/>
              <w:bottom w:val="double" w:sz="6" w:space="0" w:color="000000"/>
              <w:right w:val="single" w:sz="6" w:space="0" w:color="000000"/>
            </w:tcBorders>
            <w:vAlign w:val="center"/>
          </w:tcPr>
          <w:p w14:paraId="207A1168" w14:textId="77777777" w:rsidR="0001789A" w:rsidRPr="004A30FF" w:rsidRDefault="0001789A" w:rsidP="00CE0A76">
            <w:pPr>
              <w:jc w:val="right"/>
            </w:pPr>
            <w:r w:rsidRPr="004A30FF">
              <w:rPr>
                <w:rFonts w:ascii="Times New Roman" w:eastAsia="Times New Roman" w:hAnsi="Times New Roman" w:cs="Times New Roman"/>
                <w:sz w:val="14"/>
              </w:rPr>
              <w:t xml:space="preserve">       1 021.42</w:t>
            </w:r>
          </w:p>
        </w:tc>
        <w:tc>
          <w:tcPr>
            <w:tcW w:w="1291" w:type="dxa"/>
            <w:tcBorders>
              <w:top w:val="double" w:sz="6" w:space="0" w:color="000000"/>
              <w:left w:val="single" w:sz="6" w:space="0" w:color="000000"/>
              <w:bottom w:val="double" w:sz="6" w:space="0" w:color="000000"/>
              <w:right w:val="single" w:sz="6" w:space="0" w:color="000000"/>
            </w:tcBorders>
            <w:vAlign w:val="center"/>
          </w:tcPr>
          <w:p w14:paraId="05FA87A5" w14:textId="77777777" w:rsidR="0001789A" w:rsidRPr="004A30FF" w:rsidRDefault="0001789A" w:rsidP="00CE0A76">
            <w:pPr>
              <w:ind w:right="2"/>
              <w:jc w:val="right"/>
            </w:pPr>
            <w:r w:rsidRPr="004A30FF">
              <w:rPr>
                <w:rFonts w:ascii="Times New Roman" w:eastAsia="Times New Roman" w:hAnsi="Times New Roman" w:cs="Times New Roman"/>
                <w:sz w:val="14"/>
              </w:rPr>
              <w:t xml:space="preserve">       1 021.42</w:t>
            </w:r>
          </w:p>
        </w:tc>
        <w:tc>
          <w:tcPr>
            <w:tcW w:w="1289" w:type="dxa"/>
            <w:tcBorders>
              <w:top w:val="double" w:sz="6" w:space="0" w:color="000000"/>
              <w:left w:val="single" w:sz="6" w:space="0" w:color="000000"/>
              <w:bottom w:val="double" w:sz="6" w:space="0" w:color="000000"/>
              <w:right w:val="single" w:sz="6" w:space="0" w:color="000000"/>
            </w:tcBorders>
            <w:vAlign w:val="center"/>
          </w:tcPr>
          <w:p w14:paraId="773275A4" w14:textId="77777777" w:rsidR="0001789A" w:rsidRPr="004A30FF" w:rsidRDefault="0001789A"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65D81753" w14:textId="77777777" w:rsidR="0001789A" w:rsidRPr="004A30FF" w:rsidRDefault="0001789A" w:rsidP="00CE0A76">
            <w:pPr>
              <w:ind w:right="22"/>
              <w:jc w:val="right"/>
            </w:pPr>
            <w:r w:rsidRPr="004A30FF">
              <w:rPr>
                <w:rFonts w:ascii="Times New Roman" w:eastAsia="Times New Roman" w:hAnsi="Times New Roman" w:cs="Times New Roman"/>
                <w:sz w:val="14"/>
              </w:rPr>
              <w:t xml:space="preserve">           0.00</w:t>
            </w:r>
          </w:p>
        </w:tc>
      </w:tr>
      <w:tr w:rsidR="0001789A" w:rsidRPr="004A30FF" w14:paraId="03D7C4D8"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vAlign w:val="bottom"/>
          </w:tcPr>
          <w:p w14:paraId="6269760E" w14:textId="77777777" w:rsidR="0001789A" w:rsidRPr="004A30FF" w:rsidRDefault="0001789A" w:rsidP="00CE0A76">
            <w:pPr>
              <w:ind w:left="29"/>
            </w:pPr>
            <w:r w:rsidRPr="004A30FF">
              <w:rPr>
                <w:rFonts w:ascii="Times New Roman" w:eastAsia="Times New Roman" w:hAnsi="Times New Roman" w:cs="Times New Roman"/>
                <w:sz w:val="18"/>
              </w:rPr>
              <w:t>1900</w:t>
            </w:r>
          </w:p>
        </w:tc>
        <w:tc>
          <w:tcPr>
            <w:tcW w:w="4620" w:type="dxa"/>
            <w:tcBorders>
              <w:top w:val="double" w:sz="6" w:space="0" w:color="000000"/>
              <w:left w:val="single" w:sz="6" w:space="0" w:color="000000"/>
              <w:bottom w:val="double" w:sz="6" w:space="0" w:color="000000"/>
              <w:right w:val="single" w:sz="6" w:space="0" w:color="000000"/>
            </w:tcBorders>
          </w:tcPr>
          <w:p w14:paraId="02E2F44C" w14:textId="77777777" w:rsidR="0001789A" w:rsidRPr="004A30FF" w:rsidRDefault="0001789A" w:rsidP="00CE0A76"/>
        </w:tc>
        <w:tc>
          <w:tcPr>
            <w:tcW w:w="1320" w:type="dxa"/>
            <w:tcBorders>
              <w:top w:val="double" w:sz="6" w:space="0" w:color="000000"/>
              <w:left w:val="single" w:sz="6" w:space="0" w:color="000000"/>
              <w:bottom w:val="double" w:sz="6" w:space="0" w:color="000000"/>
              <w:right w:val="single" w:sz="6" w:space="0" w:color="000000"/>
            </w:tcBorders>
            <w:vAlign w:val="center"/>
          </w:tcPr>
          <w:p w14:paraId="57C2A8BA" w14:textId="77777777" w:rsidR="0001789A" w:rsidRPr="004A30FF" w:rsidRDefault="0001789A" w:rsidP="00CE0A76">
            <w:pPr>
              <w:jc w:val="right"/>
            </w:pPr>
            <w:r w:rsidRPr="004A30FF">
              <w:rPr>
                <w:rFonts w:ascii="Times New Roman" w:eastAsia="Times New Roman" w:hAnsi="Times New Roman" w:cs="Times New Roman"/>
                <w:sz w:val="14"/>
              </w:rPr>
              <w:t xml:space="preserve">       1 943.91</w:t>
            </w:r>
          </w:p>
        </w:tc>
        <w:tc>
          <w:tcPr>
            <w:tcW w:w="1291" w:type="dxa"/>
            <w:tcBorders>
              <w:top w:val="double" w:sz="6" w:space="0" w:color="000000"/>
              <w:left w:val="single" w:sz="6" w:space="0" w:color="000000"/>
              <w:bottom w:val="double" w:sz="6" w:space="0" w:color="000000"/>
              <w:right w:val="single" w:sz="6" w:space="0" w:color="000000"/>
            </w:tcBorders>
            <w:vAlign w:val="center"/>
          </w:tcPr>
          <w:p w14:paraId="61CFCC59" w14:textId="77777777" w:rsidR="0001789A" w:rsidRPr="004A30FF" w:rsidRDefault="0001789A" w:rsidP="00CE0A76">
            <w:pPr>
              <w:ind w:right="2"/>
              <w:jc w:val="right"/>
            </w:pPr>
            <w:r w:rsidRPr="004A30FF">
              <w:rPr>
                <w:rFonts w:ascii="Times New Roman" w:eastAsia="Times New Roman" w:hAnsi="Times New Roman" w:cs="Times New Roman"/>
                <w:sz w:val="14"/>
              </w:rPr>
              <w:t xml:space="preserve">       1 943.91</w:t>
            </w:r>
          </w:p>
        </w:tc>
        <w:tc>
          <w:tcPr>
            <w:tcW w:w="1289" w:type="dxa"/>
            <w:tcBorders>
              <w:top w:val="double" w:sz="6" w:space="0" w:color="000000"/>
              <w:left w:val="single" w:sz="6" w:space="0" w:color="000000"/>
              <w:bottom w:val="double" w:sz="6" w:space="0" w:color="000000"/>
              <w:right w:val="single" w:sz="6" w:space="0" w:color="000000"/>
            </w:tcBorders>
            <w:vAlign w:val="center"/>
          </w:tcPr>
          <w:p w14:paraId="7BDF6EEF" w14:textId="77777777" w:rsidR="0001789A" w:rsidRPr="004A30FF" w:rsidRDefault="0001789A"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45AFC9A6" w14:textId="77777777" w:rsidR="0001789A" w:rsidRPr="004A30FF" w:rsidRDefault="0001789A" w:rsidP="00CE0A76">
            <w:pPr>
              <w:ind w:right="22"/>
              <w:jc w:val="right"/>
            </w:pPr>
            <w:r w:rsidRPr="004A30FF">
              <w:rPr>
                <w:rFonts w:ascii="Times New Roman" w:eastAsia="Times New Roman" w:hAnsi="Times New Roman" w:cs="Times New Roman"/>
                <w:sz w:val="14"/>
              </w:rPr>
              <w:t xml:space="preserve">           0.00</w:t>
            </w:r>
          </w:p>
        </w:tc>
      </w:tr>
      <w:tr w:rsidR="0001789A" w:rsidRPr="004A30FF" w14:paraId="06CC5C58"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tcPr>
          <w:p w14:paraId="07A7364A" w14:textId="77777777" w:rsidR="0001789A" w:rsidRPr="004A30FF" w:rsidRDefault="0001789A" w:rsidP="00CE0A76">
            <w:pPr>
              <w:ind w:left="43"/>
            </w:pPr>
            <w:r w:rsidRPr="004A30FF">
              <w:rPr>
                <w:rFonts w:ascii="Times New Roman" w:eastAsia="Times New Roman" w:hAnsi="Times New Roman" w:cs="Times New Roman"/>
                <w:sz w:val="16"/>
              </w:rPr>
              <w:t>1981</w:t>
            </w:r>
          </w:p>
        </w:tc>
        <w:tc>
          <w:tcPr>
            <w:tcW w:w="4620" w:type="dxa"/>
            <w:tcBorders>
              <w:top w:val="double" w:sz="6" w:space="0" w:color="000000"/>
              <w:left w:val="single" w:sz="6" w:space="0" w:color="000000"/>
              <w:bottom w:val="double" w:sz="6" w:space="0" w:color="000000"/>
              <w:right w:val="single" w:sz="6" w:space="0" w:color="000000"/>
            </w:tcBorders>
          </w:tcPr>
          <w:p w14:paraId="34DA619E" w14:textId="77777777" w:rsidR="0001789A" w:rsidRPr="004A30FF" w:rsidRDefault="0001789A" w:rsidP="00CE0A76">
            <w:pPr>
              <w:ind w:left="22"/>
            </w:pPr>
            <w:r w:rsidRPr="004A30FF">
              <w:rPr>
                <w:rFonts w:ascii="Times New Roman" w:eastAsia="Times New Roman" w:hAnsi="Times New Roman" w:cs="Times New Roman"/>
                <w:sz w:val="16"/>
              </w:rPr>
              <w:t>платени общински данъци, такси, наказателни лихви</w:t>
            </w:r>
          </w:p>
        </w:tc>
        <w:tc>
          <w:tcPr>
            <w:tcW w:w="1320" w:type="dxa"/>
            <w:tcBorders>
              <w:top w:val="double" w:sz="6" w:space="0" w:color="000000"/>
              <w:left w:val="single" w:sz="6" w:space="0" w:color="000000"/>
              <w:bottom w:val="double" w:sz="6" w:space="0" w:color="000000"/>
              <w:right w:val="single" w:sz="6" w:space="0" w:color="000000"/>
            </w:tcBorders>
            <w:vAlign w:val="center"/>
          </w:tcPr>
          <w:p w14:paraId="38DFAEBC" w14:textId="77777777" w:rsidR="0001789A" w:rsidRPr="004A30FF" w:rsidRDefault="0001789A" w:rsidP="00CE0A76">
            <w:pPr>
              <w:jc w:val="right"/>
            </w:pPr>
            <w:r w:rsidRPr="004A30FF">
              <w:rPr>
                <w:rFonts w:ascii="Times New Roman" w:eastAsia="Times New Roman" w:hAnsi="Times New Roman" w:cs="Times New Roman"/>
                <w:sz w:val="14"/>
              </w:rPr>
              <w:t xml:space="preserve">       1 943.91</w:t>
            </w:r>
          </w:p>
        </w:tc>
        <w:tc>
          <w:tcPr>
            <w:tcW w:w="1291" w:type="dxa"/>
            <w:tcBorders>
              <w:top w:val="double" w:sz="6" w:space="0" w:color="000000"/>
              <w:left w:val="single" w:sz="6" w:space="0" w:color="000000"/>
              <w:bottom w:val="double" w:sz="6" w:space="0" w:color="000000"/>
              <w:right w:val="single" w:sz="6" w:space="0" w:color="000000"/>
            </w:tcBorders>
            <w:vAlign w:val="center"/>
          </w:tcPr>
          <w:p w14:paraId="783F2EF2" w14:textId="77777777" w:rsidR="0001789A" w:rsidRPr="004A30FF" w:rsidRDefault="0001789A" w:rsidP="00CE0A76">
            <w:pPr>
              <w:ind w:right="2"/>
              <w:jc w:val="right"/>
            </w:pPr>
            <w:r w:rsidRPr="004A30FF">
              <w:rPr>
                <w:rFonts w:ascii="Times New Roman" w:eastAsia="Times New Roman" w:hAnsi="Times New Roman" w:cs="Times New Roman"/>
                <w:sz w:val="14"/>
              </w:rPr>
              <w:t xml:space="preserve">       1 943.91</w:t>
            </w:r>
          </w:p>
        </w:tc>
        <w:tc>
          <w:tcPr>
            <w:tcW w:w="1289" w:type="dxa"/>
            <w:tcBorders>
              <w:top w:val="double" w:sz="6" w:space="0" w:color="000000"/>
              <w:left w:val="single" w:sz="6" w:space="0" w:color="000000"/>
              <w:bottom w:val="double" w:sz="6" w:space="0" w:color="000000"/>
              <w:right w:val="single" w:sz="6" w:space="0" w:color="000000"/>
            </w:tcBorders>
            <w:vAlign w:val="center"/>
          </w:tcPr>
          <w:p w14:paraId="2AF8F326" w14:textId="77777777" w:rsidR="0001789A" w:rsidRPr="004A30FF" w:rsidRDefault="0001789A"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2B94CEC0" w14:textId="77777777" w:rsidR="0001789A" w:rsidRPr="004A30FF" w:rsidRDefault="0001789A" w:rsidP="00CE0A76">
            <w:pPr>
              <w:ind w:right="22"/>
              <w:jc w:val="right"/>
            </w:pPr>
            <w:r w:rsidRPr="004A30FF">
              <w:rPr>
                <w:rFonts w:ascii="Times New Roman" w:eastAsia="Times New Roman" w:hAnsi="Times New Roman" w:cs="Times New Roman"/>
                <w:sz w:val="14"/>
              </w:rPr>
              <w:t xml:space="preserve">           0.00</w:t>
            </w:r>
          </w:p>
        </w:tc>
      </w:tr>
      <w:tr w:rsidR="0001789A" w:rsidRPr="004A30FF" w14:paraId="2BDCC8B5"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vAlign w:val="bottom"/>
          </w:tcPr>
          <w:p w14:paraId="68FF3F1C" w14:textId="77777777" w:rsidR="0001789A" w:rsidRPr="004A30FF" w:rsidRDefault="0001789A" w:rsidP="00CE0A76">
            <w:pPr>
              <w:ind w:left="29"/>
            </w:pPr>
            <w:r w:rsidRPr="004A30FF">
              <w:rPr>
                <w:rFonts w:ascii="Times New Roman" w:eastAsia="Times New Roman" w:hAnsi="Times New Roman" w:cs="Times New Roman"/>
                <w:sz w:val="18"/>
              </w:rPr>
              <w:t>5200</w:t>
            </w:r>
          </w:p>
        </w:tc>
        <w:tc>
          <w:tcPr>
            <w:tcW w:w="4620" w:type="dxa"/>
            <w:tcBorders>
              <w:top w:val="double" w:sz="6" w:space="0" w:color="000000"/>
              <w:left w:val="single" w:sz="6" w:space="0" w:color="000000"/>
              <w:bottom w:val="double" w:sz="6" w:space="0" w:color="000000"/>
              <w:right w:val="single" w:sz="6" w:space="0" w:color="000000"/>
            </w:tcBorders>
          </w:tcPr>
          <w:p w14:paraId="2324F648" w14:textId="77777777" w:rsidR="0001789A" w:rsidRPr="004A30FF" w:rsidRDefault="0001789A" w:rsidP="00CE0A76"/>
        </w:tc>
        <w:tc>
          <w:tcPr>
            <w:tcW w:w="1320" w:type="dxa"/>
            <w:tcBorders>
              <w:top w:val="double" w:sz="6" w:space="0" w:color="000000"/>
              <w:left w:val="single" w:sz="6" w:space="0" w:color="000000"/>
              <w:bottom w:val="double" w:sz="6" w:space="0" w:color="000000"/>
              <w:right w:val="single" w:sz="6" w:space="0" w:color="000000"/>
            </w:tcBorders>
            <w:vAlign w:val="center"/>
          </w:tcPr>
          <w:p w14:paraId="5C08EB37" w14:textId="77777777" w:rsidR="0001789A" w:rsidRPr="004A30FF" w:rsidRDefault="0001789A" w:rsidP="00CE0A76">
            <w:pPr>
              <w:ind w:right="1"/>
              <w:jc w:val="right"/>
            </w:pPr>
            <w:r w:rsidRPr="004A30FF">
              <w:rPr>
                <w:rFonts w:ascii="Times New Roman" w:eastAsia="Times New Roman" w:hAnsi="Times New Roman" w:cs="Times New Roman"/>
                <w:sz w:val="14"/>
              </w:rPr>
              <w:t xml:space="preserve">      11 364.00</w:t>
            </w:r>
          </w:p>
        </w:tc>
        <w:tc>
          <w:tcPr>
            <w:tcW w:w="1291" w:type="dxa"/>
            <w:tcBorders>
              <w:top w:val="double" w:sz="6" w:space="0" w:color="000000"/>
              <w:left w:val="single" w:sz="6" w:space="0" w:color="000000"/>
              <w:bottom w:val="double" w:sz="6" w:space="0" w:color="000000"/>
              <w:right w:val="single" w:sz="6" w:space="0" w:color="000000"/>
            </w:tcBorders>
            <w:vAlign w:val="center"/>
          </w:tcPr>
          <w:p w14:paraId="5D348C9F" w14:textId="77777777" w:rsidR="0001789A" w:rsidRPr="004A30FF" w:rsidRDefault="0001789A" w:rsidP="00CE0A76">
            <w:pPr>
              <w:ind w:right="3"/>
              <w:jc w:val="right"/>
            </w:pPr>
            <w:r w:rsidRPr="004A30FF">
              <w:rPr>
                <w:rFonts w:ascii="Times New Roman" w:eastAsia="Times New Roman" w:hAnsi="Times New Roman" w:cs="Times New Roman"/>
                <w:sz w:val="14"/>
              </w:rPr>
              <w:t xml:space="preserve">      11 364.00</w:t>
            </w:r>
          </w:p>
        </w:tc>
        <w:tc>
          <w:tcPr>
            <w:tcW w:w="1289" w:type="dxa"/>
            <w:tcBorders>
              <w:top w:val="double" w:sz="6" w:space="0" w:color="000000"/>
              <w:left w:val="single" w:sz="6" w:space="0" w:color="000000"/>
              <w:bottom w:val="double" w:sz="6" w:space="0" w:color="000000"/>
              <w:right w:val="single" w:sz="6" w:space="0" w:color="000000"/>
            </w:tcBorders>
            <w:vAlign w:val="center"/>
          </w:tcPr>
          <w:p w14:paraId="4403A254" w14:textId="77777777" w:rsidR="0001789A" w:rsidRPr="004A30FF" w:rsidRDefault="0001789A"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5A773FF0" w14:textId="77777777" w:rsidR="0001789A" w:rsidRPr="004A30FF" w:rsidRDefault="0001789A" w:rsidP="00CE0A76">
            <w:pPr>
              <w:ind w:right="22"/>
              <w:jc w:val="right"/>
            </w:pPr>
            <w:r w:rsidRPr="004A30FF">
              <w:rPr>
                <w:rFonts w:ascii="Times New Roman" w:eastAsia="Times New Roman" w:hAnsi="Times New Roman" w:cs="Times New Roman"/>
                <w:sz w:val="14"/>
              </w:rPr>
              <w:t xml:space="preserve">           0.00</w:t>
            </w:r>
          </w:p>
        </w:tc>
      </w:tr>
      <w:tr w:rsidR="0001789A" w:rsidRPr="004A30FF" w14:paraId="1DFF89C2"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tcPr>
          <w:p w14:paraId="500C9E85" w14:textId="77777777" w:rsidR="0001789A" w:rsidRPr="004A30FF" w:rsidRDefault="0001789A" w:rsidP="00CE0A76">
            <w:pPr>
              <w:ind w:left="43"/>
            </w:pPr>
            <w:r w:rsidRPr="004A30FF">
              <w:rPr>
                <w:rFonts w:ascii="Times New Roman" w:eastAsia="Times New Roman" w:hAnsi="Times New Roman" w:cs="Times New Roman"/>
                <w:sz w:val="16"/>
              </w:rPr>
              <w:t>5203</w:t>
            </w:r>
          </w:p>
        </w:tc>
        <w:tc>
          <w:tcPr>
            <w:tcW w:w="4620" w:type="dxa"/>
            <w:tcBorders>
              <w:top w:val="double" w:sz="6" w:space="0" w:color="000000"/>
              <w:left w:val="single" w:sz="6" w:space="0" w:color="000000"/>
              <w:bottom w:val="double" w:sz="6" w:space="0" w:color="000000"/>
              <w:right w:val="single" w:sz="6" w:space="0" w:color="000000"/>
            </w:tcBorders>
          </w:tcPr>
          <w:p w14:paraId="0F2A3B32" w14:textId="77777777" w:rsidR="0001789A" w:rsidRPr="004A30FF" w:rsidRDefault="0001789A" w:rsidP="00CE0A76">
            <w:pPr>
              <w:ind w:left="22"/>
            </w:pPr>
            <w:r w:rsidRPr="004A30FF">
              <w:rPr>
                <w:rFonts w:ascii="Times New Roman" w:eastAsia="Times New Roman" w:hAnsi="Times New Roman" w:cs="Times New Roman"/>
                <w:sz w:val="16"/>
              </w:rPr>
              <w:t>придобиване на друго оборудване, машини и съоръжен</w:t>
            </w:r>
          </w:p>
        </w:tc>
        <w:tc>
          <w:tcPr>
            <w:tcW w:w="1320" w:type="dxa"/>
            <w:tcBorders>
              <w:top w:val="double" w:sz="6" w:space="0" w:color="000000"/>
              <w:left w:val="single" w:sz="6" w:space="0" w:color="000000"/>
              <w:bottom w:val="double" w:sz="6" w:space="0" w:color="000000"/>
              <w:right w:val="single" w:sz="6" w:space="0" w:color="000000"/>
            </w:tcBorders>
            <w:vAlign w:val="center"/>
          </w:tcPr>
          <w:p w14:paraId="622DAFB3" w14:textId="77777777" w:rsidR="0001789A" w:rsidRPr="004A30FF" w:rsidRDefault="0001789A" w:rsidP="00CE0A76">
            <w:pPr>
              <w:jc w:val="right"/>
            </w:pPr>
            <w:r w:rsidRPr="004A30FF">
              <w:rPr>
                <w:rFonts w:ascii="Times New Roman" w:eastAsia="Times New Roman" w:hAnsi="Times New Roman" w:cs="Times New Roman"/>
                <w:sz w:val="14"/>
              </w:rPr>
              <w:t xml:space="preserve">       6 900.00</w:t>
            </w:r>
          </w:p>
        </w:tc>
        <w:tc>
          <w:tcPr>
            <w:tcW w:w="1291" w:type="dxa"/>
            <w:tcBorders>
              <w:top w:val="double" w:sz="6" w:space="0" w:color="000000"/>
              <w:left w:val="single" w:sz="6" w:space="0" w:color="000000"/>
              <w:bottom w:val="double" w:sz="6" w:space="0" w:color="000000"/>
              <w:right w:val="single" w:sz="6" w:space="0" w:color="000000"/>
            </w:tcBorders>
            <w:vAlign w:val="center"/>
          </w:tcPr>
          <w:p w14:paraId="0DBA4B42" w14:textId="77777777" w:rsidR="0001789A" w:rsidRPr="004A30FF" w:rsidRDefault="0001789A" w:rsidP="00CE0A76">
            <w:pPr>
              <w:ind w:right="2"/>
              <w:jc w:val="right"/>
            </w:pPr>
            <w:r w:rsidRPr="004A30FF">
              <w:rPr>
                <w:rFonts w:ascii="Times New Roman" w:eastAsia="Times New Roman" w:hAnsi="Times New Roman" w:cs="Times New Roman"/>
                <w:sz w:val="14"/>
              </w:rPr>
              <w:t xml:space="preserve">       6 900.00</w:t>
            </w:r>
          </w:p>
        </w:tc>
        <w:tc>
          <w:tcPr>
            <w:tcW w:w="1289" w:type="dxa"/>
            <w:tcBorders>
              <w:top w:val="double" w:sz="6" w:space="0" w:color="000000"/>
              <w:left w:val="single" w:sz="6" w:space="0" w:color="000000"/>
              <w:bottom w:val="double" w:sz="6" w:space="0" w:color="000000"/>
              <w:right w:val="single" w:sz="6" w:space="0" w:color="000000"/>
            </w:tcBorders>
            <w:vAlign w:val="center"/>
          </w:tcPr>
          <w:p w14:paraId="3EE5E5AA" w14:textId="77777777" w:rsidR="0001789A" w:rsidRPr="004A30FF" w:rsidRDefault="0001789A"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14A87790" w14:textId="77777777" w:rsidR="0001789A" w:rsidRPr="004A30FF" w:rsidRDefault="0001789A" w:rsidP="00CE0A76">
            <w:pPr>
              <w:ind w:right="22"/>
              <w:jc w:val="right"/>
            </w:pPr>
            <w:r w:rsidRPr="004A30FF">
              <w:rPr>
                <w:rFonts w:ascii="Times New Roman" w:eastAsia="Times New Roman" w:hAnsi="Times New Roman" w:cs="Times New Roman"/>
                <w:sz w:val="14"/>
              </w:rPr>
              <w:t xml:space="preserve">           0.00</w:t>
            </w:r>
          </w:p>
        </w:tc>
      </w:tr>
      <w:tr w:rsidR="0001789A" w:rsidRPr="004A30FF" w14:paraId="3BEEE3B5" w14:textId="77777777" w:rsidTr="00CE0A76">
        <w:trPr>
          <w:trHeight w:val="366"/>
        </w:trPr>
        <w:tc>
          <w:tcPr>
            <w:tcW w:w="607" w:type="dxa"/>
            <w:tcBorders>
              <w:top w:val="double" w:sz="6" w:space="0" w:color="000000"/>
              <w:left w:val="single" w:sz="6" w:space="0" w:color="000000"/>
              <w:bottom w:val="single" w:sz="6" w:space="0" w:color="000000"/>
              <w:right w:val="single" w:sz="6" w:space="0" w:color="000000"/>
            </w:tcBorders>
          </w:tcPr>
          <w:p w14:paraId="6F54A506" w14:textId="77777777" w:rsidR="0001789A" w:rsidRPr="004A30FF" w:rsidRDefault="0001789A" w:rsidP="00CE0A76">
            <w:pPr>
              <w:ind w:left="43"/>
            </w:pPr>
            <w:r w:rsidRPr="004A30FF">
              <w:rPr>
                <w:rFonts w:ascii="Times New Roman" w:eastAsia="Times New Roman" w:hAnsi="Times New Roman" w:cs="Times New Roman"/>
                <w:sz w:val="16"/>
              </w:rPr>
              <w:t>5205</w:t>
            </w:r>
          </w:p>
        </w:tc>
        <w:tc>
          <w:tcPr>
            <w:tcW w:w="4620" w:type="dxa"/>
            <w:tcBorders>
              <w:top w:val="double" w:sz="6" w:space="0" w:color="000000"/>
              <w:left w:val="single" w:sz="6" w:space="0" w:color="000000"/>
              <w:bottom w:val="single" w:sz="6" w:space="0" w:color="000000"/>
              <w:right w:val="single" w:sz="6" w:space="0" w:color="000000"/>
            </w:tcBorders>
          </w:tcPr>
          <w:p w14:paraId="1D4BD74F" w14:textId="77777777" w:rsidR="0001789A" w:rsidRPr="004A30FF" w:rsidRDefault="0001789A" w:rsidP="00CE0A76">
            <w:pPr>
              <w:ind w:left="22"/>
            </w:pPr>
            <w:r w:rsidRPr="004A30FF">
              <w:rPr>
                <w:rFonts w:ascii="Times New Roman" w:eastAsia="Times New Roman" w:hAnsi="Times New Roman" w:cs="Times New Roman"/>
                <w:sz w:val="16"/>
              </w:rPr>
              <w:t>придобиване на стопански инвентар</w:t>
            </w:r>
          </w:p>
        </w:tc>
        <w:tc>
          <w:tcPr>
            <w:tcW w:w="1320" w:type="dxa"/>
            <w:tcBorders>
              <w:top w:val="double" w:sz="6" w:space="0" w:color="000000"/>
              <w:left w:val="single" w:sz="6" w:space="0" w:color="000000"/>
              <w:bottom w:val="single" w:sz="6" w:space="0" w:color="000000"/>
              <w:right w:val="single" w:sz="6" w:space="0" w:color="000000"/>
            </w:tcBorders>
            <w:vAlign w:val="center"/>
          </w:tcPr>
          <w:p w14:paraId="018FBC8F" w14:textId="77777777" w:rsidR="0001789A" w:rsidRPr="004A30FF" w:rsidRDefault="0001789A" w:rsidP="00CE0A76">
            <w:pPr>
              <w:jc w:val="right"/>
            </w:pPr>
            <w:r w:rsidRPr="004A30FF">
              <w:rPr>
                <w:rFonts w:ascii="Times New Roman" w:eastAsia="Times New Roman" w:hAnsi="Times New Roman" w:cs="Times New Roman"/>
                <w:sz w:val="14"/>
              </w:rPr>
              <w:t xml:space="preserve">       4 464.00</w:t>
            </w:r>
          </w:p>
        </w:tc>
        <w:tc>
          <w:tcPr>
            <w:tcW w:w="1291" w:type="dxa"/>
            <w:tcBorders>
              <w:top w:val="double" w:sz="6" w:space="0" w:color="000000"/>
              <w:left w:val="single" w:sz="6" w:space="0" w:color="000000"/>
              <w:bottom w:val="single" w:sz="6" w:space="0" w:color="000000"/>
              <w:right w:val="single" w:sz="6" w:space="0" w:color="000000"/>
            </w:tcBorders>
            <w:vAlign w:val="center"/>
          </w:tcPr>
          <w:p w14:paraId="024158AD" w14:textId="77777777" w:rsidR="0001789A" w:rsidRPr="004A30FF" w:rsidRDefault="0001789A" w:rsidP="00CE0A76">
            <w:pPr>
              <w:ind w:right="2"/>
              <w:jc w:val="right"/>
            </w:pPr>
            <w:r w:rsidRPr="004A30FF">
              <w:rPr>
                <w:rFonts w:ascii="Times New Roman" w:eastAsia="Times New Roman" w:hAnsi="Times New Roman" w:cs="Times New Roman"/>
                <w:sz w:val="14"/>
              </w:rPr>
              <w:t xml:space="preserve">       4 464.00</w:t>
            </w:r>
          </w:p>
        </w:tc>
        <w:tc>
          <w:tcPr>
            <w:tcW w:w="1289" w:type="dxa"/>
            <w:tcBorders>
              <w:top w:val="double" w:sz="6" w:space="0" w:color="000000"/>
              <w:left w:val="single" w:sz="6" w:space="0" w:color="000000"/>
              <w:bottom w:val="single" w:sz="6" w:space="0" w:color="000000"/>
              <w:right w:val="single" w:sz="6" w:space="0" w:color="000000"/>
            </w:tcBorders>
            <w:vAlign w:val="center"/>
          </w:tcPr>
          <w:p w14:paraId="1FF38419" w14:textId="77777777" w:rsidR="0001789A" w:rsidRPr="004A30FF" w:rsidRDefault="0001789A"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single" w:sz="6" w:space="0" w:color="000000"/>
              <w:right w:val="single" w:sz="6" w:space="0" w:color="000000"/>
            </w:tcBorders>
            <w:vAlign w:val="center"/>
          </w:tcPr>
          <w:p w14:paraId="5C1F683D" w14:textId="77777777" w:rsidR="0001789A" w:rsidRPr="004A30FF" w:rsidRDefault="0001789A" w:rsidP="00CE0A76">
            <w:pPr>
              <w:ind w:right="22"/>
              <w:jc w:val="right"/>
            </w:pPr>
            <w:r w:rsidRPr="004A30FF">
              <w:rPr>
                <w:rFonts w:ascii="Times New Roman" w:eastAsia="Times New Roman" w:hAnsi="Times New Roman" w:cs="Times New Roman"/>
                <w:sz w:val="14"/>
              </w:rPr>
              <w:t xml:space="preserve">           0.00</w:t>
            </w:r>
          </w:p>
        </w:tc>
      </w:tr>
    </w:tbl>
    <w:p w14:paraId="56A27C5B" w14:textId="77777777" w:rsidR="0001789A" w:rsidRPr="004A30FF" w:rsidRDefault="0001789A" w:rsidP="0001789A">
      <w:pPr>
        <w:tabs>
          <w:tab w:val="center" w:pos="3118"/>
          <w:tab w:val="center" w:pos="6084"/>
          <w:tab w:val="center" w:pos="7373"/>
          <w:tab w:val="center" w:pos="8760"/>
          <w:tab w:val="center" w:pos="10049"/>
        </w:tabs>
        <w:spacing w:after="0" w:line="265" w:lineRule="auto"/>
      </w:pPr>
      <w:r w:rsidRPr="004A30FF">
        <w:tab/>
      </w:r>
      <w:r w:rsidRPr="004A30FF">
        <w:rPr>
          <w:rFonts w:ascii="Times New Roman" w:eastAsia="Times New Roman" w:hAnsi="Times New Roman" w:cs="Times New Roman"/>
          <w:sz w:val="18"/>
        </w:rPr>
        <w:t>Всичко за дейността: 311</w:t>
      </w:r>
      <w:r w:rsidRPr="004A30FF">
        <w:rPr>
          <w:rFonts w:ascii="Times New Roman" w:eastAsia="Times New Roman" w:hAnsi="Times New Roman" w:cs="Times New Roman"/>
          <w:sz w:val="18"/>
        </w:rPr>
        <w:tab/>
      </w:r>
      <w:r w:rsidRPr="004A30FF">
        <w:rPr>
          <w:rFonts w:ascii="Times New Roman" w:eastAsia="Times New Roman" w:hAnsi="Times New Roman" w:cs="Times New Roman"/>
          <w:sz w:val="14"/>
        </w:rPr>
        <w:t xml:space="preserve">     662 016.90</w:t>
      </w:r>
      <w:r w:rsidRPr="004A30FF">
        <w:rPr>
          <w:rFonts w:ascii="Times New Roman" w:eastAsia="Times New Roman" w:hAnsi="Times New Roman" w:cs="Times New Roman"/>
          <w:sz w:val="14"/>
        </w:rPr>
        <w:tab/>
        <w:t xml:space="preserve">     662 016.90</w:t>
      </w:r>
      <w:r w:rsidRPr="004A30FF">
        <w:rPr>
          <w:rFonts w:ascii="Times New Roman" w:eastAsia="Times New Roman" w:hAnsi="Times New Roman" w:cs="Times New Roman"/>
          <w:sz w:val="14"/>
        </w:rPr>
        <w:tab/>
        <w:t xml:space="preserve">           0.00</w:t>
      </w:r>
      <w:r w:rsidRPr="004A30FF">
        <w:rPr>
          <w:rFonts w:ascii="Times New Roman" w:eastAsia="Times New Roman" w:hAnsi="Times New Roman" w:cs="Times New Roman"/>
          <w:sz w:val="14"/>
        </w:rPr>
        <w:tab/>
        <w:t xml:space="preserve">           0.00</w:t>
      </w:r>
    </w:p>
    <w:tbl>
      <w:tblPr>
        <w:tblStyle w:val="TableGrid"/>
        <w:tblW w:w="10438" w:type="dxa"/>
        <w:tblInd w:w="7" w:type="dxa"/>
        <w:tblCellMar>
          <w:top w:w="87" w:type="dxa"/>
          <w:left w:w="24" w:type="dxa"/>
          <w:bottom w:w="33" w:type="dxa"/>
          <w:right w:w="29" w:type="dxa"/>
        </w:tblCellMar>
        <w:tblLook w:val="04A0" w:firstRow="1" w:lastRow="0" w:firstColumn="1" w:lastColumn="0" w:noHBand="0" w:noVBand="1"/>
      </w:tblPr>
      <w:tblGrid>
        <w:gridCol w:w="608"/>
        <w:gridCol w:w="4620"/>
        <w:gridCol w:w="1320"/>
        <w:gridCol w:w="1291"/>
        <w:gridCol w:w="1289"/>
        <w:gridCol w:w="1310"/>
      </w:tblGrid>
      <w:tr w:rsidR="0001789A" w:rsidRPr="004A30FF" w14:paraId="7704C246" w14:textId="77777777" w:rsidTr="00CE0A76">
        <w:trPr>
          <w:trHeight w:val="892"/>
        </w:trPr>
        <w:tc>
          <w:tcPr>
            <w:tcW w:w="5227" w:type="dxa"/>
            <w:gridSpan w:val="2"/>
            <w:tcBorders>
              <w:top w:val="single" w:sz="6" w:space="0" w:color="000000"/>
              <w:left w:val="single" w:sz="6" w:space="0" w:color="000000"/>
              <w:bottom w:val="double" w:sz="6" w:space="0" w:color="000000"/>
              <w:right w:val="nil"/>
            </w:tcBorders>
          </w:tcPr>
          <w:p w14:paraId="32899496" w14:textId="77777777" w:rsidR="0001789A" w:rsidRPr="004A30FF" w:rsidRDefault="0001789A" w:rsidP="00CE0A76">
            <w:pPr>
              <w:spacing w:after="67"/>
              <w:ind w:left="986"/>
            </w:pPr>
            <w:r w:rsidRPr="004A30FF">
              <w:rPr>
                <w:rFonts w:ascii="Times New Roman" w:eastAsia="Times New Roman" w:hAnsi="Times New Roman" w:cs="Times New Roman"/>
                <w:sz w:val="18"/>
              </w:rPr>
              <w:t>Код: 713</w:t>
            </w:r>
          </w:p>
          <w:p w14:paraId="63161D0D" w14:textId="77777777" w:rsidR="0001789A" w:rsidRPr="004A30FF" w:rsidRDefault="0001789A" w:rsidP="00CE0A76">
            <w:pPr>
              <w:spacing w:after="131"/>
            </w:pPr>
            <w:r w:rsidRPr="004A30FF">
              <w:rPr>
                <w:rFonts w:ascii="Times New Roman" w:eastAsia="Times New Roman" w:hAnsi="Times New Roman" w:cs="Times New Roman"/>
                <w:sz w:val="18"/>
              </w:rPr>
              <w:t>Наименование: Спорт за всички</w:t>
            </w:r>
          </w:p>
          <w:p w14:paraId="62655E67" w14:textId="77777777" w:rsidR="0001789A" w:rsidRPr="004A30FF" w:rsidRDefault="0001789A" w:rsidP="00CE0A76">
            <w:pPr>
              <w:tabs>
                <w:tab w:val="center" w:pos="2499"/>
              </w:tabs>
            </w:pPr>
            <w:r w:rsidRPr="004A30FF">
              <w:rPr>
                <w:rFonts w:ascii="Times New Roman" w:eastAsia="Times New Roman" w:hAnsi="Times New Roman" w:cs="Times New Roman"/>
                <w:sz w:val="18"/>
              </w:rPr>
              <w:t>Параграф</w:t>
            </w:r>
            <w:r w:rsidRPr="004A30FF">
              <w:rPr>
                <w:rFonts w:ascii="Times New Roman" w:eastAsia="Times New Roman" w:hAnsi="Times New Roman" w:cs="Times New Roman"/>
                <w:sz w:val="18"/>
              </w:rPr>
              <w:tab/>
              <w:t>Наименование на параграфа</w:t>
            </w:r>
          </w:p>
        </w:tc>
        <w:tc>
          <w:tcPr>
            <w:tcW w:w="1320" w:type="dxa"/>
            <w:tcBorders>
              <w:top w:val="single" w:sz="6" w:space="0" w:color="000000"/>
              <w:left w:val="nil"/>
              <w:bottom w:val="double" w:sz="6" w:space="0" w:color="000000"/>
              <w:right w:val="nil"/>
            </w:tcBorders>
            <w:vAlign w:val="bottom"/>
          </w:tcPr>
          <w:p w14:paraId="65E377B9" w14:textId="77777777" w:rsidR="0001789A" w:rsidRPr="004A30FF" w:rsidRDefault="0001789A" w:rsidP="00CE0A76">
            <w:pPr>
              <w:ind w:right="6"/>
              <w:jc w:val="center"/>
            </w:pPr>
            <w:r w:rsidRPr="004A30FF">
              <w:rPr>
                <w:rFonts w:ascii="Times New Roman" w:eastAsia="Times New Roman" w:hAnsi="Times New Roman" w:cs="Times New Roman"/>
                <w:sz w:val="18"/>
              </w:rPr>
              <w:t>Всичко</w:t>
            </w:r>
          </w:p>
        </w:tc>
        <w:tc>
          <w:tcPr>
            <w:tcW w:w="1291" w:type="dxa"/>
            <w:tcBorders>
              <w:top w:val="single" w:sz="6" w:space="0" w:color="000000"/>
              <w:left w:val="nil"/>
              <w:bottom w:val="double" w:sz="6" w:space="0" w:color="000000"/>
              <w:right w:val="nil"/>
            </w:tcBorders>
            <w:vAlign w:val="bottom"/>
          </w:tcPr>
          <w:p w14:paraId="6274DA08" w14:textId="77777777" w:rsidR="0001789A" w:rsidRPr="004A30FF" w:rsidRDefault="0001789A" w:rsidP="00CE0A76">
            <w:pPr>
              <w:ind w:left="67"/>
            </w:pPr>
            <w:r w:rsidRPr="004A30FF">
              <w:rPr>
                <w:rFonts w:ascii="Times New Roman" w:eastAsia="Times New Roman" w:hAnsi="Times New Roman" w:cs="Times New Roman"/>
                <w:sz w:val="18"/>
              </w:rPr>
              <w:t>Държ. д-сти</w:t>
            </w:r>
          </w:p>
        </w:tc>
        <w:tc>
          <w:tcPr>
            <w:tcW w:w="1289" w:type="dxa"/>
            <w:tcBorders>
              <w:top w:val="single" w:sz="6" w:space="0" w:color="000000"/>
              <w:left w:val="nil"/>
              <w:bottom w:val="double" w:sz="6" w:space="0" w:color="000000"/>
              <w:right w:val="nil"/>
            </w:tcBorders>
            <w:vAlign w:val="bottom"/>
          </w:tcPr>
          <w:p w14:paraId="37DD5F57" w14:textId="77777777" w:rsidR="0001789A" w:rsidRPr="004A30FF" w:rsidRDefault="0001789A" w:rsidP="00CE0A76">
            <w:pPr>
              <w:ind w:left="111"/>
            </w:pPr>
            <w:r w:rsidRPr="004A30FF">
              <w:rPr>
                <w:rFonts w:ascii="Times New Roman" w:eastAsia="Times New Roman" w:hAnsi="Times New Roman" w:cs="Times New Roman"/>
                <w:sz w:val="18"/>
              </w:rPr>
              <w:t>Общ. д-сти</w:t>
            </w:r>
          </w:p>
        </w:tc>
        <w:tc>
          <w:tcPr>
            <w:tcW w:w="1310" w:type="dxa"/>
            <w:tcBorders>
              <w:top w:val="single" w:sz="6" w:space="0" w:color="000000"/>
              <w:left w:val="nil"/>
              <w:bottom w:val="double" w:sz="6" w:space="0" w:color="000000"/>
              <w:right w:val="single" w:sz="6" w:space="0" w:color="000000"/>
            </w:tcBorders>
            <w:vAlign w:val="bottom"/>
          </w:tcPr>
          <w:p w14:paraId="429F5ECD" w14:textId="77777777" w:rsidR="0001789A" w:rsidRPr="004A30FF" w:rsidRDefault="0001789A" w:rsidP="00CE0A76">
            <w:pPr>
              <w:ind w:left="141"/>
            </w:pPr>
            <w:r w:rsidRPr="004A30FF">
              <w:rPr>
                <w:rFonts w:ascii="Times New Roman" w:eastAsia="Times New Roman" w:hAnsi="Times New Roman" w:cs="Times New Roman"/>
                <w:sz w:val="18"/>
              </w:rPr>
              <w:t>Дофинан.</w:t>
            </w:r>
          </w:p>
        </w:tc>
      </w:tr>
      <w:tr w:rsidR="0001789A" w:rsidRPr="004A30FF" w14:paraId="51BF15A6"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vAlign w:val="bottom"/>
          </w:tcPr>
          <w:p w14:paraId="0C9DF58A" w14:textId="77777777" w:rsidR="0001789A" w:rsidRPr="004A30FF" w:rsidRDefault="0001789A" w:rsidP="00CE0A76">
            <w:pPr>
              <w:ind w:left="29"/>
            </w:pPr>
            <w:r w:rsidRPr="004A30FF">
              <w:rPr>
                <w:rFonts w:ascii="Times New Roman" w:eastAsia="Times New Roman" w:hAnsi="Times New Roman" w:cs="Times New Roman"/>
                <w:sz w:val="18"/>
              </w:rPr>
              <w:t>1000</w:t>
            </w:r>
          </w:p>
        </w:tc>
        <w:tc>
          <w:tcPr>
            <w:tcW w:w="4620" w:type="dxa"/>
            <w:tcBorders>
              <w:top w:val="double" w:sz="6" w:space="0" w:color="000000"/>
              <w:left w:val="single" w:sz="6" w:space="0" w:color="000000"/>
              <w:bottom w:val="double" w:sz="6" w:space="0" w:color="000000"/>
              <w:right w:val="single" w:sz="6" w:space="0" w:color="000000"/>
            </w:tcBorders>
          </w:tcPr>
          <w:p w14:paraId="22E15739" w14:textId="77777777" w:rsidR="0001789A" w:rsidRPr="004A30FF" w:rsidRDefault="0001789A" w:rsidP="00CE0A76"/>
        </w:tc>
        <w:tc>
          <w:tcPr>
            <w:tcW w:w="1320" w:type="dxa"/>
            <w:tcBorders>
              <w:top w:val="double" w:sz="6" w:space="0" w:color="000000"/>
              <w:left w:val="single" w:sz="6" w:space="0" w:color="000000"/>
              <w:bottom w:val="double" w:sz="6" w:space="0" w:color="000000"/>
              <w:right w:val="single" w:sz="6" w:space="0" w:color="000000"/>
            </w:tcBorders>
            <w:vAlign w:val="center"/>
          </w:tcPr>
          <w:p w14:paraId="39DBE000" w14:textId="77777777" w:rsidR="0001789A" w:rsidRPr="004A30FF" w:rsidRDefault="0001789A" w:rsidP="00CE0A76">
            <w:pPr>
              <w:jc w:val="right"/>
            </w:pPr>
            <w:r w:rsidRPr="004A30FF">
              <w:rPr>
                <w:rFonts w:ascii="Times New Roman" w:eastAsia="Times New Roman" w:hAnsi="Times New Roman" w:cs="Times New Roman"/>
                <w:sz w:val="14"/>
              </w:rPr>
              <w:t xml:space="preserve">         309.00</w:t>
            </w:r>
          </w:p>
        </w:tc>
        <w:tc>
          <w:tcPr>
            <w:tcW w:w="1291" w:type="dxa"/>
            <w:tcBorders>
              <w:top w:val="double" w:sz="6" w:space="0" w:color="000000"/>
              <w:left w:val="single" w:sz="6" w:space="0" w:color="000000"/>
              <w:bottom w:val="double" w:sz="6" w:space="0" w:color="000000"/>
              <w:right w:val="single" w:sz="6" w:space="0" w:color="000000"/>
            </w:tcBorders>
            <w:vAlign w:val="center"/>
          </w:tcPr>
          <w:p w14:paraId="432D45FA" w14:textId="77777777" w:rsidR="0001789A" w:rsidRPr="004A30FF" w:rsidRDefault="0001789A" w:rsidP="00CE0A76">
            <w:pPr>
              <w:ind w:right="2"/>
              <w:jc w:val="right"/>
            </w:pPr>
            <w:r w:rsidRPr="004A30FF">
              <w:rPr>
                <w:rFonts w:ascii="Times New Roman" w:eastAsia="Times New Roman" w:hAnsi="Times New Roman" w:cs="Times New Roman"/>
                <w:sz w:val="14"/>
              </w:rPr>
              <w:t xml:space="preserve">         309.00</w:t>
            </w:r>
          </w:p>
        </w:tc>
        <w:tc>
          <w:tcPr>
            <w:tcW w:w="1289" w:type="dxa"/>
            <w:tcBorders>
              <w:top w:val="double" w:sz="6" w:space="0" w:color="000000"/>
              <w:left w:val="single" w:sz="6" w:space="0" w:color="000000"/>
              <w:bottom w:val="double" w:sz="6" w:space="0" w:color="000000"/>
              <w:right w:val="single" w:sz="6" w:space="0" w:color="000000"/>
            </w:tcBorders>
            <w:vAlign w:val="center"/>
          </w:tcPr>
          <w:p w14:paraId="3AE269D4" w14:textId="77777777" w:rsidR="0001789A" w:rsidRPr="004A30FF" w:rsidRDefault="0001789A"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1B02B3F9" w14:textId="77777777" w:rsidR="0001789A" w:rsidRPr="004A30FF" w:rsidRDefault="0001789A" w:rsidP="00CE0A76">
            <w:pPr>
              <w:ind w:right="22"/>
              <w:jc w:val="right"/>
            </w:pPr>
            <w:r w:rsidRPr="004A30FF">
              <w:rPr>
                <w:rFonts w:ascii="Times New Roman" w:eastAsia="Times New Roman" w:hAnsi="Times New Roman" w:cs="Times New Roman"/>
                <w:sz w:val="14"/>
              </w:rPr>
              <w:t xml:space="preserve">           0.00</w:t>
            </w:r>
          </w:p>
        </w:tc>
      </w:tr>
      <w:tr w:rsidR="0001789A" w:rsidRPr="004A30FF" w14:paraId="3289BC38" w14:textId="77777777" w:rsidTr="00CE0A76">
        <w:trPr>
          <w:trHeight w:val="366"/>
        </w:trPr>
        <w:tc>
          <w:tcPr>
            <w:tcW w:w="607" w:type="dxa"/>
            <w:tcBorders>
              <w:top w:val="double" w:sz="6" w:space="0" w:color="000000"/>
              <w:left w:val="single" w:sz="6" w:space="0" w:color="000000"/>
              <w:bottom w:val="single" w:sz="6" w:space="0" w:color="000000"/>
              <w:right w:val="single" w:sz="6" w:space="0" w:color="000000"/>
            </w:tcBorders>
          </w:tcPr>
          <w:p w14:paraId="2AAE5201" w14:textId="77777777" w:rsidR="0001789A" w:rsidRPr="004A30FF" w:rsidRDefault="0001789A" w:rsidP="00CE0A76">
            <w:pPr>
              <w:ind w:left="43"/>
            </w:pPr>
            <w:r w:rsidRPr="004A30FF">
              <w:rPr>
                <w:rFonts w:ascii="Times New Roman" w:eastAsia="Times New Roman" w:hAnsi="Times New Roman" w:cs="Times New Roman"/>
                <w:sz w:val="16"/>
              </w:rPr>
              <w:t>1015</w:t>
            </w:r>
          </w:p>
        </w:tc>
        <w:tc>
          <w:tcPr>
            <w:tcW w:w="4620" w:type="dxa"/>
            <w:tcBorders>
              <w:top w:val="double" w:sz="6" w:space="0" w:color="000000"/>
              <w:left w:val="single" w:sz="6" w:space="0" w:color="000000"/>
              <w:bottom w:val="single" w:sz="6" w:space="0" w:color="000000"/>
              <w:right w:val="single" w:sz="6" w:space="0" w:color="000000"/>
            </w:tcBorders>
          </w:tcPr>
          <w:p w14:paraId="7C8CBBE3" w14:textId="77777777" w:rsidR="0001789A" w:rsidRPr="004A30FF" w:rsidRDefault="0001789A" w:rsidP="00CE0A76">
            <w:pPr>
              <w:ind w:left="22"/>
            </w:pPr>
            <w:r w:rsidRPr="004A30FF">
              <w:rPr>
                <w:rFonts w:ascii="Times New Roman" w:eastAsia="Times New Roman" w:hAnsi="Times New Roman" w:cs="Times New Roman"/>
                <w:sz w:val="16"/>
              </w:rPr>
              <w:t>материали</w:t>
            </w:r>
          </w:p>
        </w:tc>
        <w:tc>
          <w:tcPr>
            <w:tcW w:w="1320" w:type="dxa"/>
            <w:tcBorders>
              <w:top w:val="double" w:sz="6" w:space="0" w:color="000000"/>
              <w:left w:val="single" w:sz="6" w:space="0" w:color="000000"/>
              <w:bottom w:val="single" w:sz="6" w:space="0" w:color="000000"/>
              <w:right w:val="single" w:sz="6" w:space="0" w:color="000000"/>
            </w:tcBorders>
            <w:vAlign w:val="center"/>
          </w:tcPr>
          <w:p w14:paraId="3E10F744" w14:textId="77777777" w:rsidR="0001789A" w:rsidRPr="004A30FF" w:rsidRDefault="0001789A" w:rsidP="00CE0A76">
            <w:pPr>
              <w:jc w:val="right"/>
            </w:pPr>
            <w:r w:rsidRPr="004A30FF">
              <w:rPr>
                <w:rFonts w:ascii="Times New Roman" w:eastAsia="Times New Roman" w:hAnsi="Times New Roman" w:cs="Times New Roman"/>
                <w:sz w:val="14"/>
              </w:rPr>
              <w:t xml:space="preserve">         309.00</w:t>
            </w:r>
          </w:p>
        </w:tc>
        <w:tc>
          <w:tcPr>
            <w:tcW w:w="1291" w:type="dxa"/>
            <w:tcBorders>
              <w:top w:val="double" w:sz="6" w:space="0" w:color="000000"/>
              <w:left w:val="single" w:sz="6" w:space="0" w:color="000000"/>
              <w:bottom w:val="single" w:sz="6" w:space="0" w:color="000000"/>
              <w:right w:val="single" w:sz="6" w:space="0" w:color="000000"/>
            </w:tcBorders>
            <w:vAlign w:val="center"/>
          </w:tcPr>
          <w:p w14:paraId="2BEAB2A9" w14:textId="77777777" w:rsidR="0001789A" w:rsidRPr="004A30FF" w:rsidRDefault="0001789A" w:rsidP="00CE0A76">
            <w:pPr>
              <w:ind w:right="2"/>
              <w:jc w:val="right"/>
            </w:pPr>
            <w:r w:rsidRPr="004A30FF">
              <w:rPr>
                <w:rFonts w:ascii="Times New Roman" w:eastAsia="Times New Roman" w:hAnsi="Times New Roman" w:cs="Times New Roman"/>
                <w:sz w:val="14"/>
              </w:rPr>
              <w:t xml:space="preserve">         309.00</w:t>
            </w:r>
          </w:p>
        </w:tc>
        <w:tc>
          <w:tcPr>
            <w:tcW w:w="1289" w:type="dxa"/>
            <w:tcBorders>
              <w:top w:val="double" w:sz="6" w:space="0" w:color="000000"/>
              <w:left w:val="single" w:sz="6" w:space="0" w:color="000000"/>
              <w:bottom w:val="single" w:sz="6" w:space="0" w:color="000000"/>
              <w:right w:val="single" w:sz="6" w:space="0" w:color="000000"/>
            </w:tcBorders>
            <w:vAlign w:val="center"/>
          </w:tcPr>
          <w:p w14:paraId="65D4D7C2" w14:textId="77777777" w:rsidR="0001789A" w:rsidRPr="004A30FF" w:rsidRDefault="0001789A"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single" w:sz="6" w:space="0" w:color="000000"/>
              <w:right w:val="single" w:sz="6" w:space="0" w:color="000000"/>
            </w:tcBorders>
            <w:vAlign w:val="center"/>
          </w:tcPr>
          <w:p w14:paraId="31660991" w14:textId="77777777" w:rsidR="0001789A" w:rsidRPr="004A30FF" w:rsidRDefault="0001789A" w:rsidP="00CE0A76">
            <w:pPr>
              <w:ind w:right="22"/>
              <w:jc w:val="right"/>
            </w:pPr>
            <w:r w:rsidRPr="004A30FF">
              <w:rPr>
                <w:rFonts w:ascii="Times New Roman" w:eastAsia="Times New Roman" w:hAnsi="Times New Roman" w:cs="Times New Roman"/>
                <w:sz w:val="14"/>
              </w:rPr>
              <w:t xml:space="preserve">           0.00</w:t>
            </w:r>
          </w:p>
        </w:tc>
      </w:tr>
    </w:tbl>
    <w:p w14:paraId="69068130" w14:textId="77777777" w:rsidR="0001789A" w:rsidRPr="004A30FF" w:rsidRDefault="0001789A" w:rsidP="0001789A">
      <w:pPr>
        <w:tabs>
          <w:tab w:val="center" w:pos="3118"/>
          <w:tab w:val="center" w:pos="6142"/>
          <w:tab w:val="center" w:pos="7431"/>
          <w:tab w:val="center" w:pos="8760"/>
          <w:tab w:val="center" w:pos="10049"/>
        </w:tabs>
        <w:spacing w:after="226" w:line="265" w:lineRule="auto"/>
      </w:pPr>
      <w:r w:rsidRPr="004A30FF">
        <w:tab/>
      </w:r>
      <w:r w:rsidRPr="004A30FF">
        <w:rPr>
          <w:rFonts w:ascii="Times New Roman" w:eastAsia="Times New Roman" w:hAnsi="Times New Roman" w:cs="Times New Roman"/>
          <w:sz w:val="18"/>
        </w:rPr>
        <w:t>Всичко за дейността: 713</w:t>
      </w:r>
      <w:r w:rsidRPr="004A30FF">
        <w:rPr>
          <w:rFonts w:ascii="Times New Roman" w:eastAsia="Times New Roman" w:hAnsi="Times New Roman" w:cs="Times New Roman"/>
          <w:sz w:val="18"/>
        </w:rPr>
        <w:tab/>
      </w:r>
      <w:r w:rsidRPr="004A30FF">
        <w:rPr>
          <w:rFonts w:ascii="Times New Roman" w:eastAsia="Times New Roman" w:hAnsi="Times New Roman" w:cs="Times New Roman"/>
          <w:sz w:val="14"/>
        </w:rPr>
        <w:t xml:space="preserve">         309.00</w:t>
      </w:r>
      <w:r w:rsidRPr="004A30FF">
        <w:rPr>
          <w:rFonts w:ascii="Times New Roman" w:eastAsia="Times New Roman" w:hAnsi="Times New Roman" w:cs="Times New Roman"/>
          <w:sz w:val="14"/>
        </w:rPr>
        <w:tab/>
        <w:t xml:space="preserve">         309.00</w:t>
      </w:r>
      <w:r w:rsidRPr="004A30FF">
        <w:rPr>
          <w:rFonts w:ascii="Times New Roman" w:eastAsia="Times New Roman" w:hAnsi="Times New Roman" w:cs="Times New Roman"/>
          <w:sz w:val="14"/>
        </w:rPr>
        <w:tab/>
        <w:t xml:space="preserve">           0.00</w:t>
      </w:r>
      <w:r w:rsidRPr="004A30FF">
        <w:rPr>
          <w:rFonts w:ascii="Times New Roman" w:eastAsia="Times New Roman" w:hAnsi="Times New Roman" w:cs="Times New Roman"/>
          <w:sz w:val="14"/>
        </w:rPr>
        <w:tab/>
        <w:t xml:space="preserve">           0.00</w:t>
      </w:r>
    </w:p>
    <w:tbl>
      <w:tblPr>
        <w:tblStyle w:val="TableGrid"/>
        <w:tblpPr w:vertAnchor="text" w:tblpY="16"/>
        <w:tblOverlap w:val="never"/>
        <w:tblW w:w="4531" w:type="dxa"/>
        <w:tblInd w:w="0" w:type="dxa"/>
        <w:tblLook w:val="04A0" w:firstRow="1" w:lastRow="0" w:firstColumn="1" w:lastColumn="0" w:noHBand="0" w:noVBand="1"/>
      </w:tblPr>
      <w:tblGrid>
        <w:gridCol w:w="4531"/>
      </w:tblGrid>
      <w:tr w:rsidR="0001789A" w:rsidRPr="004A30FF" w14:paraId="0C3A0E31" w14:textId="77777777" w:rsidTr="00CE0A76">
        <w:trPr>
          <w:trHeight w:val="1071"/>
        </w:trPr>
        <w:tc>
          <w:tcPr>
            <w:tcW w:w="4531" w:type="dxa"/>
            <w:tcBorders>
              <w:top w:val="nil"/>
              <w:left w:val="nil"/>
              <w:bottom w:val="nil"/>
              <w:right w:val="nil"/>
            </w:tcBorders>
          </w:tcPr>
          <w:p w14:paraId="730B1BE5" w14:textId="1E25B15F" w:rsidR="0001789A" w:rsidRPr="004A30FF" w:rsidRDefault="0001789A" w:rsidP="00F3352B">
            <w:pPr>
              <w:spacing w:after="672"/>
              <w:jc w:val="right"/>
            </w:pPr>
            <w:r w:rsidRPr="004A30FF">
              <w:rPr>
                <w:rFonts w:ascii="Times New Roman" w:eastAsia="Times New Roman" w:hAnsi="Times New Roman" w:cs="Times New Roman"/>
                <w:sz w:val="18"/>
              </w:rPr>
              <w:t>Всичко за обекта</w:t>
            </w:r>
          </w:p>
        </w:tc>
      </w:tr>
    </w:tbl>
    <w:p w14:paraId="2A3F13CB" w14:textId="77777777" w:rsidR="0001789A" w:rsidRPr="004A30FF" w:rsidRDefault="0001789A" w:rsidP="0001789A">
      <w:pPr>
        <w:tabs>
          <w:tab w:val="center" w:pos="6084"/>
          <w:tab w:val="center" w:pos="7373"/>
          <w:tab w:val="center" w:pos="8760"/>
          <w:tab w:val="center" w:pos="10049"/>
        </w:tabs>
        <w:spacing w:after="770" w:line="265" w:lineRule="auto"/>
      </w:pPr>
      <w:r w:rsidRPr="004A30FF">
        <w:tab/>
      </w:r>
      <w:r w:rsidRPr="004A30FF">
        <w:rPr>
          <w:rFonts w:ascii="Times New Roman" w:eastAsia="Times New Roman" w:hAnsi="Times New Roman" w:cs="Times New Roman"/>
          <w:sz w:val="14"/>
        </w:rPr>
        <w:t xml:space="preserve">     662 325.90</w:t>
      </w:r>
      <w:r w:rsidRPr="004A30FF">
        <w:rPr>
          <w:rFonts w:ascii="Times New Roman" w:eastAsia="Times New Roman" w:hAnsi="Times New Roman" w:cs="Times New Roman"/>
          <w:sz w:val="14"/>
        </w:rPr>
        <w:tab/>
        <w:t xml:space="preserve">     662 325.90</w:t>
      </w:r>
      <w:r w:rsidRPr="004A30FF">
        <w:rPr>
          <w:rFonts w:ascii="Times New Roman" w:eastAsia="Times New Roman" w:hAnsi="Times New Roman" w:cs="Times New Roman"/>
          <w:sz w:val="14"/>
        </w:rPr>
        <w:tab/>
        <w:t xml:space="preserve">           0.00</w:t>
      </w:r>
      <w:r w:rsidRPr="004A30FF">
        <w:rPr>
          <w:rFonts w:ascii="Times New Roman" w:eastAsia="Times New Roman" w:hAnsi="Times New Roman" w:cs="Times New Roman"/>
          <w:sz w:val="14"/>
        </w:rPr>
        <w:tab/>
        <w:t xml:space="preserve">           0.00</w:t>
      </w:r>
    </w:p>
    <w:p w14:paraId="3E059FCB" w14:textId="77777777" w:rsidR="00A250BD" w:rsidRPr="004A30FF" w:rsidRDefault="00875C00" w:rsidP="00A250BD">
      <w:pPr>
        <w:spacing w:after="83"/>
      </w:pPr>
      <w:r w:rsidRPr="004A30FF">
        <w:rPr>
          <w:rFonts w:ascii="Times New Roman" w:hAnsi="Times New Roman" w:cs="Times New Roman"/>
          <w:sz w:val="24"/>
          <w:szCs w:val="24"/>
        </w:rPr>
        <w:t xml:space="preserve">  </w:t>
      </w:r>
      <w:r w:rsidR="00A250BD" w:rsidRPr="004A30FF">
        <w:rPr>
          <w:rFonts w:ascii="Times New Roman" w:eastAsia="Times New Roman" w:hAnsi="Times New Roman" w:cs="Times New Roman"/>
          <w:sz w:val="16"/>
        </w:rPr>
        <w:t>ЦДГ Осми март</w:t>
      </w:r>
    </w:p>
    <w:p w14:paraId="62666560" w14:textId="77777777" w:rsidR="00ED5A98" w:rsidRPr="004A30FF" w:rsidRDefault="00A250BD" w:rsidP="00ED5A98">
      <w:pPr>
        <w:tabs>
          <w:tab w:val="left" w:pos="3432"/>
          <w:tab w:val="center" w:pos="5242"/>
        </w:tabs>
        <w:spacing w:after="15"/>
        <w:rPr>
          <w:rFonts w:ascii="Times New Roman" w:eastAsia="Times New Roman" w:hAnsi="Times New Roman" w:cs="Times New Roman"/>
          <w:sz w:val="16"/>
        </w:rPr>
      </w:pPr>
      <w:r w:rsidRPr="004A30FF">
        <w:rPr>
          <w:rFonts w:ascii="Times New Roman" w:eastAsia="Times New Roman" w:hAnsi="Times New Roman" w:cs="Times New Roman"/>
          <w:sz w:val="16"/>
        </w:rPr>
        <w:t>640523</w:t>
      </w:r>
      <w:r w:rsidRPr="004A30FF">
        <w:rPr>
          <w:rFonts w:ascii="Times New Roman" w:eastAsia="Times New Roman" w:hAnsi="Times New Roman" w:cs="Times New Roman"/>
          <w:sz w:val="16"/>
        </w:rPr>
        <w:tab/>
      </w:r>
    </w:p>
    <w:p w14:paraId="78D00788" w14:textId="245A129D" w:rsidR="00A250BD" w:rsidRPr="004A30FF" w:rsidRDefault="00ED5A98" w:rsidP="00ED5A98">
      <w:pPr>
        <w:jc w:val="center"/>
        <w:rPr>
          <w:rFonts w:ascii="Times New Roman" w:eastAsia="Times New Roman" w:hAnsi="Times New Roman" w:cs="Times New Roman"/>
          <w:sz w:val="16"/>
        </w:rPr>
      </w:pPr>
      <w:r w:rsidRPr="004A30FF">
        <w:rPr>
          <w:rFonts w:ascii="Times New Roman" w:eastAsia="Times New Roman" w:hAnsi="Times New Roman" w:cs="Times New Roman"/>
          <w:sz w:val="16"/>
        </w:rPr>
        <w:br w:type="page"/>
      </w:r>
      <w:r w:rsidRPr="004A30FF">
        <w:rPr>
          <w:rFonts w:ascii="Times New Roman" w:eastAsia="Times New Roman" w:hAnsi="Times New Roman" w:cs="Times New Roman"/>
          <w:sz w:val="28"/>
          <w:szCs w:val="28"/>
        </w:rPr>
        <w:lastRenderedPageBreak/>
        <w:t xml:space="preserve"> Приложение 3. </w:t>
      </w:r>
      <w:r w:rsidR="00A250BD" w:rsidRPr="004A30FF">
        <w:rPr>
          <w:rFonts w:ascii="Times New Roman" w:eastAsia="Times New Roman" w:hAnsi="Times New Roman" w:cs="Times New Roman"/>
          <w:sz w:val="28"/>
        </w:rPr>
        <w:t>Отчет за бюджета за периода</w:t>
      </w:r>
    </w:p>
    <w:p w14:paraId="5FBDF5F9" w14:textId="77777777" w:rsidR="00A250BD" w:rsidRPr="004A30FF" w:rsidRDefault="00A250BD" w:rsidP="00A250BD">
      <w:pPr>
        <w:pStyle w:val="Heading1"/>
        <w:spacing w:after="13"/>
        <w:ind w:right="125"/>
        <w:rPr>
          <w:lang w:val="bg-BG"/>
        </w:rPr>
      </w:pPr>
      <w:r w:rsidRPr="004A30FF">
        <w:rPr>
          <w:lang w:val="bg-BG"/>
        </w:rPr>
        <w:t>Декември 2023</w:t>
      </w:r>
    </w:p>
    <w:p w14:paraId="15923E2E" w14:textId="77777777" w:rsidR="00A250BD" w:rsidRPr="004A30FF" w:rsidRDefault="00A250BD" w:rsidP="00A250BD">
      <w:pPr>
        <w:spacing w:after="105"/>
        <w:ind w:right="136"/>
        <w:jc w:val="center"/>
      </w:pPr>
      <w:r w:rsidRPr="004A30FF">
        <w:rPr>
          <w:rFonts w:ascii="Times New Roman" w:eastAsia="Times New Roman" w:hAnsi="Times New Roman" w:cs="Times New Roman"/>
          <w:sz w:val="20"/>
        </w:rPr>
        <w:t>Област бюджет</w:t>
      </w:r>
    </w:p>
    <w:p w14:paraId="266833B1" w14:textId="77777777" w:rsidR="00A250BD" w:rsidRPr="004A30FF" w:rsidRDefault="00A250BD" w:rsidP="00A250BD">
      <w:pPr>
        <w:spacing w:after="338"/>
      </w:pPr>
      <w:r w:rsidRPr="004A30FF">
        <mc:AlternateContent>
          <mc:Choice Requires="wpg">
            <w:drawing>
              <wp:inline distT="0" distB="0" distL="0" distR="0" wp14:anchorId="4AC0FC24" wp14:editId="6895C05A">
                <wp:extent cx="6638545" cy="9144"/>
                <wp:effectExtent l="0" t="0" r="0" b="0"/>
                <wp:docPr id="1375737404" name="Group 1375737404"/>
                <wp:cNvGraphicFramePr/>
                <a:graphic xmlns:a="http://schemas.openxmlformats.org/drawingml/2006/main">
                  <a:graphicData uri="http://schemas.microsoft.com/office/word/2010/wordprocessingGroup">
                    <wpg:wgp>
                      <wpg:cNvGrpSpPr/>
                      <wpg:grpSpPr>
                        <a:xfrm>
                          <a:off x="0" y="0"/>
                          <a:ext cx="6638545" cy="9144"/>
                          <a:chOff x="0" y="0"/>
                          <a:chExt cx="6638545" cy="9144"/>
                        </a:xfrm>
                      </wpg:grpSpPr>
                      <wps:wsp>
                        <wps:cNvPr id="1759156191" name="Shape 6"/>
                        <wps:cNvSpPr/>
                        <wps:spPr>
                          <a:xfrm>
                            <a:off x="0" y="0"/>
                            <a:ext cx="6638545" cy="0"/>
                          </a:xfrm>
                          <a:custGeom>
                            <a:avLst/>
                            <a:gdLst/>
                            <a:ahLst/>
                            <a:cxnLst/>
                            <a:rect l="0" t="0" r="0" b="0"/>
                            <a:pathLst>
                              <a:path w="6638545">
                                <a:moveTo>
                                  <a:pt x="0" y="0"/>
                                </a:moveTo>
                                <a:lnTo>
                                  <a:pt x="6638545"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A90DC17" id="Group 1375737404" o:spid="_x0000_s1026" style="width:522.7pt;height:.7pt;mso-position-horizontal-relative:char;mso-position-vertical-relative:line" coordsize="6638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">
                <v:shape id="Shape 6" o:spid="_x0000_s1027" style="position:absolute;width:66385;height:0;visibility:visible;mso-wrap-style:square;v-text-anchor:top" coordsize="6638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" path="m,l6638545,e" filled="f" strokeweight=".72pt">
                  <v:stroke endcap="round"/>
                  <v:path arrowok="t" textboxrect="0,0,6638545,0"/>
                </v:shape>
                <w10:anchorlock/>
              </v:group>
            </w:pict>
          </mc:Fallback>
        </mc:AlternateContent>
      </w:r>
    </w:p>
    <w:tbl>
      <w:tblPr>
        <w:tblStyle w:val="TableGrid"/>
        <w:tblW w:w="10438" w:type="dxa"/>
        <w:tblInd w:w="7" w:type="dxa"/>
        <w:tblCellMar>
          <w:top w:w="90" w:type="dxa"/>
          <w:left w:w="24" w:type="dxa"/>
          <w:bottom w:w="33" w:type="dxa"/>
          <w:right w:w="28" w:type="dxa"/>
        </w:tblCellMar>
        <w:tblLook w:val="04A0" w:firstRow="1" w:lastRow="0" w:firstColumn="1" w:lastColumn="0" w:noHBand="0" w:noVBand="1"/>
      </w:tblPr>
      <w:tblGrid>
        <w:gridCol w:w="608"/>
        <w:gridCol w:w="4620"/>
        <w:gridCol w:w="1320"/>
        <w:gridCol w:w="1291"/>
        <w:gridCol w:w="1289"/>
        <w:gridCol w:w="1310"/>
      </w:tblGrid>
      <w:tr w:rsidR="00A250BD" w:rsidRPr="004A30FF" w14:paraId="13AAA47B" w14:textId="77777777" w:rsidTr="00CE0A76">
        <w:trPr>
          <w:trHeight w:val="892"/>
        </w:trPr>
        <w:tc>
          <w:tcPr>
            <w:tcW w:w="5227" w:type="dxa"/>
            <w:gridSpan w:val="2"/>
            <w:tcBorders>
              <w:top w:val="single" w:sz="6" w:space="0" w:color="000000"/>
              <w:left w:val="single" w:sz="6" w:space="0" w:color="000000"/>
              <w:bottom w:val="double" w:sz="6" w:space="0" w:color="000000"/>
              <w:right w:val="nil"/>
            </w:tcBorders>
          </w:tcPr>
          <w:p w14:paraId="0693E3FF" w14:textId="77777777" w:rsidR="00A250BD" w:rsidRPr="004A30FF" w:rsidRDefault="00A250BD" w:rsidP="00CE0A76">
            <w:pPr>
              <w:spacing w:after="73" w:line="312" w:lineRule="auto"/>
              <w:ind w:right="2410" w:firstLine="986"/>
            </w:pPr>
            <w:r w:rsidRPr="004A30FF">
              <w:rPr>
                <w:rFonts w:ascii="Times New Roman" w:eastAsia="Times New Roman" w:hAnsi="Times New Roman" w:cs="Times New Roman"/>
                <w:sz w:val="18"/>
              </w:rPr>
              <w:t>Код: Наименование:</w:t>
            </w:r>
          </w:p>
          <w:p w14:paraId="729E672E" w14:textId="77777777" w:rsidR="00A250BD" w:rsidRPr="004A30FF" w:rsidRDefault="00A250BD" w:rsidP="00CE0A76">
            <w:pPr>
              <w:tabs>
                <w:tab w:val="center" w:pos="2499"/>
              </w:tabs>
            </w:pPr>
            <w:r w:rsidRPr="004A30FF">
              <w:rPr>
                <w:rFonts w:ascii="Times New Roman" w:eastAsia="Times New Roman" w:hAnsi="Times New Roman" w:cs="Times New Roman"/>
                <w:sz w:val="18"/>
              </w:rPr>
              <w:t>Параграф</w:t>
            </w:r>
            <w:r w:rsidRPr="004A30FF">
              <w:rPr>
                <w:rFonts w:ascii="Times New Roman" w:eastAsia="Times New Roman" w:hAnsi="Times New Roman" w:cs="Times New Roman"/>
                <w:sz w:val="18"/>
              </w:rPr>
              <w:tab/>
              <w:t>Наименование на параграфа</w:t>
            </w:r>
          </w:p>
        </w:tc>
        <w:tc>
          <w:tcPr>
            <w:tcW w:w="1320" w:type="dxa"/>
            <w:tcBorders>
              <w:top w:val="single" w:sz="6" w:space="0" w:color="000000"/>
              <w:left w:val="nil"/>
              <w:bottom w:val="double" w:sz="6" w:space="0" w:color="000000"/>
              <w:right w:val="nil"/>
            </w:tcBorders>
            <w:vAlign w:val="bottom"/>
          </w:tcPr>
          <w:p w14:paraId="41E93CBB" w14:textId="77777777" w:rsidR="00A250BD" w:rsidRPr="004A30FF" w:rsidRDefault="00A250BD" w:rsidP="00CE0A76">
            <w:pPr>
              <w:ind w:right="6"/>
              <w:jc w:val="center"/>
            </w:pPr>
            <w:r w:rsidRPr="004A30FF">
              <w:rPr>
                <w:rFonts w:ascii="Times New Roman" w:eastAsia="Times New Roman" w:hAnsi="Times New Roman" w:cs="Times New Roman"/>
                <w:sz w:val="18"/>
              </w:rPr>
              <w:t>Всичко</w:t>
            </w:r>
          </w:p>
        </w:tc>
        <w:tc>
          <w:tcPr>
            <w:tcW w:w="1291" w:type="dxa"/>
            <w:tcBorders>
              <w:top w:val="single" w:sz="6" w:space="0" w:color="000000"/>
              <w:left w:val="nil"/>
              <w:bottom w:val="double" w:sz="6" w:space="0" w:color="000000"/>
              <w:right w:val="nil"/>
            </w:tcBorders>
            <w:vAlign w:val="bottom"/>
          </w:tcPr>
          <w:p w14:paraId="2BCBB6DD" w14:textId="77777777" w:rsidR="00A250BD" w:rsidRPr="004A30FF" w:rsidRDefault="00A250BD" w:rsidP="00CE0A76">
            <w:pPr>
              <w:ind w:left="67"/>
            </w:pPr>
            <w:r w:rsidRPr="004A30FF">
              <w:rPr>
                <w:rFonts w:ascii="Times New Roman" w:eastAsia="Times New Roman" w:hAnsi="Times New Roman" w:cs="Times New Roman"/>
                <w:sz w:val="18"/>
              </w:rPr>
              <w:t>Държ. д-сти</w:t>
            </w:r>
          </w:p>
        </w:tc>
        <w:tc>
          <w:tcPr>
            <w:tcW w:w="1289" w:type="dxa"/>
            <w:tcBorders>
              <w:top w:val="single" w:sz="6" w:space="0" w:color="000000"/>
              <w:left w:val="nil"/>
              <w:bottom w:val="double" w:sz="6" w:space="0" w:color="000000"/>
              <w:right w:val="nil"/>
            </w:tcBorders>
            <w:vAlign w:val="bottom"/>
          </w:tcPr>
          <w:p w14:paraId="41330976" w14:textId="77777777" w:rsidR="00A250BD" w:rsidRPr="004A30FF" w:rsidRDefault="00A250BD" w:rsidP="00CE0A76">
            <w:pPr>
              <w:ind w:left="111"/>
            </w:pPr>
            <w:r w:rsidRPr="004A30FF">
              <w:rPr>
                <w:rFonts w:ascii="Times New Roman" w:eastAsia="Times New Roman" w:hAnsi="Times New Roman" w:cs="Times New Roman"/>
                <w:sz w:val="18"/>
              </w:rPr>
              <w:t>Общ. д-сти</w:t>
            </w:r>
          </w:p>
        </w:tc>
        <w:tc>
          <w:tcPr>
            <w:tcW w:w="1310" w:type="dxa"/>
            <w:tcBorders>
              <w:top w:val="single" w:sz="6" w:space="0" w:color="000000"/>
              <w:left w:val="nil"/>
              <w:bottom w:val="double" w:sz="6" w:space="0" w:color="000000"/>
              <w:right w:val="single" w:sz="6" w:space="0" w:color="000000"/>
            </w:tcBorders>
            <w:vAlign w:val="bottom"/>
          </w:tcPr>
          <w:p w14:paraId="5DFED127" w14:textId="77777777" w:rsidR="00A250BD" w:rsidRPr="004A30FF" w:rsidRDefault="00A250BD" w:rsidP="00CE0A76">
            <w:pPr>
              <w:ind w:left="141"/>
            </w:pPr>
            <w:r w:rsidRPr="004A30FF">
              <w:rPr>
                <w:rFonts w:ascii="Times New Roman" w:eastAsia="Times New Roman" w:hAnsi="Times New Roman" w:cs="Times New Roman"/>
                <w:sz w:val="18"/>
              </w:rPr>
              <w:t>Дофинан.</w:t>
            </w:r>
          </w:p>
        </w:tc>
      </w:tr>
      <w:tr w:rsidR="00A250BD" w:rsidRPr="004A30FF" w14:paraId="587925F5"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vAlign w:val="bottom"/>
          </w:tcPr>
          <w:p w14:paraId="1474B7F6" w14:textId="77777777" w:rsidR="00A250BD" w:rsidRPr="004A30FF" w:rsidRDefault="00A250BD" w:rsidP="00CE0A76">
            <w:pPr>
              <w:ind w:left="29"/>
            </w:pPr>
            <w:r w:rsidRPr="004A30FF">
              <w:rPr>
                <w:rFonts w:ascii="Times New Roman" w:eastAsia="Times New Roman" w:hAnsi="Times New Roman" w:cs="Times New Roman"/>
                <w:sz w:val="18"/>
              </w:rPr>
              <w:t>3600</w:t>
            </w:r>
          </w:p>
        </w:tc>
        <w:tc>
          <w:tcPr>
            <w:tcW w:w="4620" w:type="dxa"/>
            <w:tcBorders>
              <w:top w:val="double" w:sz="6" w:space="0" w:color="000000"/>
              <w:left w:val="single" w:sz="6" w:space="0" w:color="000000"/>
              <w:bottom w:val="double" w:sz="6" w:space="0" w:color="000000"/>
              <w:right w:val="single" w:sz="6" w:space="0" w:color="000000"/>
            </w:tcBorders>
          </w:tcPr>
          <w:p w14:paraId="5CC21176" w14:textId="77777777" w:rsidR="00A250BD" w:rsidRPr="004A30FF" w:rsidRDefault="00A250BD" w:rsidP="00CE0A76"/>
        </w:tc>
        <w:tc>
          <w:tcPr>
            <w:tcW w:w="1320" w:type="dxa"/>
            <w:tcBorders>
              <w:top w:val="double" w:sz="6" w:space="0" w:color="000000"/>
              <w:left w:val="single" w:sz="6" w:space="0" w:color="000000"/>
              <w:bottom w:val="double" w:sz="6" w:space="0" w:color="000000"/>
              <w:right w:val="single" w:sz="6" w:space="0" w:color="000000"/>
            </w:tcBorders>
            <w:vAlign w:val="center"/>
          </w:tcPr>
          <w:p w14:paraId="1C24C572" w14:textId="77777777" w:rsidR="00A250BD" w:rsidRPr="004A30FF" w:rsidRDefault="00A250BD" w:rsidP="00CE0A76">
            <w:pPr>
              <w:jc w:val="right"/>
            </w:pPr>
            <w:r w:rsidRPr="004A30FF">
              <w:rPr>
                <w:rFonts w:ascii="Times New Roman" w:eastAsia="Times New Roman" w:hAnsi="Times New Roman" w:cs="Times New Roman"/>
                <w:sz w:val="14"/>
              </w:rPr>
              <w:t xml:space="preserve">       3 147.39</w:t>
            </w:r>
          </w:p>
        </w:tc>
        <w:tc>
          <w:tcPr>
            <w:tcW w:w="1291" w:type="dxa"/>
            <w:tcBorders>
              <w:top w:val="double" w:sz="6" w:space="0" w:color="000000"/>
              <w:left w:val="single" w:sz="6" w:space="0" w:color="000000"/>
              <w:bottom w:val="double" w:sz="6" w:space="0" w:color="000000"/>
              <w:right w:val="single" w:sz="6" w:space="0" w:color="000000"/>
            </w:tcBorders>
            <w:vAlign w:val="center"/>
          </w:tcPr>
          <w:p w14:paraId="49B75744" w14:textId="77777777" w:rsidR="00A250BD" w:rsidRPr="004A30FF" w:rsidRDefault="00A250BD" w:rsidP="00CE0A76">
            <w:pPr>
              <w:ind w:right="2"/>
              <w:jc w:val="right"/>
            </w:pPr>
            <w:r w:rsidRPr="004A30FF">
              <w:rPr>
                <w:rFonts w:ascii="Times New Roman" w:eastAsia="Times New Roman" w:hAnsi="Times New Roman" w:cs="Times New Roman"/>
                <w:sz w:val="14"/>
              </w:rPr>
              <w:t xml:space="preserve">       3 147.39</w:t>
            </w:r>
          </w:p>
        </w:tc>
        <w:tc>
          <w:tcPr>
            <w:tcW w:w="1289" w:type="dxa"/>
            <w:tcBorders>
              <w:top w:val="double" w:sz="6" w:space="0" w:color="000000"/>
              <w:left w:val="single" w:sz="6" w:space="0" w:color="000000"/>
              <w:bottom w:val="double" w:sz="6" w:space="0" w:color="000000"/>
              <w:right w:val="single" w:sz="6" w:space="0" w:color="000000"/>
            </w:tcBorders>
            <w:vAlign w:val="center"/>
          </w:tcPr>
          <w:p w14:paraId="199BB607" w14:textId="77777777" w:rsidR="00A250BD" w:rsidRPr="004A30FF" w:rsidRDefault="00A250BD"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05A2FAB8" w14:textId="77777777" w:rsidR="00A250BD" w:rsidRPr="004A30FF" w:rsidRDefault="00A250BD" w:rsidP="00CE0A76">
            <w:pPr>
              <w:ind w:right="22"/>
              <w:jc w:val="right"/>
            </w:pPr>
            <w:r w:rsidRPr="004A30FF">
              <w:rPr>
                <w:rFonts w:ascii="Times New Roman" w:eastAsia="Times New Roman" w:hAnsi="Times New Roman" w:cs="Times New Roman"/>
                <w:sz w:val="14"/>
              </w:rPr>
              <w:t xml:space="preserve">           0.00</w:t>
            </w:r>
          </w:p>
        </w:tc>
      </w:tr>
      <w:tr w:rsidR="00A250BD" w:rsidRPr="004A30FF" w14:paraId="22856A24"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tcPr>
          <w:p w14:paraId="3AB1FBED" w14:textId="77777777" w:rsidR="00A250BD" w:rsidRPr="004A30FF" w:rsidRDefault="00A250BD" w:rsidP="00CE0A76">
            <w:pPr>
              <w:ind w:left="43"/>
            </w:pPr>
            <w:r w:rsidRPr="004A30FF">
              <w:rPr>
                <w:rFonts w:ascii="Times New Roman" w:eastAsia="Times New Roman" w:hAnsi="Times New Roman" w:cs="Times New Roman"/>
                <w:sz w:val="16"/>
              </w:rPr>
              <w:t>3619</w:t>
            </w:r>
          </w:p>
        </w:tc>
        <w:tc>
          <w:tcPr>
            <w:tcW w:w="4620" w:type="dxa"/>
            <w:tcBorders>
              <w:top w:val="double" w:sz="6" w:space="0" w:color="000000"/>
              <w:left w:val="single" w:sz="6" w:space="0" w:color="000000"/>
              <w:bottom w:val="double" w:sz="6" w:space="0" w:color="000000"/>
              <w:right w:val="single" w:sz="6" w:space="0" w:color="000000"/>
            </w:tcBorders>
          </w:tcPr>
          <w:p w14:paraId="591A775B" w14:textId="77777777" w:rsidR="00A250BD" w:rsidRPr="004A30FF" w:rsidRDefault="00A250BD" w:rsidP="00CE0A76">
            <w:pPr>
              <w:ind w:left="22"/>
            </w:pPr>
            <w:r w:rsidRPr="004A30FF">
              <w:rPr>
                <w:rFonts w:ascii="Times New Roman" w:eastAsia="Times New Roman" w:hAnsi="Times New Roman" w:cs="Times New Roman"/>
                <w:sz w:val="16"/>
              </w:rPr>
              <w:t>други неданъчни приходи</w:t>
            </w:r>
          </w:p>
        </w:tc>
        <w:tc>
          <w:tcPr>
            <w:tcW w:w="1320" w:type="dxa"/>
            <w:tcBorders>
              <w:top w:val="double" w:sz="6" w:space="0" w:color="000000"/>
              <w:left w:val="single" w:sz="6" w:space="0" w:color="000000"/>
              <w:bottom w:val="double" w:sz="6" w:space="0" w:color="000000"/>
              <w:right w:val="single" w:sz="6" w:space="0" w:color="000000"/>
            </w:tcBorders>
            <w:vAlign w:val="center"/>
          </w:tcPr>
          <w:p w14:paraId="6761CA1A" w14:textId="77777777" w:rsidR="00A250BD" w:rsidRPr="004A30FF" w:rsidRDefault="00A250BD" w:rsidP="00CE0A76">
            <w:pPr>
              <w:jc w:val="right"/>
            </w:pPr>
            <w:r w:rsidRPr="004A30FF">
              <w:rPr>
                <w:rFonts w:ascii="Times New Roman" w:eastAsia="Times New Roman" w:hAnsi="Times New Roman" w:cs="Times New Roman"/>
                <w:sz w:val="14"/>
              </w:rPr>
              <w:t xml:space="preserve">       3 147.39</w:t>
            </w:r>
          </w:p>
        </w:tc>
        <w:tc>
          <w:tcPr>
            <w:tcW w:w="1291" w:type="dxa"/>
            <w:tcBorders>
              <w:top w:val="double" w:sz="6" w:space="0" w:color="000000"/>
              <w:left w:val="single" w:sz="6" w:space="0" w:color="000000"/>
              <w:bottom w:val="double" w:sz="6" w:space="0" w:color="000000"/>
              <w:right w:val="single" w:sz="6" w:space="0" w:color="000000"/>
            </w:tcBorders>
            <w:vAlign w:val="center"/>
          </w:tcPr>
          <w:p w14:paraId="2D9344CD" w14:textId="77777777" w:rsidR="00A250BD" w:rsidRPr="004A30FF" w:rsidRDefault="00A250BD" w:rsidP="00CE0A76">
            <w:pPr>
              <w:ind w:right="2"/>
              <w:jc w:val="right"/>
            </w:pPr>
            <w:r w:rsidRPr="004A30FF">
              <w:rPr>
                <w:rFonts w:ascii="Times New Roman" w:eastAsia="Times New Roman" w:hAnsi="Times New Roman" w:cs="Times New Roman"/>
                <w:sz w:val="14"/>
              </w:rPr>
              <w:t xml:space="preserve">       3 147.39</w:t>
            </w:r>
          </w:p>
        </w:tc>
        <w:tc>
          <w:tcPr>
            <w:tcW w:w="1289" w:type="dxa"/>
            <w:tcBorders>
              <w:top w:val="double" w:sz="6" w:space="0" w:color="000000"/>
              <w:left w:val="single" w:sz="6" w:space="0" w:color="000000"/>
              <w:bottom w:val="double" w:sz="6" w:space="0" w:color="000000"/>
              <w:right w:val="single" w:sz="6" w:space="0" w:color="000000"/>
            </w:tcBorders>
            <w:vAlign w:val="center"/>
          </w:tcPr>
          <w:p w14:paraId="05C341E5" w14:textId="77777777" w:rsidR="00A250BD" w:rsidRPr="004A30FF" w:rsidRDefault="00A250BD"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2EC3A45E" w14:textId="77777777" w:rsidR="00A250BD" w:rsidRPr="004A30FF" w:rsidRDefault="00A250BD" w:rsidP="00CE0A76">
            <w:pPr>
              <w:ind w:right="22"/>
              <w:jc w:val="right"/>
            </w:pPr>
            <w:r w:rsidRPr="004A30FF">
              <w:rPr>
                <w:rFonts w:ascii="Times New Roman" w:eastAsia="Times New Roman" w:hAnsi="Times New Roman" w:cs="Times New Roman"/>
                <w:sz w:val="14"/>
              </w:rPr>
              <w:t xml:space="preserve">           0.00</w:t>
            </w:r>
          </w:p>
        </w:tc>
      </w:tr>
      <w:tr w:rsidR="00A250BD" w:rsidRPr="004A30FF" w14:paraId="3DFF09B1"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vAlign w:val="bottom"/>
          </w:tcPr>
          <w:p w14:paraId="73459F32" w14:textId="77777777" w:rsidR="00A250BD" w:rsidRPr="004A30FF" w:rsidRDefault="00A250BD" w:rsidP="00CE0A76">
            <w:pPr>
              <w:ind w:left="29"/>
            </w:pPr>
            <w:r w:rsidRPr="004A30FF">
              <w:rPr>
                <w:rFonts w:ascii="Times New Roman" w:eastAsia="Times New Roman" w:hAnsi="Times New Roman" w:cs="Times New Roman"/>
                <w:sz w:val="18"/>
              </w:rPr>
              <w:t>4500</w:t>
            </w:r>
          </w:p>
        </w:tc>
        <w:tc>
          <w:tcPr>
            <w:tcW w:w="4620" w:type="dxa"/>
            <w:tcBorders>
              <w:top w:val="double" w:sz="6" w:space="0" w:color="000000"/>
              <w:left w:val="single" w:sz="6" w:space="0" w:color="000000"/>
              <w:bottom w:val="double" w:sz="6" w:space="0" w:color="000000"/>
              <w:right w:val="single" w:sz="6" w:space="0" w:color="000000"/>
            </w:tcBorders>
          </w:tcPr>
          <w:p w14:paraId="50F9433D" w14:textId="77777777" w:rsidR="00A250BD" w:rsidRPr="004A30FF" w:rsidRDefault="00A250BD" w:rsidP="00CE0A76"/>
        </w:tc>
        <w:tc>
          <w:tcPr>
            <w:tcW w:w="1320" w:type="dxa"/>
            <w:tcBorders>
              <w:top w:val="double" w:sz="6" w:space="0" w:color="000000"/>
              <w:left w:val="single" w:sz="6" w:space="0" w:color="000000"/>
              <w:bottom w:val="double" w:sz="6" w:space="0" w:color="000000"/>
              <w:right w:val="single" w:sz="6" w:space="0" w:color="000000"/>
            </w:tcBorders>
            <w:vAlign w:val="center"/>
          </w:tcPr>
          <w:p w14:paraId="05956197" w14:textId="77777777" w:rsidR="00A250BD" w:rsidRPr="004A30FF" w:rsidRDefault="00A250BD" w:rsidP="00CE0A76">
            <w:pPr>
              <w:jc w:val="right"/>
            </w:pPr>
            <w:r w:rsidRPr="004A30FF">
              <w:rPr>
                <w:rFonts w:ascii="Times New Roman" w:eastAsia="Times New Roman" w:hAnsi="Times New Roman" w:cs="Times New Roman"/>
                <w:sz w:val="14"/>
              </w:rPr>
              <w:t xml:space="preserve">         163.80</w:t>
            </w:r>
          </w:p>
        </w:tc>
        <w:tc>
          <w:tcPr>
            <w:tcW w:w="1291" w:type="dxa"/>
            <w:tcBorders>
              <w:top w:val="double" w:sz="6" w:space="0" w:color="000000"/>
              <w:left w:val="single" w:sz="6" w:space="0" w:color="000000"/>
              <w:bottom w:val="double" w:sz="6" w:space="0" w:color="000000"/>
              <w:right w:val="single" w:sz="6" w:space="0" w:color="000000"/>
            </w:tcBorders>
            <w:vAlign w:val="center"/>
          </w:tcPr>
          <w:p w14:paraId="4ECD9CF2" w14:textId="77777777" w:rsidR="00A250BD" w:rsidRPr="004A30FF" w:rsidRDefault="00A250BD" w:rsidP="00CE0A76">
            <w:pPr>
              <w:ind w:right="3"/>
              <w:jc w:val="right"/>
            </w:pPr>
            <w:r w:rsidRPr="004A30FF">
              <w:rPr>
                <w:rFonts w:ascii="Times New Roman" w:eastAsia="Times New Roman" w:hAnsi="Times New Roman" w:cs="Times New Roman"/>
                <w:sz w:val="14"/>
              </w:rPr>
              <w:t xml:space="preserve">         163.80</w:t>
            </w:r>
          </w:p>
        </w:tc>
        <w:tc>
          <w:tcPr>
            <w:tcW w:w="1289" w:type="dxa"/>
            <w:tcBorders>
              <w:top w:val="double" w:sz="6" w:space="0" w:color="000000"/>
              <w:left w:val="single" w:sz="6" w:space="0" w:color="000000"/>
              <w:bottom w:val="double" w:sz="6" w:space="0" w:color="000000"/>
              <w:right w:val="single" w:sz="6" w:space="0" w:color="000000"/>
            </w:tcBorders>
            <w:vAlign w:val="center"/>
          </w:tcPr>
          <w:p w14:paraId="410AC781" w14:textId="77777777" w:rsidR="00A250BD" w:rsidRPr="004A30FF" w:rsidRDefault="00A250BD"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559486AA" w14:textId="77777777" w:rsidR="00A250BD" w:rsidRPr="004A30FF" w:rsidRDefault="00A250BD" w:rsidP="00CE0A76">
            <w:pPr>
              <w:ind w:right="22"/>
              <w:jc w:val="right"/>
            </w:pPr>
            <w:r w:rsidRPr="004A30FF">
              <w:rPr>
                <w:rFonts w:ascii="Times New Roman" w:eastAsia="Times New Roman" w:hAnsi="Times New Roman" w:cs="Times New Roman"/>
                <w:sz w:val="14"/>
              </w:rPr>
              <w:t xml:space="preserve">           0.00</w:t>
            </w:r>
          </w:p>
        </w:tc>
      </w:tr>
      <w:tr w:rsidR="00A250BD" w:rsidRPr="004A30FF" w14:paraId="2363A14D"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tcPr>
          <w:p w14:paraId="7C238E49" w14:textId="77777777" w:rsidR="00A250BD" w:rsidRPr="004A30FF" w:rsidRDefault="00A250BD" w:rsidP="00CE0A76">
            <w:pPr>
              <w:ind w:left="43"/>
            </w:pPr>
            <w:r w:rsidRPr="004A30FF">
              <w:rPr>
                <w:rFonts w:ascii="Times New Roman" w:eastAsia="Times New Roman" w:hAnsi="Times New Roman" w:cs="Times New Roman"/>
                <w:sz w:val="16"/>
              </w:rPr>
              <w:t>4501</w:t>
            </w:r>
          </w:p>
        </w:tc>
        <w:tc>
          <w:tcPr>
            <w:tcW w:w="4620" w:type="dxa"/>
            <w:tcBorders>
              <w:top w:val="double" w:sz="6" w:space="0" w:color="000000"/>
              <w:left w:val="single" w:sz="6" w:space="0" w:color="000000"/>
              <w:bottom w:val="double" w:sz="6" w:space="0" w:color="000000"/>
              <w:right w:val="single" w:sz="6" w:space="0" w:color="000000"/>
            </w:tcBorders>
          </w:tcPr>
          <w:p w14:paraId="7B166F31" w14:textId="77777777" w:rsidR="00A250BD" w:rsidRPr="004A30FF" w:rsidRDefault="00A250BD" w:rsidP="00CE0A76">
            <w:pPr>
              <w:ind w:left="22"/>
            </w:pPr>
            <w:r w:rsidRPr="004A30FF">
              <w:rPr>
                <w:rFonts w:ascii="Times New Roman" w:eastAsia="Times New Roman" w:hAnsi="Times New Roman" w:cs="Times New Roman"/>
                <w:sz w:val="16"/>
              </w:rPr>
              <w:t>текущи дарения, помощи и други безвъзмездно получе</w:t>
            </w:r>
          </w:p>
        </w:tc>
        <w:tc>
          <w:tcPr>
            <w:tcW w:w="1320" w:type="dxa"/>
            <w:tcBorders>
              <w:top w:val="double" w:sz="6" w:space="0" w:color="000000"/>
              <w:left w:val="single" w:sz="6" w:space="0" w:color="000000"/>
              <w:bottom w:val="double" w:sz="6" w:space="0" w:color="000000"/>
              <w:right w:val="single" w:sz="6" w:space="0" w:color="000000"/>
            </w:tcBorders>
            <w:vAlign w:val="center"/>
          </w:tcPr>
          <w:p w14:paraId="26B4A190" w14:textId="77777777" w:rsidR="00A250BD" w:rsidRPr="004A30FF" w:rsidRDefault="00A250BD" w:rsidP="00CE0A76">
            <w:pPr>
              <w:jc w:val="right"/>
            </w:pPr>
            <w:r w:rsidRPr="004A30FF">
              <w:rPr>
                <w:rFonts w:ascii="Times New Roman" w:eastAsia="Times New Roman" w:hAnsi="Times New Roman" w:cs="Times New Roman"/>
                <w:sz w:val="14"/>
              </w:rPr>
              <w:t xml:space="preserve">         163.80</w:t>
            </w:r>
          </w:p>
        </w:tc>
        <w:tc>
          <w:tcPr>
            <w:tcW w:w="1291" w:type="dxa"/>
            <w:tcBorders>
              <w:top w:val="double" w:sz="6" w:space="0" w:color="000000"/>
              <w:left w:val="single" w:sz="6" w:space="0" w:color="000000"/>
              <w:bottom w:val="double" w:sz="6" w:space="0" w:color="000000"/>
              <w:right w:val="single" w:sz="6" w:space="0" w:color="000000"/>
            </w:tcBorders>
            <w:vAlign w:val="center"/>
          </w:tcPr>
          <w:p w14:paraId="7AA6E767" w14:textId="77777777" w:rsidR="00A250BD" w:rsidRPr="004A30FF" w:rsidRDefault="00A250BD" w:rsidP="00CE0A76">
            <w:pPr>
              <w:ind w:right="3"/>
              <w:jc w:val="right"/>
            </w:pPr>
            <w:r w:rsidRPr="004A30FF">
              <w:rPr>
                <w:rFonts w:ascii="Times New Roman" w:eastAsia="Times New Roman" w:hAnsi="Times New Roman" w:cs="Times New Roman"/>
                <w:sz w:val="14"/>
              </w:rPr>
              <w:t xml:space="preserve">         163.80</w:t>
            </w:r>
          </w:p>
        </w:tc>
        <w:tc>
          <w:tcPr>
            <w:tcW w:w="1289" w:type="dxa"/>
            <w:tcBorders>
              <w:top w:val="double" w:sz="6" w:space="0" w:color="000000"/>
              <w:left w:val="single" w:sz="6" w:space="0" w:color="000000"/>
              <w:bottom w:val="double" w:sz="6" w:space="0" w:color="000000"/>
              <w:right w:val="single" w:sz="6" w:space="0" w:color="000000"/>
            </w:tcBorders>
            <w:vAlign w:val="center"/>
          </w:tcPr>
          <w:p w14:paraId="70084F4E" w14:textId="77777777" w:rsidR="00A250BD" w:rsidRPr="004A30FF" w:rsidRDefault="00A250BD"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09D74AF7" w14:textId="77777777" w:rsidR="00A250BD" w:rsidRPr="004A30FF" w:rsidRDefault="00A250BD" w:rsidP="00CE0A76">
            <w:pPr>
              <w:ind w:right="22"/>
              <w:jc w:val="right"/>
            </w:pPr>
            <w:r w:rsidRPr="004A30FF">
              <w:rPr>
                <w:rFonts w:ascii="Times New Roman" w:eastAsia="Times New Roman" w:hAnsi="Times New Roman" w:cs="Times New Roman"/>
                <w:sz w:val="14"/>
              </w:rPr>
              <w:t xml:space="preserve">           0.00</w:t>
            </w:r>
          </w:p>
        </w:tc>
      </w:tr>
      <w:tr w:rsidR="00A250BD" w:rsidRPr="004A30FF" w14:paraId="2DC67757"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vAlign w:val="bottom"/>
          </w:tcPr>
          <w:p w14:paraId="402FC9F5" w14:textId="77777777" w:rsidR="00A250BD" w:rsidRPr="004A30FF" w:rsidRDefault="00A250BD" w:rsidP="00CE0A76">
            <w:pPr>
              <w:ind w:left="29"/>
            </w:pPr>
            <w:r w:rsidRPr="004A30FF">
              <w:rPr>
                <w:rFonts w:ascii="Times New Roman" w:eastAsia="Times New Roman" w:hAnsi="Times New Roman" w:cs="Times New Roman"/>
                <w:sz w:val="18"/>
              </w:rPr>
              <w:t>6100</w:t>
            </w:r>
          </w:p>
        </w:tc>
        <w:tc>
          <w:tcPr>
            <w:tcW w:w="4620" w:type="dxa"/>
            <w:tcBorders>
              <w:top w:val="double" w:sz="6" w:space="0" w:color="000000"/>
              <w:left w:val="single" w:sz="6" w:space="0" w:color="000000"/>
              <w:bottom w:val="double" w:sz="6" w:space="0" w:color="000000"/>
              <w:right w:val="single" w:sz="6" w:space="0" w:color="000000"/>
            </w:tcBorders>
          </w:tcPr>
          <w:p w14:paraId="0463A4AF" w14:textId="77777777" w:rsidR="00A250BD" w:rsidRPr="004A30FF" w:rsidRDefault="00A250BD" w:rsidP="00CE0A76"/>
        </w:tc>
        <w:tc>
          <w:tcPr>
            <w:tcW w:w="1320" w:type="dxa"/>
            <w:tcBorders>
              <w:top w:val="double" w:sz="6" w:space="0" w:color="000000"/>
              <w:left w:val="single" w:sz="6" w:space="0" w:color="000000"/>
              <w:bottom w:val="double" w:sz="6" w:space="0" w:color="000000"/>
              <w:right w:val="single" w:sz="6" w:space="0" w:color="000000"/>
            </w:tcBorders>
            <w:vAlign w:val="center"/>
          </w:tcPr>
          <w:p w14:paraId="7DB17788" w14:textId="77777777" w:rsidR="00A250BD" w:rsidRPr="004A30FF" w:rsidRDefault="00A250BD" w:rsidP="00CE0A76">
            <w:pPr>
              <w:jc w:val="right"/>
            </w:pPr>
            <w:r w:rsidRPr="004A30FF">
              <w:rPr>
                <w:rFonts w:ascii="Times New Roman" w:eastAsia="Times New Roman" w:hAnsi="Times New Roman" w:cs="Times New Roman"/>
                <w:sz w:val="14"/>
              </w:rPr>
              <w:t xml:space="preserve">     651 514.71</w:t>
            </w:r>
          </w:p>
        </w:tc>
        <w:tc>
          <w:tcPr>
            <w:tcW w:w="1291" w:type="dxa"/>
            <w:tcBorders>
              <w:top w:val="double" w:sz="6" w:space="0" w:color="000000"/>
              <w:left w:val="single" w:sz="6" w:space="0" w:color="000000"/>
              <w:bottom w:val="double" w:sz="6" w:space="0" w:color="000000"/>
              <w:right w:val="single" w:sz="6" w:space="0" w:color="000000"/>
            </w:tcBorders>
            <w:vAlign w:val="center"/>
          </w:tcPr>
          <w:p w14:paraId="1C4391D2" w14:textId="77777777" w:rsidR="00A250BD" w:rsidRPr="004A30FF" w:rsidRDefault="00A250BD" w:rsidP="00CE0A76">
            <w:pPr>
              <w:ind w:right="2"/>
              <w:jc w:val="right"/>
            </w:pPr>
            <w:r w:rsidRPr="004A30FF">
              <w:rPr>
                <w:rFonts w:ascii="Times New Roman" w:eastAsia="Times New Roman" w:hAnsi="Times New Roman" w:cs="Times New Roman"/>
                <w:sz w:val="14"/>
              </w:rPr>
              <w:t xml:space="preserve">     651 514.71</w:t>
            </w:r>
          </w:p>
        </w:tc>
        <w:tc>
          <w:tcPr>
            <w:tcW w:w="1289" w:type="dxa"/>
            <w:tcBorders>
              <w:top w:val="double" w:sz="6" w:space="0" w:color="000000"/>
              <w:left w:val="single" w:sz="6" w:space="0" w:color="000000"/>
              <w:bottom w:val="double" w:sz="6" w:space="0" w:color="000000"/>
              <w:right w:val="single" w:sz="6" w:space="0" w:color="000000"/>
            </w:tcBorders>
            <w:vAlign w:val="center"/>
          </w:tcPr>
          <w:p w14:paraId="673DF10A" w14:textId="77777777" w:rsidR="00A250BD" w:rsidRPr="004A30FF" w:rsidRDefault="00A250BD"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4E54FEF9" w14:textId="77777777" w:rsidR="00A250BD" w:rsidRPr="004A30FF" w:rsidRDefault="00A250BD" w:rsidP="00CE0A76">
            <w:pPr>
              <w:ind w:right="22"/>
              <w:jc w:val="right"/>
            </w:pPr>
            <w:r w:rsidRPr="004A30FF">
              <w:rPr>
                <w:rFonts w:ascii="Times New Roman" w:eastAsia="Times New Roman" w:hAnsi="Times New Roman" w:cs="Times New Roman"/>
                <w:sz w:val="14"/>
              </w:rPr>
              <w:t xml:space="preserve">           0.00</w:t>
            </w:r>
          </w:p>
        </w:tc>
      </w:tr>
      <w:tr w:rsidR="00A250BD" w:rsidRPr="004A30FF" w14:paraId="39A0566A"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tcPr>
          <w:p w14:paraId="31DD1920" w14:textId="77777777" w:rsidR="00A250BD" w:rsidRPr="004A30FF" w:rsidRDefault="00A250BD" w:rsidP="00CE0A76">
            <w:pPr>
              <w:ind w:left="43"/>
            </w:pPr>
            <w:r w:rsidRPr="004A30FF">
              <w:rPr>
                <w:rFonts w:ascii="Times New Roman" w:eastAsia="Times New Roman" w:hAnsi="Times New Roman" w:cs="Times New Roman"/>
                <w:sz w:val="16"/>
              </w:rPr>
              <w:t>6109</w:t>
            </w:r>
          </w:p>
        </w:tc>
        <w:tc>
          <w:tcPr>
            <w:tcW w:w="4620" w:type="dxa"/>
            <w:tcBorders>
              <w:top w:val="double" w:sz="6" w:space="0" w:color="000000"/>
              <w:left w:val="single" w:sz="6" w:space="0" w:color="000000"/>
              <w:bottom w:val="double" w:sz="6" w:space="0" w:color="000000"/>
              <w:right w:val="single" w:sz="6" w:space="0" w:color="000000"/>
            </w:tcBorders>
          </w:tcPr>
          <w:p w14:paraId="0A19B646" w14:textId="77777777" w:rsidR="00A250BD" w:rsidRPr="004A30FF" w:rsidRDefault="00A250BD" w:rsidP="00CE0A76">
            <w:pPr>
              <w:ind w:left="22"/>
            </w:pPr>
            <w:r w:rsidRPr="004A30FF">
              <w:rPr>
                <w:rFonts w:ascii="Times New Roman" w:eastAsia="Times New Roman" w:hAnsi="Times New Roman" w:cs="Times New Roman"/>
                <w:sz w:val="16"/>
              </w:rPr>
              <w:t>вътрешни трансфери в системата на първостепенния р</w:t>
            </w:r>
          </w:p>
        </w:tc>
        <w:tc>
          <w:tcPr>
            <w:tcW w:w="1320" w:type="dxa"/>
            <w:tcBorders>
              <w:top w:val="double" w:sz="6" w:space="0" w:color="000000"/>
              <w:left w:val="single" w:sz="6" w:space="0" w:color="000000"/>
              <w:bottom w:val="double" w:sz="6" w:space="0" w:color="000000"/>
              <w:right w:val="single" w:sz="6" w:space="0" w:color="000000"/>
            </w:tcBorders>
            <w:vAlign w:val="center"/>
          </w:tcPr>
          <w:p w14:paraId="17724026" w14:textId="77777777" w:rsidR="00A250BD" w:rsidRPr="004A30FF" w:rsidRDefault="00A250BD" w:rsidP="00CE0A76">
            <w:pPr>
              <w:jc w:val="right"/>
            </w:pPr>
            <w:r w:rsidRPr="004A30FF">
              <w:rPr>
                <w:rFonts w:ascii="Times New Roman" w:eastAsia="Times New Roman" w:hAnsi="Times New Roman" w:cs="Times New Roman"/>
                <w:sz w:val="14"/>
              </w:rPr>
              <w:t xml:space="preserve">     651 514.71</w:t>
            </w:r>
          </w:p>
        </w:tc>
        <w:tc>
          <w:tcPr>
            <w:tcW w:w="1291" w:type="dxa"/>
            <w:tcBorders>
              <w:top w:val="double" w:sz="6" w:space="0" w:color="000000"/>
              <w:left w:val="single" w:sz="6" w:space="0" w:color="000000"/>
              <w:bottom w:val="double" w:sz="6" w:space="0" w:color="000000"/>
              <w:right w:val="single" w:sz="6" w:space="0" w:color="000000"/>
            </w:tcBorders>
            <w:vAlign w:val="center"/>
          </w:tcPr>
          <w:p w14:paraId="1513A56F" w14:textId="77777777" w:rsidR="00A250BD" w:rsidRPr="004A30FF" w:rsidRDefault="00A250BD" w:rsidP="00CE0A76">
            <w:pPr>
              <w:ind w:right="2"/>
              <w:jc w:val="right"/>
            </w:pPr>
            <w:r w:rsidRPr="004A30FF">
              <w:rPr>
                <w:rFonts w:ascii="Times New Roman" w:eastAsia="Times New Roman" w:hAnsi="Times New Roman" w:cs="Times New Roman"/>
                <w:sz w:val="14"/>
              </w:rPr>
              <w:t xml:space="preserve">     651 514.71</w:t>
            </w:r>
          </w:p>
        </w:tc>
        <w:tc>
          <w:tcPr>
            <w:tcW w:w="1289" w:type="dxa"/>
            <w:tcBorders>
              <w:top w:val="double" w:sz="6" w:space="0" w:color="000000"/>
              <w:left w:val="single" w:sz="6" w:space="0" w:color="000000"/>
              <w:bottom w:val="double" w:sz="6" w:space="0" w:color="000000"/>
              <w:right w:val="single" w:sz="6" w:space="0" w:color="000000"/>
            </w:tcBorders>
            <w:vAlign w:val="center"/>
          </w:tcPr>
          <w:p w14:paraId="2DBE4C92" w14:textId="77777777" w:rsidR="00A250BD" w:rsidRPr="004A30FF" w:rsidRDefault="00A250BD"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788C4E2F" w14:textId="77777777" w:rsidR="00A250BD" w:rsidRPr="004A30FF" w:rsidRDefault="00A250BD" w:rsidP="00CE0A76">
            <w:pPr>
              <w:ind w:right="22"/>
              <w:jc w:val="right"/>
            </w:pPr>
            <w:r w:rsidRPr="004A30FF">
              <w:rPr>
                <w:rFonts w:ascii="Times New Roman" w:eastAsia="Times New Roman" w:hAnsi="Times New Roman" w:cs="Times New Roman"/>
                <w:sz w:val="14"/>
              </w:rPr>
              <w:t xml:space="preserve">           0.00</w:t>
            </w:r>
          </w:p>
        </w:tc>
      </w:tr>
      <w:tr w:rsidR="00A250BD" w:rsidRPr="004A30FF" w14:paraId="0A31EFE5"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vAlign w:val="bottom"/>
          </w:tcPr>
          <w:p w14:paraId="571FE55E" w14:textId="77777777" w:rsidR="00A250BD" w:rsidRPr="004A30FF" w:rsidRDefault="00A250BD" w:rsidP="00CE0A76">
            <w:pPr>
              <w:ind w:left="29"/>
            </w:pPr>
            <w:r w:rsidRPr="004A30FF">
              <w:rPr>
                <w:rFonts w:ascii="Times New Roman" w:eastAsia="Times New Roman" w:hAnsi="Times New Roman" w:cs="Times New Roman"/>
                <w:sz w:val="18"/>
              </w:rPr>
              <w:t>6400</w:t>
            </w:r>
          </w:p>
        </w:tc>
        <w:tc>
          <w:tcPr>
            <w:tcW w:w="4620" w:type="dxa"/>
            <w:tcBorders>
              <w:top w:val="double" w:sz="6" w:space="0" w:color="000000"/>
              <w:left w:val="single" w:sz="6" w:space="0" w:color="000000"/>
              <w:bottom w:val="double" w:sz="6" w:space="0" w:color="000000"/>
              <w:right w:val="single" w:sz="6" w:space="0" w:color="000000"/>
            </w:tcBorders>
          </w:tcPr>
          <w:p w14:paraId="7DAF1E36" w14:textId="77777777" w:rsidR="00A250BD" w:rsidRPr="004A30FF" w:rsidRDefault="00A250BD" w:rsidP="00CE0A76"/>
        </w:tc>
        <w:tc>
          <w:tcPr>
            <w:tcW w:w="1320" w:type="dxa"/>
            <w:tcBorders>
              <w:top w:val="double" w:sz="6" w:space="0" w:color="000000"/>
              <w:left w:val="single" w:sz="6" w:space="0" w:color="000000"/>
              <w:bottom w:val="double" w:sz="6" w:space="0" w:color="000000"/>
              <w:right w:val="single" w:sz="6" w:space="0" w:color="000000"/>
            </w:tcBorders>
            <w:vAlign w:val="center"/>
          </w:tcPr>
          <w:p w14:paraId="4227005E" w14:textId="77777777" w:rsidR="00A250BD" w:rsidRPr="004A30FF" w:rsidRDefault="00A250BD" w:rsidP="00CE0A76">
            <w:pPr>
              <w:jc w:val="right"/>
            </w:pPr>
            <w:r w:rsidRPr="004A30FF">
              <w:rPr>
                <w:rFonts w:ascii="Times New Roman" w:eastAsia="Times New Roman" w:hAnsi="Times New Roman" w:cs="Times New Roman"/>
                <w:sz w:val="14"/>
              </w:rPr>
              <w:t xml:space="preserve">       7 500.00</w:t>
            </w:r>
          </w:p>
        </w:tc>
        <w:tc>
          <w:tcPr>
            <w:tcW w:w="1291" w:type="dxa"/>
            <w:tcBorders>
              <w:top w:val="double" w:sz="6" w:space="0" w:color="000000"/>
              <w:left w:val="single" w:sz="6" w:space="0" w:color="000000"/>
              <w:bottom w:val="double" w:sz="6" w:space="0" w:color="000000"/>
              <w:right w:val="single" w:sz="6" w:space="0" w:color="000000"/>
            </w:tcBorders>
            <w:vAlign w:val="center"/>
          </w:tcPr>
          <w:p w14:paraId="6D45EEA3" w14:textId="77777777" w:rsidR="00A250BD" w:rsidRPr="004A30FF" w:rsidRDefault="00A250BD" w:rsidP="00CE0A76">
            <w:pPr>
              <w:ind w:right="2"/>
              <w:jc w:val="right"/>
            </w:pPr>
            <w:r w:rsidRPr="004A30FF">
              <w:rPr>
                <w:rFonts w:ascii="Times New Roman" w:eastAsia="Times New Roman" w:hAnsi="Times New Roman" w:cs="Times New Roman"/>
                <w:sz w:val="14"/>
              </w:rPr>
              <w:t xml:space="preserve">       7 500.00</w:t>
            </w:r>
          </w:p>
        </w:tc>
        <w:tc>
          <w:tcPr>
            <w:tcW w:w="1289" w:type="dxa"/>
            <w:tcBorders>
              <w:top w:val="double" w:sz="6" w:space="0" w:color="000000"/>
              <w:left w:val="single" w:sz="6" w:space="0" w:color="000000"/>
              <w:bottom w:val="double" w:sz="6" w:space="0" w:color="000000"/>
              <w:right w:val="single" w:sz="6" w:space="0" w:color="000000"/>
            </w:tcBorders>
            <w:vAlign w:val="center"/>
          </w:tcPr>
          <w:p w14:paraId="2EE0D0E9" w14:textId="77777777" w:rsidR="00A250BD" w:rsidRPr="004A30FF" w:rsidRDefault="00A250BD"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01BB517E" w14:textId="77777777" w:rsidR="00A250BD" w:rsidRPr="004A30FF" w:rsidRDefault="00A250BD" w:rsidP="00CE0A76">
            <w:pPr>
              <w:ind w:right="22"/>
              <w:jc w:val="right"/>
            </w:pPr>
            <w:r w:rsidRPr="004A30FF">
              <w:rPr>
                <w:rFonts w:ascii="Times New Roman" w:eastAsia="Times New Roman" w:hAnsi="Times New Roman" w:cs="Times New Roman"/>
                <w:sz w:val="14"/>
              </w:rPr>
              <w:t xml:space="preserve">           0.00</w:t>
            </w:r>
          </w:p>
        </w:tc>
      </w:tr>
      <w:tr w:rsidR="00A250BD" w:rsidRPr="004A30FF" w14:paraId="2FD4C1B9"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tcPr>
          <w:p w14:paraId="38CCE29C" w14:textId="77777777" w:rsidR="00A250BD" w:rsidRPr="004A30FF" w:rsidRDefault="00A250BD" w:rsidP="00CE0A76">
            <w:pPr>
              <w:ind w:left="43"/>
            </w:pPr>
            <w:r w:rsidRPr="004A30FF">
              <w:rPr>
                <w:rFonts w:ascii="Times New Roman" w:eastAsia="Times New Roman" w:hAnsi="Times New Roman" w:cs="Times New Roman"/>
                <w:sz w:val="16"/>
              </w:rPr>
              <w:t>6401</w:t>
            </w:r>
          </w:p>
        </w:tc>
        <w:tc>
          <w:tcPr>
            <w:tcW w:w="4620" w:type="dxa"/>
            <w:tcBorders>
              <w:top w:val="double" w:sz="6" w:space="0" w:color="000000"/>
              <w:left w:val="single" w:sz="6" w:space="0" w:color="000000"/>
              <w:bottom w:val="double" w:sz="6" w:space="0" w:color="000000"/>
              <w:right w:val="single" w:sz="6" w:space="0" w:color="000000"/>
            </w:tcBorders>
          </w:tcPr>
          <w:p w14:paraId="271E50E8" w14:textId="77777777" w:rsidR="00A250BD" w:rsidRPr="004A30FF" w:rsidRDefault="00A250BD" w:rsidP="00CE0A76">
            <w:pPr>
              <w:ind w:left="22"/>
            </w:pPr>
            <w:r w:rsidRPr="004A30FF">
              <w:rPr>
                <w:rFonts w:ascii="Times New Roman" w:eastAsia="Times New Roman" w:hAnsi="Times New Roman" w:cs="Times New Roman"/>
                <w:sz w:val="16"/>
              </w:rPr>
              <w:t>- получени трансфери (+)</w:t>
            </w:r>
          </w:p>
        </w:tc>
        <w:tc>
          <w:tcPr>
            <w:tcW w:w="1320" w:type="dxa"/>
            <w:tcBorders>
              <w:top w:val="double" w:sz="6" w:space="0" w:color="000000"/>
              <w:left w:val="single" w:sz="6" w:space="0" w:color="000000"/>
              <w:bottom w:val="double" w:sz="6" w:space="0" w:color="000000"/>
              <w:right w:val="single" w:sz="6" w:space="0" w:color="000000"/>
            </w:tcBorders>
            <w:vAlign w:val="center"/>
          </w:tcPr>
          <w:p w14:paraId="5112A175" w14:textId="77777777" w:rsidR="00A250BD" w:rsidRPr="004A30FF" w:rsidRDefault="00A250BD" w:rsidP="00CE0A76">
            <w:pPr>
              <w:jc w:val="right"/>
            </w:pPr>
            <w:r w:rsidRPr="004A30FF">
              <w:rPr>
                <w:rFonts w:ascii="Times New Roman" w:eastAsia="Times New Roman" w:hAnsi="Times New Roman" w:cs="Times New Roman"/>
                <w:sz w:val="14"/>
              </w:rPr>
              <w:t xml:space="preserve">       7 500.00</w:t>
            </w:r>
          </w:p>
        </w:tc>
        <w:tc>
          <w:tcPr>
            <w:tcW w:w="1291" w:type="dxa"/>
            <w:tcBorders>
              <w:top w:val="double" w:sz="6" w:space="0" w:color="000000"/>
              <w:left w:val="single" w:sz="6" w:space="0" w:color="000000"/>
              <w:bottom w:val="double" w:sz="6" w:space="0" w:color="000000"/>
              <w:right w:val="single" w:sz="6" w:space="0" w:color="000000"/>
            </w:tcBorders>
            <w:vAlign w:val="center"/>
          </w:tcPr>
          <w:p w14:paraId="52C8E2CA" w14:textId="77777777" w:rsidR="00A250BD" w:rsidRPr="004A30FF" w:rsidRDefault="00A250BD" w:rsidP="00CE0A76">
            <w:pPr>
              <w:ind w:right="2"/>
              <w:jc w:val="right"/>
            </w:pPr>
            <w:r w:rsidRPr="004A30FF">
              <w:rPr>
                <w:rFonts w:ascii="Times New Roman" w:eastAsia="Times New Roman" w:hAnsi="Times New Roman" w:cs="Times New Roman"/>
                <w:sz w:val="14"/>
              </w:rPr>
              <w:t xml:space="preserve">       7 500.00</w:t>
            </w:r>
          </w:p>
        </w:tc>
        <w:tc>
          <w:tcPr>
            <w:tcW w:w="1289" w:type="dxa"/>
            <w:tcBorders>
              <w:top w:val="double" w:sz="6" w:space="0" w:color="000000"/>
              <w:left w:val="single" w:sz="6" w:space="0" w:color="000000"/>
              <w:bottom w:val="double" w:sz="6" w:space="0" w:color="000000"/>
              <w:right w:val="single" w:sz="6" w:space="0" w:color="000000"/>
            </w:tcBorders>
            <w:vAlign w:val="center"/>
          </w:tcPr>
          <w:p w14:paraId="7FB13EB0" w14:textId="77777777" w:rsidR="00A250BD" w:rsidRPr="004A30FF" w:rsidRDefault="00A250BD"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4DBEE7F0" w14:textId="77777777" w:rsidR="00A250BD" w:rsidRPr="004A30FF" w:rsidRDefault="00A250BD" w:rsidP="00CE0A76">
            <w:pPr>
              <w:ind w:right="22"/>
              <w:jc w:val="right"/>
            </w:pPr>
            <w:r w:rsidRPr="004A30FF">
              <w:rPr>
                <w:rFonts w:ascii="Times New Roman" w:eastAsia="Times New Roman" w:hAnsi="Times New Roman" w:cs="Times New Roman"/>
                <w:sz w:val="14"/>
              </w:rPr>
              <w:t xml:space="preserve">           0.00</w:t>
            </w:r>
          </w:p>
        </w:tc>
      </w:tr>
      <w:tr w:rsidR="00A250BD" w:rsidRPr="004A30FF" w14:paraId="57911936" w14:textId="77777777" w:rsidTr="00CE0A76">
        <w:trPr>
          <w:trHeight w:val="374"/>
        </w:trPr>
        <w:tc>
          <w:tcPr>
            <w:tcW w:w="607" w:type="dxa"/>
            <w:tcBorders>
              <w:top w:val="double" w:sz="6" w:space="0" w:color="000000"/>
              <w:left w:val="single" w:sz="6" w:space="0" w:color="000000"/>
              <w:bottom w:val="double" w:sz="6" w:space="0" w:color="000000"/>
              <w:right w:val="single" w:sz="6" w:space="0" w:color="000000"/>
            </w:tcBorders>
            <w:vAlign w:val="bottom"/>
          </w:tcPr>
          <w:p w14:paraId="1018A064" w14:textId="77777777" w:rsidR="00A250BD" w:rsidRPr="004A30FF" w:rsidRDefault="00A250BD" w:rsidP="00CE0A76">
            <w:pPr>
              <w:ind w:left="29"/>
            </w:pPr>
            <w:r w:rsidRPr="004A30FF">
              <w:rPr>
                <w:rFonts w:ascii="Times New Roman" w:eastAsia="Times New Roman" w:hAnsi="Times New Roman" w:cs="Times New Roman"/>
                <w:sz w:val="18"/>
              </w:rPr>
              <w:t>8800</w:t>
            </w:r>
          </w:p>
        </w:tc>
        <w:tc>
          <w:tcPr>
            <w:tcW w:w="4620" w:type="dxa"/>
            <w:tcBorders>
              <w:top w:val="double" w:sz="6" w:space="0" w:color="000000"/>
              <w:left w:val="single" w:sz="6" w:space="0" w:color="000000"/>
              <w:bottom w:val="double" w:sz="6" w:space="0" w:color="000000"/>
              <w:right w:val="single" w:sz="6" w:space="0" w:color="000000"/>
            </w:tcBorders>
          </w:tcPr>
          <w:p w14:paraId="1BCDC910" w14:textId="77777777" w:rsidR="00A250BD" w:rsidRPr="004A30FF" w:rsidRDefault="00A250BD" w:rsidP="00CE0A76"/>
        </w:tc>
        <w:tc>
          <w:tcPr>
            <w:tcW w:w="1320" w:type="dxa"/>
            <w:tcBorders>
              <w:top w:val="double" w:sz="6" w:space="0" w:color="000000"/>
              <w:left w:val="single" w:sz="6" w:space="0" w:color="000000"/>
              <w:bottom w:val="double" w:sz="6" w:space="0" w:color="000000"/>
              <w:right w:val="single" w:sz="6" w:space="0" w:color="000000"/>
            </w:tcBorders>
            <w:vAlign w:val="center"/>
          </w:tcPr>
          <w:p w14:paraId="40A72F26" w14:textId="77777777" w:rsidR="00A250BD" w:rsidRPr="004A30FF" w:rsidRDefault="00A250BD" w:rsidP="00CE0A76">
            <w:pPr>
              <w:jc w:val="right"/>
            </w:pPr>
            <w:r w:rsidRPr="004A30FF">
              <w:rPr>
                <w:rFonts w:ascii="Times New Roman" w:eastAsia="Times New Roman" w:hAnsi="Times New Roman" w:cs="Times New Roman"/>
                <w:sz w:val="14"/>
              </w:rPr>
              <w:t xml:space="preserve">           0.00</w:t>
            </w:r>
          </w:p>
        </w:tc>
        <w:tc>
          <w:tcPr>
            <w:tcW w:w="1291" w:type="dxa"/>
            <w:tcBorders>
              <w:top w:val="double" w:sz="6" w:space="0" w:color="000000"/>
              <w:left w:val="single" w:sz="6" w:space="0" w:color="000000"/>
              <w:bottom w:val="double" w:sz="6" w:space="0" w:color="000000"/>
              <w:right w:val="single" w:sz="6" w:space="0" w:color="000000"/>
            </w:tcBorders>
            <w:vAlign w:val="center"/>
          </w:tcPr>
          <w:p w14:paraId="68C89174" w14:textId="77777777" w:rsidR="00A250BD" w:rsidRPr="004A30FF" w:rsidRDefault="00A250BD" w:rsidP="00CE0A76">
            <w:pPr>
              <w:ind w:right="3"/>
              <w:jc w:val="right"/>
            </w:pPr>
            <w:r w:rsidRPr="004A30FF">
              <w:rPr>
                <w:rFonts w:ascii="Times New Roman" w:eastAsia="Times New Roman" w:hAnsi="Times New Roman" w:cs="Times New Roman"/>
                <w:sz w:val="14"/>
              </w:rPr>
              <w:t xml:space="preserve">           0.00</w:t>
            </w:r>
          </w:p>
        </w:tc>
        <w:tc>
          <w:tcPr>
            <w:tcW w:w="1289" w:type="dxa"/>
            <w:tcBorders>
              <w:top w:val="double" w:sz="6" w:space="0" w:color="000000"/>
              <w:left w:val="single" w:sz="6" w:space="0" w:color="000000"/>
              <w:bottom w:val="double" w:sz="6" w:space="0" w:color="000000"/>
              <w:right w:val="single" w:sz="6" w:space="0" w:color="000000"/>
            </w:tcBorders>
            <w:vAlign w:val="center"/>
          </w:tcPr>
          <w:p w14:paraId="7181085F" w14:textId="77777777" w:rsidR="00A250BD" w:rsidRPr="004A30FF" w:rsidRDefault="00A250BD"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double" w:sz="6" w:space="0" w:color="000000"/>
              <w:right w:val="single" w:sz="6" w:space="0" w:color="000000"/>
            </w:tcBorders>
            <w:vAlign w:val="center"/>
          </w:tcPr>
          <w:p w14:paraId="7E2B20AA" w14:textId="77777777" w:rsidR="00A250BD" w:rsidRPr="004A30FF" w:rsidRDefault="00A250BD" w:rsidP="00CE0A76">
            <w:pPr>
              <w:ind w:right="22"/>
              <w:jc w:val="right"/>
            </w:pPr>
            <w:r w:rsidRPr="004A30FF">
              <w:rPr>
                <w:rFonts w:ascii="Times New Roman" w:eastAsia="Times New Roman" w:hAnsi="Times New Roman" w:cs="Times New Roman"/>
                <w:sz w:val="14"/>
              </w:rPr>
              <w:t xml:space="preserve">           0.00</w:t>
            </w:r>
          </w:p>
        </w:tc>
      </w:tr>
      <w:tr w:rsidR="00A250BD" w:rsidRPr="004A30FF" w14:paraId="3D523782" w14:textId="77777777" w:rsidTr="00CE0A76">
        <w:trPr>
          <w:trHeight w:val="366"/>
        </w:trPr>
        <w:tc>
          <w:tcPr>
            <w:tcW w:w="607" w:type="dxa"/>
            <w:tcBorders>
              <w:top w:val="double" w:sz="6" w:space="0" w:color="000000"/>
              <w:left w:val="single" w:sz="6" w:space="0" w:color="000000"/>
              <w:bottom w:val="single" w:sz="6" w:space="0" w:color="000000"/>
              <w:right w:val="single" w:sz="6" w:space="0" w:color="000000"/>
            </w:tcBorders>
            <w:vAlign w:val="bottom"/>
          </w:tcPr>
          <w:p w14:paraId="74810568" w14:textId="77777777" w:rsidR="00A250BD" w:rsidRPr="004A30FF" w:rsidRDefault="00A250BD" w:rsidP="00CE0A76">
            <w:pPr>
              <w:ind w:left="29"/>
            </w:pPr>
            <w:r w:rsidRPr="004A30FF">
              <w:rPr>
                <w:rFonts w:ascii="Times New Roman" w:eastAsia="Times New Roman" w:hAnsi="Times New Roman" w:cs="Times New Roman"/>
                <w:sz w:val="18"/>
              </w:rPr>
              <w:t>9500</w:t>
            </w:r>
          </w:p>
        </w:tc>
        <w:tc>
          <w:tcPr>
            <w:tcW w:w="4620" w:type="dxa"/>
            <w:tcBorders>
              <w:top w:val="double" w:sz="6" w:space="0" w:color="000000"/>
              <w:left w:val="single" w:sz="6" w:space="0" w:color="000000"/>
              <w:bottom w:val="single" w:sz="6" w:space="0" w:color="000000"/>
              <w:right w:val="single" w:sz="6" w:space="0" w:color="000000"/>
            </w:tcBorders>
          </w:tcPr>
          <w:p w14:paraId="14B949FD" w14:textId="77777777" w:rsidR="00A250BD" w:rsidRPr="004A30FF" w:rsidRDefault="00A250BD" w:rsidP="00CE0A76"/>
        </w:tc>
        <w:tc>
          <w:tcPr>
            <w:tcW w:w="1320" w:type="dxa"/>
            <w:tcBorders>
              <w:top w:val="double" w:sz="6" w:space="0" w:color="000000"/>
              <w:left w:val="single" w:sz="6" w:space="0" w:color="000000"/>
              <w:bottom w:val="single" w:sz="6" w:space="0" w:color="000000"/>
              <w:right w:val="single" w:sz="6" w:space="0" w:color="000000"/>
            </w:tcBorders>
            <w:vAlign w:val="center"/>
          </w:tcPr>
          <w:p w14:paraId="23583545" w14:textId="77777777" w:rsidR="00A250BD" w:rsidRPr="004A30FF" w:rsidRDefault="00A250BD" w:rsidP="00CE0A76">
            <w:pPr>
              <w:jc w:val="right"/>
            </w:pPr>
            <w:r w:rsidRPr="004A30FF">
              <w:rPr>
                <w:rFonts w:ascii="Times New Roman" w:eastAsia="Times New Roman" w:hAnsi="Times New Roman" w:cs="Times New Roman"/>
                <w:sz w:val="14"/>
              </w:rPr>
              <w:t xml:space="preserve">           0.00</w:t>
            </w:r>
          </w:p>
        </w:tc>
        <w:tc>
          <w:tcPr>
            <w:tcW w:w="1291" w:type="dxa"/>
            <w:tcBorders>
              <w:top w:val="double" w:sz="6" w:space="0" w:color="000000"/>
              <w:left w:val="single" w:sz="6" w:space="0" w:color="000000"/>
              <w:bottom w:val="single" w:sz="6" w:space="0" w:color="000000"/>
              <w:right w:val="single" w:sz="6" w:space="0" w:color="000000"/>
            </w:tcBorders>
            <w:vAlign w:val="center"/>
          </w:tcPr>
          <w:p w14:paraId="0A00610D" w14:textId="77777777" w:rsidR="00A250BD" w:rsidRPr="004A30FF" w:rsidRDefault="00A250BD" w:rsidP="00CE0A76">
            <w:pPr>
              <w:ind w:right="3"/>
              <w:jc w:val="right"/>
            </w:pPr>
            <w:r w:rsidRPr="004A30FF">
              <w:rPr>
                <w:rFonts w:ascii="Times New Roman" w:eastAsia="Times New Roman" w:hAnsi="Times New Roman" w:cs="Times New Roman"/>
                <w:sz w:val="14"/>
              </w:rPr>
              <w:t xml:space="preserve">           0.00</w:t>
            </w:r>
          </w:p>
        </w:tc>
        <w:tc>
          <w:tcPr>
            <w:tcW w:w="1289" w:type="dxa"/>
            <w:tcBorders>
              <w:top w:val="double" w:sz="6" w:space="0" w:color="000000"/>
              <w:left w:val="single" w:sz="6" w:space="0" w:color="000000"/>
              <w:bottom w:val="single" w:sz="6" w:space="0" w:color="000000"/>
              <w:right w:val="single" w:sz="6" w:space="0" w:color="000000"/>
            </w:tcBorders>
            <w:vAlign w:val="center"/>
          </w:tcPr>
          <w:p w14:paraId="4B97E00D" w14:textId="77777777" w:rsidR="00A250BD" w:rsidRPr="004A30FF" w:rsidRDefault="00A250BD" w:rsidP="00CE0A76">
            <w:pPr>
              <w:jc w:val="right"/>
            </w:pPr>
            <w:r w:rsidRPr="004A30FF">
              <w:rPr>
                <w:rFonts w:ascii="Times New Roman" w:eastAsia="Times New Roman" w:hAnsi="Times New Roman" w:cs="Times New Roman"/>
                <w:sz w:val="14"/>
              </w:rPr>
              <w:t xml:space="preserve">           0.00</w:t>
            </w:r>
          </w:p>
        </w:tc>
        <w:tc>
          <w:tcPr>
            <w:tcW w:w="1310" w:type="dxa"/>
            <w:tcBorders>
              <w:top w:val="double" w:sz="6" w:space="0" w:color="000000"/>
              <w:left w:val="single" w:sz="6" w:space="0" w:color="000000"/>
              <w:bottom w:val="single" w:sz="6" w:space="0" w:color="000000"/>
              <w:right w:val="single" w:sz="6" w:space="0" w:color="000000"/>
            </w:tcBorders>
            <w:vAlign w:val="center"/>
          </w:tcPr>
          <w:p w14:paraId="1C7B32A2" w14:textId="77777777" w:rsidR="00A250BD" w:rsidRPr="004A30FF" w:rsidRDefault="00A250BD" w:rsidP="00CE0A76">
            <w:pPr>
              <w:ind w:right="22"/>
              <w:jc w:val="right"/>
            </w:pPr>
            <w:r w:rsidRPr="004A30FF">
              <w:rPr>
                <w:rFonts w:ascii="Times New Roman" w:eastAsia="Times New Roman" w:hAnsi="Times New Roman" w:cs="Times New Roman"/>
                <w:sz w:val="14"/>
              </w:rPr>
              <w:t xml:space="preserve">           0.00</w:t>
            </w:r>
          </w:p>
        </w:tc>
      </w:tr>
    </w:tbl>
    <w:p w14:paraId="16285B15" w14:textId="77777777" w:rsidR="00A250BD" w:rsidRPr="004A30FF" w:rsidRDefault="00A250BD" w:rsidP="00A250BD">
      <w:pPr>
        <w:tabs>
          <w:tab w:val="center" w:pos="3294"/>
          <w:tab w:val="center" w:pos="6084"/>
          <w:tab w:val="center" w:pos="7373"/>
          <w:tab w:val="center" w:pos="8760"/>
          <w:tab w:val="center" w:pos="10049"/>
        </w:tabs>
        <w:spacing w:after="243" w:line="265" w:lineRule="auto"/>
      </w:pPr>
      <w:r w:rsidRPr="004A30FF">
        <w:tab/>
      </w:r>
      <w:r w:rsidRPr="004A30FF">
        <w:rPr>
          <w:rFonts w:ascii="Times New Roman" w:eastAsia="Times New Roman" w:hAnsi="Times New Roman" w:cs="Times New Roman"/>
          <w:sz w:val="18"/>
        </w:rPr>
        <w:t>Всичко за дейността:</w:t>
      </w:r>
      <w:r w:rsidRPr="004A30FF">
        <w:rPr>
          <w:rFonts w:ascii="Times New Roman" w:eastAsia="Times New Roman" w:hAnsi="Times New Roman" w:cs="Times New Roman"/>
          <w:sz w:val="18"/>
        </w:rPr>
        <w:tab/>
      </w:r>
      <w:r w:rsidRPr="004A30FF">
        <w:rPr>
          <w:rFonts w:ascii="Times New Roman" w:eastAsia="Times New Roman" w:hAnsi="Times New Roman" w:cs="Times New Roman"/>
          <w:sz w:val="14"/>
        </w:rPr>
        <w:t xml:space="preserve">     662 325.90</w:t>
      </w:r>
      <w:r w:rsidRPr="004A30FF">
        <w:rPr>
          <w:rFonts w:ascii="Times New Roman" w:eastAsia="Times New Roman" w:hAnsi="Times New Roman" w:cs="Times New Roman"/>
          <w:sz w:val="14"/>
        </w:rPr>
        <w:tab/>
        <w:t xml:space="preserve">     662 325.90</w:t>
      </w:r>
      <w:r w:rsidRPr="004A30FF">
        <w:rPr>
          <w:rFonts w:ascii="Times New Roman" w:eastAsia="Times New Roman" w:hAnsi="Times New Roman" w:cs="Times New Roman"/>
          <w:sz w:val="14"/>
        </w:rPr>
        <w:tab/>
        <w:t xml:space="preserve">           0.00</w:t>
      </w:r>
      <w:r w:rsidRPr="004A30FF">
        <w:rPr>
          <w:rFonts w:ascii="Times New Roman" w:eastAsia="Times New Roman" w:hAnsi="Times New Roman" w:cs="Times New Roman"/>
          <w:sz w:val="14"/>
        </w:rPr>
        <w:tab/>
        <w:t xml:space="preserve">           0.00</w:t>
      </w:r>
    </w:p>
    <w:p w14:paraId="253AFAD7" w14:textId="77777777" w:rsidR="00A250BD" w:rsidRPr="004A30FF" w:rsidRDefault="00A250BD" w:rsidP="00A250BD">
      <w:pPr>
        <w:tabs>
          <w:tab w:val="center" w:pos="3901"/>
          <w:tab w:val="center" w:pos="6084"/>
          <w:tab w:val="center" w:pos="7373"/>
          <w:tab w:val="center" w:pos="8760"/>
          <w:tab w:val="center" w:pos="10049"/>
        </w:tabs>
        <w:spacing w:after="19" w:line="265" w:lineRule="auto"/>
      </w:pPr>
      <w:r w:rsidRPr="004A30FF">
        <w:tab/>
      </w:r>
      <w:r w:rsidRPr="004A30FF">
        <w:rPr>
          <w:rFonts w:ascii="Times New Roman" w:eastAsia="Times New Roman" w:hAnsi="Times New Roman" w:cs="Times New Roman"/>
          <w:sz w:val="18"/>
        </w:rPr>
        <w:t>Всичко за обекта</w:t>
      </w:r>
      <w:r w:rsidRPr="004A30FF">
        <w:rPr>
          <w:rFonts w:ascii="Times New Roman" w:eastAsia="Times New Roman" w:hAnsi="Times New Roman" w:cs="Times New Roman"/>
          <w:sz w:val="18"/>
        </w:rPr>
        <w:tab/>
      </w:r>
      <w:r w:rsidRPr="004A30FF">
        <w:rPr>
          <w:rFonts w:ascii="Times New Roman" w:eastAsia="Times New Roman" w:hAnsi="Times New Roman" w:cs="Times New Roman"/>
          <w:sz w:val="14"/>
        </w:rPr>
        <w:t xml:space="preserve">     662 325.90</w:t>
      </w:r>
      <w:r w:rsidRPr="004A30FF">
        <w:rPr>
          <w:rFonts w:ascii="Times New Roman" w:eastAsia="Times New Roman" w:hAnsi="Times New Roman" w:cs="Times New Roman"/>
          <w:sz w:val="14"/>
        </w:rPr>
        <w:tab/>
        <w:t xml:space="preserve">     662 325.90</w:t>
      </w:r>
      <w:r w:rsidRPr="004A30FF">
        <w:rPr>
          <w:rFonts w:ascii="Times New Roman" w:eastAsia="Times New Roman" w:hAnsi="Times New Roman" w:cs="Times New Roman"/>
          <w:sz w:val="14"/>
        </w:rPr>
        <w:tab/>
        <w:t xml:space="preserve">           0.00</w:t>
      </w:r>
      <w:r w:rsidRPr="004A30FF">
        <w:rPr>
          <w:rFonts w:ascii="Times New Roman" w:eastAsia="Times New Roman" w:hAnsi="Times New Roman" w:cs="Times New Roman"/>
          <w:sz w:val="14"/>
        </w:rPr>
        <w:tab/>
        <w:t xml:space="preserve">           0.00</w:t>
      </w:r>
    </w:p>
    <w:p w14:paraId="62B5C526" w14:textId="77777777" w:rsidR="00A250BD" w:rsidRPr="004A30FF" w:rsidRDefault="00A250BD" w:rsidP="00A250BD">
      <w:pPr>
        <w:spacing w:after="86"/>
      </w:pPr>
      <w:r w:rsidRPr="004A30FF">
        <mc:AlternateContent>
          <mc:Choice Requires="wpg">
            <w:drawing>
              <wp:inline distT="0" distB="0" distL="0" distR="0" wp14:anchorId="54011D47" wp14:editId="49CD0BCD">
                <wp:extent cx="6638545" cy="9144"/>
                <wp:effectExtent l="0" t="0" r="0" b="0"/>
                <wp:docPr id="409083354" name="Group 409083354"/>
                <wp:cNvGraphicFramePr/>
                <a:graphic xmlns:a="http://schemas.openxmlformats.org/drawingml/2006/main">
                  <a:graphicData uri="http://schemas.microsoft.com/office/word/2010/wordprocessingGroup">
                    <wpg:wgp>
                      <wpg:cNvGrpSpPr/>
                      <wpg:grpSpPr>
                        <a:xfrm>
                          <a:off x="0" y="0"/>
                          <a:ext cx="6638545" cy="9144"/>
                          <a:chOff x="0" y="0"/>
                          <a:chExt cx="6638545" cy="9144"/>
                        </a:xfrm>
                      </wpg:grpSpPr>
                      <wps:wsp>
                        <wps:cNvPr id="880315966" name="Shape 139"/>
                        <wps:cNvSpPr/>
                        <wps:spPr>
                          <a:xfrm>
                            <a:off x="0" y="0"/>
                            <a:ext cx="6638545" cy="0"/>
                          </a:xfrm>
                          <a:custGeom>
                            <a:avLst/>
                            <a:gdLst/>
                            <a:ahLst/>
                            <a:cxnLst/>
                            <a:rect l="0" t="0" r="0" b="0"/>
                            <a:pathLst>
                              <a:path w="6638545">
                                <a:moveTo>
                                  <a:pt x="0" y="0"/>
                                </a:moveTo>
                                <a:lnTo>
                                  <a:pt x="6638545"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D225FC8" id="Group 409083354" o:spid="_x0000_s1026" style="width:522.7pt;height:.7pt;mso-position-horizontal-relative:char;mso-position-vertical-relative:line" coordsize="6638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">
                <v:shape id="Shape 139" o:spid="_x0000_s1027" style="position:absolute;width:66385;height:0;visibility:visible;mso-wrap-style:square;v-text-anchor:top" coordsize="6638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" path="m,l6638545,e" filled="f" strokeweight=".72pt">
                  <v:stroke endcap="round"/>
                  <v:path arrowok="t" textboxrect="0,0,6638545,0"/>
                </v:shape>
                <w10:anchorlock/>
              </v:group>
            </w:pict>
          </mc:Fallback>
        </mc:AlternateContent>
      </w:r>
    </w:p>
    <w:p w14:paraId="4FCA51ED" w14:textId="16B58CDB" w:rsidR="00875C00" w:rsidRPr="004A30FF" w:rsidRDefault="00A250BD" w:rsidP="00C15187">
      <w:pPr>
        <w:tabs>
          <w:tab w:val="center" w:pos="4774"/>
          <w:tab w:val="center" w:pos="6084"/>
          <w:tab w:val="center" w:pos="7373"/>
          <w:tab w:val="center" w:pos="8760"/>
          <w:tab w:val="center" w:pos="10049"/>
        </w:tabs>
        <w:spacing w:after="656" w:line="265" w:lineRule="auto"/>
      </w:pPr>
      <w:r w:rsidRPr="004A30FF">
        <w:tab/>
      </w:r>
      <w:r w:rsidRPr="004A30FF">
        <w:rPr>
          <w:rFonts w:ascii="Times New Roman" w:eastAsia="Times New Roman" w:hAnsi="Times New Roman" w:cs="Times New Roman"/>
          <w:sz w:val="18"/>
        </w:rPr>
        <w:t>Всичко</w:t>
      </w:r>
      <w:r w:rsidRPr="004A30FF">
        <w:rPr>
          <w:rFonts w:ascii="Times New Roman" w:eastAsia="Times New Roman" w:hAnsi="Times New Roman" w:cs="Times New Roman"/>
          <w:sz w:val="18"/>
        </w:rPr>
        <w:tab/>
      </w:r>
      <w:r w:rsidRPr="004A30FF">
        <w:rPr>
          <w:rFonts w:ascii="Times New Roman" w:eastAsia="Times New Roman" w:hAnsi="Times New Roman" w:cs="Times New Roman"/>
          <w:sz w:val="14"/>
        </w:rPr>
        <w:t xml:space="preserve">     662 325.90</w:t>
      </w:r>
      <w:r w:rsidRPr="004A30FF">
        <w:rPr>
          <w:rFonts w:ascii="Times New Roman" w:eastAsia="Times New Roman" w:hAnsi="Times New Roman" w:cs="Times New Roman"/>
          <w:sz w:val="14"/>
        </w:rPr>
        <w:tab/>
        <w:t xml:space="preserve">     662 325.90</w:t>
      </w:r>
      <w:r w:rsidRPr="004A30FF">
        <w:rPr>
          <w:rFonts w:ascii="Times New Roman" w:eastAsia="Times New Roman" w:hAnsi="Times New Roman" w:cs="Times New Roman"/>
          <w:sz w:val="14"/>
        </w:rPr>
        <w:tab/>
        <w:t xml:space="preserve">           0.00</w:t>
      </w:r>
      <w:r w:rsidRPr="004A30FF">
        <w:rPr>
          <w:rFonts w:ascii="Times New Roman" w:eastAsia="Times New Roman" w:hAnsi="Times New Roman" w:cs="Times New Roman"/>
          <w:sz w:val="14"/>
        </w:rPr>
        <w:tab/>
        <w:t xml:space="preserve">           0.00</w:t>
      </w:r>
    </w:p>
    <w:p w14:paraId="500A25B6" w14:textId="77777777" w:rsidR="00ED5A98" w:rsidRDefault="00ED5A98">
      <w:pPr>
        <w:rPr>
          <w:rFonts w:ascii="Times New Roman" w:hAnsi="Times New Roman" w:cs="Times New Roman"/>
          <w:b/>
          <w:bCs/>
          <w:sz w:val="24"/>
          <w:szCs w:val="24"/>
        </w:rPr>
      </w:pPr>
      <w:r w:rsidRPr="004A30FF">
        <w:rPr>
          <w:rFonts w:ascii="Times New Roman" w:hAnsi="Times New Roman" w:cs="Times New Roman"/>
          <w:b/>
          <w:bCs/>
          <w:sz w:val="24"/>
          <w:szCs w:val="24"/>
        </w:rPr>
        <w:br w:type="page"/>
      </w:r>
    </w:p>
    <w:sectPr w:rsidR="00ED5A98">
      <w:headerReference w:type="even" r:id="rId17"/>
      <w:footerReference w:type="even" r:id="rId18"/>
      <w:footerReference w:type="defaul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9A9B7" w14:textId="77777777" w:rsidR="003E59BF" w:rsidRPr="004A30FF" w:rsidRDefault="003E59BF" w:rsidP="00462FE6">
      <w:pPr>
        <w:spacing w:after="0" w:line="240" w:lineRule="auto"/>
      </w:pPr>
      <w:r w:rsidRPr="004A30FF">
        <w:separator/>
      </w:r>
    </w:p>
  </w:endnote>
  <w:endnote w:type="continuationSeparator" w:id="0">
    <w:p w14:paraId="13133EA9" w14:textId="77777777" w:rsidR="003E59BF" w:rsidRPr="004A30FF" w:rsidRDefault="003E59BF" w:rsidP="00462FE6">
      <w:pPr>
        <w:spacing w:after="0" w:line="240" w:lineRule="auto"/>
      </w:pPr>
      <w:r w:rsidRPr="004A30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8AEF" w14:textId="77777777" w:rsidR="008F2652" w:rsidRPr="004A30FF" w:rsidRDefault="008F2652">
    <w:pPr>
      <w:tabs>
        <w:tab w:val="center" w:pos="9790"/>
      </w:tabs>
      <w:spacing w:after="87"/>
    </w:pPr>
    <w:r w:rsidRPr="004A30FF">
      <w:rPr>
        <w:rFonts w:ascii="Times New Roman" w:eastAsia="Times New Roman" w:hAnsi="Times New Roman" w:cs="Times New Roman"/>
        <w:sz w:val="16"/>
      </w:rPr>
      <w:t>Стр.</w:t>
    </w:r>
    <w:r w:rsidRPr="004A30FF">
      <w:fldChar w:fldCharType="begin"/>
    </w:r>
    <w:r w:rsidRPr="004A30FF">
      <w:instrText xml:space="preserve"> PAGE   \* MERGEFORMAT </w:instrText>
    </w:r>
    <w:r w:rsidRPr="004A30FF">
      <w:fldChar w:fldCharType="separate"/>
    </w:r>
    <w:r w:rsidRPr="004A30FF">
      <w:rPr>
        <w:rFonts w:ascii="Times New Roman" w:eastAsia="Times New Roman" w:hAnsi="Times New Roman" w:cs="Times New Roman"/>
        <w:sz w:val="16"/>
      </w:rPr>
      <w:t>1</w:t>
    </w:r>
    <w:r w:rsidRPr="004A30FF">
      <w:rPr>
        <w:rFonts w:ascii="Times New Roman" w:eastAsia="Times New Roman" w:hAnsi="Times New Roman" w:cs="Times New Roman"/>
        <w:sz w:val="16"/>
      </w:rPr>
      <w:fldChar w:fldCharType="end"/>
    </w:r>
    <w:r w:rsidRPr="004A30FF">
      <w:rPr>
        <w:rFonts w:ascii="Times New Roman" w:eastAsia="Times New Roman" w:hAnsi="Times New Roman" w:cs="Times New Roman"/>
        <w:sz w:val="16"/>
      </w:rPr>
      <w:t xml:space="preserve"> </w:t>
    </w:r>
    <w:r w:rsidRPr="004A30FF">
      <w:rPr>
        <w:rFonts w:ascii="Times New Roman" w:eastAsia="Times New Roman" w:hAnsi="Times New Roman" w:cs="Times New Roman"/>
        <w:sz w:val="16"/>
      </w:rPr>
      <w:t xml:space="preserve">от </w:t>
    </w:r>
    <w:fldSimple w:instr=" NUMPAGES   \* MERGEFORMAT ">
      <w:r w:rsidRPr="004A30FF">
        <w:rPr>
          <w:rFonts w:ascii="Times New Roman" w:eastAsia="Times New Roman" w:hAnsi="Times New Roman" w:cs="Times New Roman"/>
          <w:sz w:val="16"/>
        </w:rPr>
        <w:t>15</w:t>
      </w:r>
    </w:fldSimple>
    <w:r w:rsidRPr="004A30FF">
      <w:rPr>
        <w:rFonts w:ascii="Times New Roman" w:eastAsia="Times New Roman" w:hAnsi="Times New Roman" w:cs="Times New Roman"/>
        <w:sz w:val="16"/>
      </w:rPr>
      <w:tab/>
      <w:t>30/09/2025</w:t>
    </w:r>
  </w:p>
  <w:p w14:paraId="2C74C313" w14:textId="77777777" w:rsidR="008F2652" w:rsidRPr="004A30FF" w:rsidRDefault="008F2652">
    <w:pPr>
      <w:spacing w:after="10"/>
      <w:ind w:left="149"/>
    </w:pPr>
    <w:r w:rsidRPr="004A30FF">
      <w:rPr>
        <w:rFonts w:ascii="Times New Roman" w:eastAsia="Times New Roman" w:hAnsi="Times New Roman" w:cs="Times New Roman"/>
        <w:sz w:val="16"/>
      </w:rPr>
      <w:t>Този документ е издаден от облачна система Bcoms 2001 ® на КомСи 54 - Васил Зашев и с-ци ООД, гр. София, ул. Фредерик Жолио</w:t>
    </w:r>
  </w:p>
  <w:p w14:paraId="166C77FC" w14:textId="77777777" w:rsidR="008F2652" w:rsidRPr="004A30FF" w:rsidRDefault="008F2652">
    <w:pPr>
      <w:spacing w:after="0"/>
      <w:ind w:left="149"/>
    </w:pPr>
    <w:r w:rsidRPr="004A30FF">
      <w:rPr>
        <w:rFonts w:ascii="Times New Roman" w:eastAsia="Times New Roman" w:hAnsi="Times New Roman" w:cs="Times New Roman"/>
        <w:sz w:val="16"/>
      </w:rPr>
      <w:t>Кюри №2А, ет. 2, ап. 2, 3 и 4, тел.02/943 70 60 www.comsy54.com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569486"/>
      <w:docPartObj>
        <w:docPartGallery w:val="Page Numbers (Bottom of Page)"/>
        <w:docPartUnique/>
      </w:docPartObj>
    </w:sdtPr>
    <w:sdtContent>
      <w:p w14:paraId="7845A3C9" w14:textId="1450BAA6" w:rsidR="00BE7BFB" w:rsidRPr="004A30FF" w:rsidRDefault="00BE7BFB">
        <w:pPr>
          <w:pStyle w:val="Footer"/>
          <w:jc w:val="right"/>
        </w:pPr>
        <w:r w:rsidRPr="004A30FF">
          <w:fldChar w:fldCharType="begin"/>
        </w:r>
        <w:r w:rsidRPr="004A30FF">
          <w:instrText xml:space="preserve"> PAGE   \* MERGEFORMAT </w:instrText>
        </w:r>
        <w:r w:rsidRPr="004A30FF">
          <w:fldChar w:fldCharType="separate"/>
        </w:r>
        <w:r w:rsidRPr="004A30FF">
          <w:t>2</w:t>
        </w:r>
        <w:r w:rsidRPr="004A30FF">
          <w:fldChar w:fldCharType="end"/>
        </w:r>
      </w:p>
    </w:sdtContent>
  </w:sdt>
  <w:p w14:paraId="5E34D270" w14:textId="0D2D942A" w:rsidR="008F2652" w:rsidRPr="004A30FF" w:rsidRDefault="008F2652">
    <w:pPr>
      <w:spacing w:after="0"/>
      <w:ind w:left="14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1E67" w14:textId="77777777" w:rsidR="008F2652" w:rsidRPr="004A30FF" w:rsidRDefault="008F2652">
    <w:pPr>
      <w:tabs>
        <w:tab w:val="center" w:pos="9790"/>
      </w:tabs>
      <w:spacing w:after="87"/>
    </w:pPr>
    <w:r w:rsidRPr="004A30FF">
      <w:rPr>
        <w:rFonts w:ascii="Times New Roman" w:eastAsia="Times New Roman" w:hAnsi="Times New Roman" w:cs="Times New Roman"/>
        <w:sz w:val="16"/>
      </w:rPr>
      <w:t>Стр.</w:t>
    </w:r>
    <w:r w:rsidRPr="004A30FF">
      <w:fldChar w:fldCharType="begin"/>
    </w:r>
    <w:r w:rsidRPr="004A30FF">
      <w:instrText xml:space="preserve"> PAGE   \* MERGEFORMAT </w:instrText>
    </w:r>
    <w:r w:rsidRPr="004A30FF">
      <w:fldChar w:fldCharType="separate"/>
    </w:r>
    <w:r w:rsidRPr="004A30FF">
      <w:rPr>
        <w:rFonts w:ascii="Times New Roman" w:eastAsia="Times New Roman" w:hAnsi="Times New Roman" w:cs="Times New Roman"/>
        <w:sz w:val="16"/>
      </w:rPr>
      <w:t>1</w:t>
    </w:r>
    <w:r w:rsidRPr="004A30FF">
      <w:rPr>
        <w:rFonts w:ascii="Times New Roman" w:eastAsia="Times New Roman" w:hAnsi="Times New Roman" w:cs="Times New Roman"/>
        <w:sz w:val="16"/>
      </w:rPr>
      <w:fldChar w:fldCharType="end"/>
    </w:r>
    <w:r w:rsidRPr="004A30FF">
      <w:rPr>
        <w:rFonts w:ascii="Times New Roman" w:eastAsia="Times New Roman" w:hAnsi="Times New Roman" w:cs="Times New Roman"/>
        <w:sz w:val="16"/>
      </w:rPr>
      <w:t xml:space="preserve"> от </w:t>
    </w:r>
    <w:fldSimple w:instr=" NUMPAGES   \* MERGEFORMAT ">
      <w:r w:rsidRPr="004A30FF">
        <w:rPr>
          <w:rFonts w:ascii="Times New Roman" w:eastAsia="Times New Roman" w:hAnsi="Times New Roman" w:cs="Times New Roman"/>
          <w:sz w:val="16"/>
        </w:rPr>
        <w:t>15</w:t>
      </w:r>
    </w:fldSimple>
    <w:r w:rsidRPr="004A30FF">
      <w:rPr>
        <w:rFonts w:ascii="Times New Roman" w:eastAsia="Times New Roman" w:hAnsi="Times New Roman" w:cs="Times New Roman"/>
        <w:sz w:val="16"/>
      </w:rPr>
      <w:tab/>
      <w:t>30/09/2025</w:t>
    </w:r>
  </w:p>
  <w:p w14:paraId="371B4271" w14:textId="77777777" w:rsidR="008F2652" w:rsidRPr="004A30FF" w:rsidRDefault="008F2652">
    <w:pPr>
      <w:spacing w:after="10"/>
      <w:ind w:left="149"/>
    </w:pPr>
    <w:r w:rsidRPr="004A30FF">
      <w:rPr>
        <w:rFonts w:ascii="Times New Roman" w:eastAsia="Times New Roman" w:hAnsi="Times New Roman" w:cs="Times New Roman"/>
        <w:sz w:val="16"/>
      </w:rPr>
      <w:t>Този документ е издаден от облачна система Bcoms 2001 ® на КомСи 54 - Васил Зашев и с-ци ООД, гр. София, ул. Фредерик Жолио</w:t>
    </w:r>
  </w:p>
  <w:p w14:paraId="2BD0A79E" w14:textId="77777777" w:rsidR="008F2652" w:rsidRPr="004A30FF" w:rsidRDefault="008F2652">
    <w:pPr>
      <w:spacing w:after="0"/>
      <w:ind w:left="149"/>
    </w:pPr>
    <w:r w:rsidRPr="004A30FF">
      <w:rPr>
        <w:rFonts w:ascii="Times New Roman" w:eastAsia="Times New Roman" w:hAnsi="Times New Roman" w:cs="Times New Roman"/>
        <w:sz w:val="16"/>
      </w:rPr>
      <w:t>Кюри №2А, ет. 2, ап. 2, 3 и 4, тел.02/943 70 60 www.comsy54.com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B5E1E" w14:textId="77777777" w:rsidR="003E59BF" w:rsidRPr="004A30FF" w:rsidRDefault="003E59BF" w:rsidP="00462FE6">
      <w:pPr>
        <w:spacing w:after="0" w:line="240" w:lineRule="auto"/>
      </w:pPr>
      <w:r w:rsidRPr="004A30FF">
        <w:separator/>
      </w:r>
    </w:p>
  </w:footnote>
  <w:footnote w:type="continuationSeparator" w:id="0">
    <w:p w14:paraId="743469D0" w14:textId="77777777" w:rsidR="003E59BF" w:rsidRPr="004A30FF" w:rsidRDefault="003E59BF" w:rsidP="00462FE6">
      <w:pPr>
        <w:spacing w:after="0" w:line="240" w:lineRule="auto"/>
      </w:pPr>
      <w:r w:rsidRPr="004A30FF">
        <w:continuationSeparator/>
      </w:r>
    </w:p>
  </w:footnote>
  <w:footnote w:id="1">
    <w:p w14:paraId="5629CA50" w14:textId="56F4BB21" w:rsidR="00F224C1" w:rsidRPr="004A30FF" w:rsidRDefault="00F224C1">
      <w:pPr>
        <w:pStyle w:val="FootnoteText"/>
      </w:pPr>
      <w:r w:rsidRPr="004A30FF">
        <w:rPr>
          <w:rStyle w:val="FootnoteReference"/>
        </w:rPr>
        <w:footnoteRef/>
      </w:r>
      <w:r w:rsidRPr="004A30FF">
        <w:t xml:space="preserve"> Ималова, Д. Теоретични и практико-приложни аспекти на счетоводната политика на предприятията в публичния сектор.2012. Свищщов: Академично издателство „Д/. Ценов“, с. 12.</w:t>
      </w:r>
    </w:p>
  </w:footnote>
  <w:footnote w:id="2">
    <w:p w14:paraId="1211799E" w14:textId="48592B3E" w:rsidR="00F224C1" w:rsidRPr="004A30FF" w:rsidRDefault="00F224C1">
      <w:pPr>
        <w:pStyle w:val="FootnoteText"/>
      </w:pPr>
      <w:r w:rsidRPr="004A30FF">
        <w:rPr>
          <w:rStyle w:val="FootnoteReference"/>
        </w:rPr>
        <w:footnoteRef/>
      </w:r>
      <w:r w:rsidRPr="004A30FF">
        <w:t xml:space="preserve"> </w:t>
      </w:r>
      <w:r w:rsidRPr="004A30FF">
        <w:t xml:space="preserve">Статев, </w:t>
      </w:r>
      <w:r w:rsidRPr="004A30FF">
        <w:t>С., Пиримова, В., Ралева, Ст. и Илиев, П. Икономика и публичен сектор. София, УНСС, УИ „Стопанство”, 2007, с. 352.</w:t>
      </w:r>
    </w:p>
  </w:footnote>
  <w:footnote w:id="3">
    <w:p w14:paraId="6B3D4D57" w14:textId="2630E489" w:rsidR="00F224C1" w:rsidRPr="004A30FF" w:rsidRDefault="00F224C1">
      <w:pPr>
        <w:pStyle w:val="FootnoteText"/>
      </w:pPr>
      <w:r w:rsidRPr="004A30FF">
        <w:rPr>
          <w:rStyle w:val="FootnoteReference"/>
        </w:rPr>
        <w:footnoteRef/>
      </w:r>
      <w:r w:rsidRPr="004A30FF">
        <w:t xml:space="preserve"> </w:t>
      </w:r>
      <w:r w:rsidRPr="004A30FF">
        <w:t xml:space="preserve">Brown </w:t>
      </w:r>
      <w:r w:rsidRPr="004A30FF">
        <w:t>C., Jackson, P. Public sector economics, 4-th Blackwell, български вариант под общата редакция на Георги Манлиев, София, 1998, с. 600.</w:t>
      </w:r>
    </w:p>
  </w:footnote>
  <w:footnote w:id="4">
    <w:p w14:paraId="2E0AED12" w14:textId="77777777" w:rsidR="00FC2138" w:rsidRPr="004A30FF" w:rsidRDefault="00FC2138" w:rsidP="00FC2138">
      <w:pPr>
        <w:pStyle w:val="FootnoteText"/>
      </w:pPr>
      <w:r w:rsidRPr="004A30FF">
        <w:rPr>
          <w:rStyle w:val="FootnoteReference"/>
        </w:rPr>
        <w:footnoteRef/>
      </w:r>
      <w:r w:rsidRPr="004A30FF">
        <w:t xml:space="preserve"> </w:t>
      </w:r>
      <w:r w:rsidRPr="004A30FF">
        <w:t xml:space="preserve">Фесчиян </w:t>
      </w:r>
      <w:r w:rsidRPr="004A30FF">
        <w:t>Д., Необходимост и перспективи в стандартизацията на счетоводството в публичния сектор, ИДЕС, бр.2/2015. https://www.ides.bg/media/1261/02-2015-daniela-feschian.pdf</w:t>
      </w:r>
    </w:p>
    <w:p w14:paraId="7B0812D5" w14:textId="743593FE" w:rsidR="00FC2138" w:rsidRPr="004A30FF" w:rsidRDefault="00FC2138">
      <w:pPr>
        <w:pStyle w:val="FootnoteText"/>
      </w:pPr>
    </w:p>
  </w:footnote>
  <w:footnote w:id="5">
    <w:p w14:paraId="08E87ABF" w14:textId="167E3A90" w:rsidR="00F224C1" w:rsidRPr="004A30FF" w:rsidRDefault="00F224C1">
      <w:pPr>
        <w:pStyle w:val="FootnoteText"/>
      </w:pPr>
      <w:r w:rsidRPr="004A30FF">
        <w:rPr>
          <w:rStyle w:val="FootnoteReference"/>
        </w:rPr>
        <w:footnoteRef/>
      </w:r>
      <w:r w:rsidRPr="004A30FF">
        <w:t xml:space="preserve"> </w:t>
      </w:r>
      <w:r w:rsidRPr="004A30FF">
        <w:t xml:space="preserve">Димитров, </w:t>
      </w:r>
      <w:r w:rsidRPr="004A30FF">
        <w:t>М. и Симеонова, Р. Теория на счетоводството. Второ допълнено и актуализирано издание, Свищов, АИ „Ценов”, 2012, с. 13.</w:t>
      </w:r>
    </w:p>
  </w:footnote>
  <w:footnote w:id="6">
    <w:p w14:paraId="1E01131C" w14:textId="26E58DD0" w:rsidR="0067228E" w:rsidRPr="004A30FF" w:rsidRDefault="0067228E">
      <w:pPr>
        <w:pStyle w:val="FootnoteText"/>
      </w:pPr>
      <w:r w:rsidRPr="004A30FF">
        <w:rPr>
          <w:rStyle w:val="FootnoteReference"/>
        </w:rPr>
        <w:footnoteRef/>
      </w:r>
      <w:r w:rsidRPr="004A30FF">
        <w:t xml:space="preserve"> </w:t>
      </w:r>
      <w:r w:rsidRPr="004A30FF">
        <w:t xml:space="preserve">Душанов, </w:t>
      </w:r>
      <w:r w:rsidRPr="004A30FF">
        <w:t>Ив. Обща теория на счетоводството. Четвърто основно преработено и допълнено издание, Ромина, 2008, с. 25.</w:t>
      </w:r>
    </w:p>
  </w:footnote>
  <w:footnote w:id="7">
    <w:p w14:paraId="0B9CCC72" w14:textId="4901E3A6" w:rsidR="0067228E" w:rsidRPr="004A30FF" w:rsidRDefault="0067228E">
      <w:pPr>
        <w:pStyle w:val="FootnoteText"/>
      </w:pPr>
      <w:r w:rsidRPr="004A30FF">
        <w:rPr>
          <w:rStyle w:val="FootnoteReference"/>
        </w:rPr>
        <w:footnoteRef/>
      </w:r>
      <w:r w:rsidRPr="004A30FF">
        <w:t xml:space="preserve"> </w:t>
      </w:r>
      <w:r w:rsidRPr="004A30FF">
        <w:t xml:space="preserve">Душанов, </w:t>
      </w:r>
      <w:r w:rsidRPr="004A30FF">
        <w:t>Ив. Обща теория на счетоводството. Четвърто основно преработено и допълнено издание, Ромина, 2008, с. 25.</w:t>
      </w:r>
    </w:p>
  </w:footnote>
  <w:footnote w:id="8">
    <w:p w14:paraId="5ABAB6AD" w14:textId="000CEA00" w:rsidR="0067228E" w:rsidRPr="004A30FF" w:rsidRDefault="0067228E">
      <w:pPr>
        <w:pStyle w:val="FootnoteText"/>
      </w:pPr>
      <w:r w:rsidRPr="004A30FF">
        <w:rPr>
          <w:rStyle w:val="FootnoteReference"/>
        </w:rPr>
        <w:footnoteRef/>
      </w:r>
      <w:r w:rsidRPr="004A30FF">
        <w:t xml:space="preserve"> </w:t>
      </w:r>
      <w:r w:rsidRPr="004A30FF">
        <w:t xml:space="preserve">Ималова, </w:t>
      </w:r>
      <w:r w:rsidRPr="004A30FF">
        <w:t>Д. Теоретични и практико-приложни аспекти на счетоводната политика на предприятията в публичния сектор.Свищщов: Академично издателство „Д/. Ценов“. 2012, с. 24</w:t>
      </w:r>
    </w:p>
  </w:footnote>
  <w:footnote w:id="9">
    <w:p w14:paraId="19716FBC" w14:textId="3AB5089D" w:rsidR="0067228E" w:rsidRPr="004A30FF" w:rsidRDefault="0067228E" w:rsidP="0067228E">
      <w:pPr>
        <w:pStyle w:val="FootnoteText"/>
      </w:pPr>
      <w:r w:rsidRPr="004A30FF">
        <w:rPr>
          <w:rStyle w:val="FootnoteReference"/>
        </w:rPr>
        <w:footnoteRef/>
      </w:r>
      <w:r w:rsidRPr="004A30FF">
        <w:rPr>
          <w:rStyle w:val="FootnoteReference"/>
        </w:rPr>
        <w:footnoteRef/>
      </w:r>
      <w:r w:rsidRPr="004A30FF">
        <w:t xml:space="preserve"> </w:t>
      </w:r>
      <w:r w:rsidRPr="004A30FF">
        <w:t xml:space="preserve">Фесчиян </w:t>
      </w:r>
      <w:r w:rsidRPr="004A30FF">
        <w:t>Д., Савова, К., Подходи и политики на счетоводството в публичния сектор, 2019, ИК-УНСС,2019, с. 17.</w:t>
      </w:r>
    </w:p>
    <w:p w14:paraId="52524042" w14:textId="2FD84A74" w:rsidR="0067228E" w:rsidRPr="004A30FF" w:rsidRDefault="0067228E">
      <w:pPr>
        <w:pStyle w:val="FootnoteText"/>
      </w:pPr>
    </w:p>
  </w:footnote>
  <w:footnote w:id="10">
    <w:p w14:paraId="11E4CB41" w14:textId="2F56D0E5" w:rsidR="0067228E" w:rsidRPr="004A30FF" w:rsidRDefault="0067228E">
      <w:pPr>
        <w:pStyle w:val="FootnoteText"/>
      </w:pPr>
      <w:r w:rsidRPr="004A30FF">
        <w:rPr>
          <w:rStyle w:val="FootnoteReference"/>
        </w:rPr>
        <w:footnoteRef/>
      </w:r>
      <w:r w:rsidRPr="004A30FF">
        <w:t xml:space="preserve"> </w:t>
      </w:r>
      <w:r w:rsidRPr="004A30FF">
        <w:t xml:space="preserve">Фесчиян </w:t>
      </w:r>
      <w:r w:rsidRPr="004A30FF">
        <w:t>Д., Савова, К., Подходи и политики на счетоводството в публичния сектор, 2019, ИК-УНСС,2019, с. 19.</w:t>
      </w:r>
    </w:p>
  </w:footnote>
  <w:footnote w:id="11">
    <w:p w14:paraId="187A0E12" w14:textId="0D90C6AE" w:rsidR="0067228E" w:rsidRPr="004A30FF" w:rsidRDefault="0067228E">
      <w:pPr>
        <w:pStyle w:val="FootnoteText"/>
      </w:pPr>
      <w:r w:rsidRPr="004A30FF">
        <w:rPr>
          <w:rStyle w:val="FootnoteReference"/>
        </w:rPr>
        <w:footnoteRef/>
      </w:r>
      <w:r w:rsidRPr="004A30FF">
        <w:t xml:space="preserve"> </w:t>
      </w:r>
      <w:r w:rsidRPr="004A30FF">
        <w:t xml:space="preserve">ДДС </w:t>
      </w:r>
      <w:r w:rsidRPr="004A30FF">
        <w:t>№ 20/14.12.2004 г. относно прилагането на Националните счетоводни стандарти от бюджетните предприятия.</w:t>
      </w:r>
    </w:p>
  </w:footnote>
  <w:footnote w:id="12">
    <w:p w14:paraId="5E21D8C1" w14:textId="0B866692" w:rsidR="0080231B" w:rsidRPr="004A30FF" w:rsidRDefault="0080231B">
      <w:pPr>
        <w:pStyle w:val="FootnoteText"/>
      </w:pPr>
      <w:r w:rsidRPr="004A30FF">
        <w:rPr>
          <w:rStyle w:val="FootnoteReference"/>
        </w:rPr>
        <w:footnoteRef/>
      </w:r>
      <w:r w:rsidRPr="004A30FF">
        <w:t xml:space="preserve"> </w:t>
      </w:r>
      <w:r w:rsidRPr="004A30FF">
        <w:t xml:space="preserve">United </w:t>
      </w:r>
      <w:r w:rsidRPr="004A30FF">
        <w:t xml:space="preserve">Nations. </w:t>
      </w:r>
      <w:r w:rsidRPr="004A30FF">
        <w:rPr>
          <w:i/>
          <w:iCs/>
        </w:rPr>
        <w:t>System of National Accounts 2008</w:t>
      </w:r>
      <w:r w:rsidRPr="004A30FF">
        <w:t>. United Nations, 2009.</w:t>
      </w:r>
      <w:r w:rsidR="007B7E56" w:rsidRPr="004A30FF">
        <w:t xml:space="preserve">; European Union. </w:t>
      </w:r>
      <w:r w:rsidR="007B7E56" w:rsidRPr="004A30FF">
        <w:rPr>
          <w:i/>
          <w:iCs/>
        </w:rPr>
        <w:t>European System of Accounts – ESA 2010</w:t>
      </w:r>
      <w:r w:rsidR="007B7E56" w:rsidRPr="004A30FF">
        <w:t xml:space="preserve">. Publications Office of the European Union, 2013; International Monetary Fund. </w:t>
      </w:r>
      <w:r w:rsidR="007B7E56" w:rsidRPr="004A30FF">
        <w:rPr>
          <w:i/>
          <w:iCs/>
        </w:rPr>
        <w:t>Government Finance Statistics Manual 2001</w:t>
      </w:r>
      <w:r w:rsidR="007B7E56" w:rsidRPr="004A30FF">
        <w:t>. IMF, 2001.</w:t>
      </w:r>
    </w:p>
  </w:footnote>
  <w:footnote w:id="13">
    <w:p w14:paraId="7106DAA9" w14:textId="2D2154CB" w:rsidR="00ED1CA0" w:rsidRPr="004A30FF" w:rsidRDefault="00ED1CA0">
      <w:pPr>
        <w:pStyle w:val="FootnoteText"/>
      </w:pPr>
      <w:r w:rsidRPr="004A30FF">
        <w:rPr>
          <w:rStyle w:val="FootnoteReference"/>
        </w:rPr>
        <w:footnoteRef/>
      </w:r>
      <w:r w:rsidRPr="004A30FF">
        <w:t xml:space="preserve"> </w:t>
      </w:r>
      <w:r w:rsidRPr="004A30FF">
        <w:t xml:space="preserve">International </w:t>
      </w:r>
      <w:r w:rsidRPr="004A30FF">
        <w:t xml:space="preserve">Public Sector Accounting Standards Board. (2025). </w:t>
      </w:r>
      <w:r w:rsidRPr="004A30FF">
        <w:rPr>
          <w:i/>
          <w:iCs/>
        </w:rPr>
        <w:t>2025 handbook of international public sector accounting pronouncements</w:t>
      </w:r>
      <w:r w:rsidRPr="004A30FF">
        <w:t>. International Federation of Accountants. https://www.ipsasb.org/publications/2025-handbook-international-public-sector-accounting-pronouncements</w:t>
      </w:r>
    </w:p>
  </w:footnote>
  <w:footnote w:id="14">
    <w:p w14:paraId="572ADE30" w14:textId="77777777" w:rsidR="00ED1CA0" w:rsidRPr="004A30FF" w:rsidRDefault="00ED1CA0" w:rsidP="00ED1CA0">
      <w:pPr>
        <w:pStyle w:val="FootnoteText"/>
      </w:pPr>
      <w:r w:rsidRPr="004A30FF">
        <w:rPr>
          <w:rStyle w:val="FootnoteReference"/>
        </w:rPr>
        <w:footnoteRef/>
      </w:r>
      <w:r w:rsidRPr="004A30FF">
        <w:t xml:space="preserve"> </w:t>
      </w:r>
      <w:r w:rsidRPr="004A30FF">
        <w:t xml:space="preserve">International </w:t>
      </w:r>
      <w:r w:rsidRPr="004A30FF">
        <w:t xml:space="preserve">Public Sector Accounting Standards Board. (2023). </w:t>
      </w:r>
      <w:r w:rsidRPr="004A30FF">
        <w:rPr>
          <w:i/>
          <w:iCs/>
        </w:rPr>
        <w:t>The conceptual framework for general purpose financial reporting by public sector entities</w:t>
      </w:r>
      <w:r w:rsidRPr="004A30FF">
        <w:t xml:space="preserve">. International Federation of Accountants. </w:t>
      </w:r>
      <w:hyperlink r:id="rId1" w:history="1">
        <w:r w:rsidRPr="004A30FF">
          <w:rPr>
            <w:rStyle w:val="Hyperlink"/>
          </w:rPr>
          <w:t>https://www.ipsasb.org/publications/conceptual-framework-general-purpose-financial-reporting-public-sector-entities-2023?utm</w:t>
        </w:r>
      </w:hyperlink>
    </w:p>
    <w:p w14:paraId="207123C8" w14:textId="229AC4E9" w:rsidR="00ED1CA0" w:rsidRPr="004A30FF" w:rsidRDefault="00ED1CA0">
      <w:pPr>
        <w:pStyle w:val="FootnoteText"/>
      </w:pPr>
    </w:p>
  </w:footnote>
  <w:footnote w:id="15">
    <w:p w14:paraId="205544FB" w14:textId="10D61F50" w:rsidR="00FC1CEF" w:rsidRPr="004A30FF" w:rsidRDefault="00FC1CEF">
      <w:pPr>
        <w:pStyle w:val="FootnoteText"/>
      </w:pPr>
      <w:r w:rsidRPr="004A30FF">
        <w:rPr>
          <w:rStyle w:val="FootnoteReference"/>
        </w:rPr>
        <w:footnoteRef/>
      </w:r>
      <w:r w:rsidRPr="004A30FF">
        <w:t xml:space="preserve"> </w:t>
      </w:r>
      <w:r w:rsidRPr="004A30FF">
        <w:t xml:space="preserve">International </w:t>
      </w:r>
      <w:r w:rsidRPr="004A30FF">
        <w:t xml:space="preserve">Public Sector Accounting Standards Board. (2025). </w:t>
      </w:r>
      <w:r w:rsidRPr="004A30FF">
        <w:rPr>
          <w:i/>
          <w:iCs/>
        </w:rPr>
        <w:t>2025 handbook of international public sector accounting pronouncements</w:t>
      </w:r>
      <w:r w:rsidRPr="004A30FF">
        <w:t>. International Federation of Accountants. https://www.ipsasb.org/publications/2025-handbook-international-public-sector-accounting-pronouncements</w:t>
      </w:r>
    </w:p>
  </w:footnote>
  <w:footnote w:id="16">
    <w:p w14:paraId="79804FC8" w14:textId="630821B6" w:rsidR="00FC1CEF" w:rsidRPr="004A30FF" w:rsidRDefault="00FC1CEF">
      <w:pPr>
        <w:pStyle w:val="FootnoteText"/>
      </w:pPr>
      <w:r w:rsidRPr="004A30FF">
        <w:rPr>
          <w:rStyle w:val="FootnoteReference"/>
        </w:rPr>
        <w:footnoteRef/>
      </w:r>
      <w:r w:rsidRPr="004A30FF">
        <w:t xml:space="preserve"> </w:t>
      </w:r>
      <w:r w:rsidRPr="004A30FF">
        <w:t xml:space="preserve">International </w:t>
      </w:r>
      <w:r w:rsidRPr="004A30FF">
        <w:t xml:space="preserve">Public Sector Accounting Standards Board. (2025). </w:t>
      </w:r>
      <w:r w:rsidRPr="004A30FF">
        <w:rPr>
          <w:i/>
          <w:iCs/>
        </w:rPr>
        <w:t>IPSAS 1: Presentation of financial statements</w:t>
      </w:r>
      <w:r w:rsidRPr="004A30FF">
        <w:t>. International Federation of Accountants.</w:t>
      </w:r>
    </w:p>
  </w:footnote>
  <w:footnote w:id="17">
    <w:p w14:paraId="03EE62B8" w14:textId="4FD77A0F" w:rsidR="00FC1CEF" w:rsidRPr="004A30FF" w:rsidRDefault="00FC1CEF">
      <w:pPr>
        <w:pStyle w:val="FootnoteText"/>
      </w:pPr>
      <w:r w:rsidRPr="004A30FF">
        <w:rPr>
          <w:rStyle w:val="FootnoteReference"/>
        </w:rPr>
        <w:footnoteRef/>
      </w:r>
      <w:r w:rsidRPr="004A30FF">
        <w:t xml:space="preserve"> </w:t>
      </w:r>
      <w:r w:rsidRPr="004A30FF">
        <w:t xml:space="preserve">International </w:t>
      </w:r>
      <w:r w:rsidRPr="004A30FF">
        <w:t xml:space="preserve">Public Sector Accounting Standards Board. (2025). </w:t>
      </w:r>
      <w:r w:rsidRPr="004A30FF">
        <w:rPr>
          <w:i/>
          <w:iCs/>
        </w:rPr>
        <w:t>IPSAS 2: Cash flow statements</w:t>
      </w:r>
      <w:r w:rsidRPr="004A30FF">
        <w:t>. International Federation of Accountants.</w:t>
      </w:r>
    </w:p>
  </w:footnote>
  <w:footnote w:id="18">
    <w:p w14:paraId="6EF18EBC" w14:textId="0E795021" w:rsidR="00FC1CEF" w:rsidRPr="004A30FF" w:rsidRDefault="00FC1CEF">
      <w:pPr>
        <w:pStyle w:val="FootnoteText"/>
      </w:pPr>
      <w:r w:rsidRPr="004A30FF">
        <w:rPr>
          <w:rStyle w:val="FootnoteReference"/>
        </w:rPr>
        <w:footnoteRef/>
      </w:r>
      <w:r w:rsidRPr="004A30FF">
        <w:t xml:space="preserve"> </w:t>
      </w:r>
      <w:r w:rsidRPr="004A30FF">
        <w:t xml:space="preserve">International </w:t>
      </w:r>
      <w:r w:rsidRPr="004A30FF">
        <w:t xml:space="preserve">Public Sector Accounting Standards Board. (2025). </w:t>
      </w:r>
      <w:r w:rsidRPr="004A30FF">
        <w:rPr>
          <w:i/>
          <w:iCs/>
        </w:rPr>
        <w:t>IPSAS 17: Property, plant, and equipment</w:t>
      </w:r>
      <w:r w:rsidRPr="004A30FF">
        <w:t>. International Federation of Accountants.</w:t>
      </w:r>
    </w:p>
  </w:footnote>
  <w:footnote w:id="19">
    <w:p w14:paraId="10A81941" w14:textId="345CA130" w:rsidR="00FC1CEF" w:rsidRPr="004A30FF" w:rsidRDefault="00FC1CEF">
      <w:pPr>
        <w:pStyle w:val="FootnoteText"/>
      </w:pPr>
      <w:r w:rsidRPr="004A30FF">
        <w:rPr>
          <w:rStyle w:val="FootnoteReference"/>
        </w:rPr>
        <w:footnoteRef/>
      </w:r>
      <w:r w:rsidRPr="004A30FF">
        <w:t xml:space="preserve"> </w:t>
      </w:r>
      <w:r w:rsidRPr="004A30FF">
        <w:t xml:space="preserve">International </w:t>
      </w:r>
      <w:r w:rsidRPr="004A30FF">
        <w:t xml:space="preserve">Public Sector Accounting Standards Board. (2025). </w:t>
      </w:r>
      <w:r w:rsidRPr="004A30FF">
        <w:rPr>
          <w:i/>
          <w:iCs/>
        </w:rPr>
        <w:t>IPSAS 21: Impairment of non-cash-generating assets</w:t>
      </w:r>
      <w:r w:rsidRPr="004A30FF">
        <w:t>. International Federation of Accountants.</w:t>
      </w:r>
    </w:p>
  </w:footnote>
  <w:footnote w:id="20">
    <w:p w14:paraId="4BC7DA66" w14:textId="22D0059F" w:rsidR="00FC1CEF" w:rsidRPr="004A30FF" w:rsidRDefault="00FC1CEF">
      <w:pPr>
        <w:pStyle w:val="FootnoteText"/>
      </w:pPr>
      <w:r w:rsidRPr="004A30FF">
        <w:rPr>
          <w:rStyle w:val="FootnoteReference"/>
        </w:rPr>
        <w:footnoteRef/>
      </w:r>
      <w:r w:rsidRPr="004A30FF">
        <w:t xml:space="preserve"> </w:t>
      </w:r>
      <w:r w:rsidRPr="004A30FF">
        <w:t xml:space="preserve">International </w:t>
      </w:r>
      <w:r w:rsidRPr="004A30FF">
        <w:t xml:space="preserve">Public Sector Accounting Standards Board. (2025). </w:t>
      </w:r>
      <w:r w:rsidRPr="004A30FF">
        <w:rPr>
          <w:i/>
          <w:iCs/>
        </w:rPr>
        <w:t>IPSAS 26: Impairment of cash-generating assets</w:t>
      </w:r>
      <w:r w:rsidRPr="004A30FF">
        <w:t>. International Federation of Accountants.</w:t>
      </w:r>
    </w:p>
  </w:footnote>
  <w:footnote w:id="21">
    <w:p w14:paraId="3C7889E8" w14:textId="5AC08036" w:rsidR="00FC1CEF" w:rsidRPr="004A30FF" w:rsidRDefault="00FC1CEF">
      <w:pPr>
        <w:pStyle w:val="FootnoteText"/>
      </w:pPr>
      <w:r w:rsidRPr="004A30FF">
        <w:rPr>
          <w:rStyle w:val="FootnoteReference"/>
        </w:rPr>
        <w:footnoteRef/>
      </w:r>
      <w:r w:rsidRPr="004A30FF">
        <w:t xml:space="preserve"> </w:t>
      </w:r>
      <w:r w:rsidRPr="004A30FF">
        <w:t xml:space="preserve">International </w:t>
      </w:r>
      <w:r w:rsidRPr="004A30FF">
        <w:t xml:space="preserve">Public Sector Accounting Standards Board. (2025). </w:t>
      </w:r>
      <w:r w:rsidRPr="004A30FF">
        <w:rPr>
          <w:i/>
          <w:iCs/>
        </w:rPr>
        <w:t>IPSAS 9: Revenue from exchange transactions</w:t>
      </w:r>
      <w:r w:rsidRPr="004A30FF">
        <w:t>. International Federation of Accountants.</w:t>
      </w:r>
    </w:p>
  </w:footnote>
  <w:footnote w:id="22">
    <w:p w14:paraId="4A48C20B" w14:textId="22D19C31" w:rsidR="00FC1CEF" w:rsidRPr="004A30FF" w:rsidRDefault="00FC1CEF">
      <w:pPr>
        <w:pStyle w:val="FootnoteText"/>
      </w:pPr>
      <w:r w:rsidRPr="004A30FF">
        <w:rPr>
          <w:rStyle w:val="FootnoteReference"/>
        </w:rPr>
        <w:footnoteRef/>
      </w:r>
      <w:r w:rsidRPr="004A30FF">
        <w:t xml:space="preserve"> </w:t>
      </w:r>
      <w:r w:rsidRPr="004A30FF">
        <w:t xml:space="preserve">International </w:t>
      </w:r>
      <w:r w:rsidRPr="004A30FF">
        <w:t xml:space="preserve">Public Sector Accounting Standards Board. (2025). </w:t>
      </w:r>
      <w:r w:rsidRPr="004A30FF">
        <w:rPr>
          <w:i/>
          <w:iCs/>
        </w:rPr>
        <w:t>IPSAS 23: Revenue from non-exchange transactions (taxes and transfers)</w:t>
      </w:r>
      <w:r w:rsidRPr="004A30FF">
        <w:t>. International Federation of Accountants.</w:t>
      </w:r>
    </w:p>
  </w:footnote>
  <w:footnote w:id="23">
    <w:p w14:paraId="6002D847" w14:textId="209AE300" w:rsidR="00FC1CEF" w:rsidRPr="004A30FF" w:rsidRDefault="00FC1CEF">
      <w:pPr>
        <w:pStyle w:val="FootnoteText"/>
      </w:pPr>
      <w:r w:rsidRPr="004A30FF">
        <w:rPr>
          <w:rStyle w:val="FootnoteReference"/>
        </w:rPr>
        <w:footnoteRef/>
      </w:r>
      <w:r w:rsidRPr="004A30FF">
        <w:t xml:space="preserve"> </w:t>
      </w:r>
      <w:r w:rsidRPr="004A30FF">
        <w:t xml:space="preserve">International </w:t>
      </w:r>
      <w:r w:rsidRPr="004A30FF">
        <w:t xml:space="preserve">Public Sector Accounting Standards Board. (2025). </w:t>
      </w:r>
      <w:r w:rsidRPr="004A30FF">
        <w:rPr>
          <w:i/>
          <w:iCs/>
        </w:rPr>
        <w:t>IPSAS 24: Presentation of budget information in financial statements</w:t>
      </w:r>
      <w:r w:rsidRPr="004A30FF">
        <w:t>. International Federation of Accountants.</w:t>
      </w:r>
    </w:p>
  </w:footnote>
  <w:footnote w:id="24">
    <w:p w14:paraId="2BD46076" w14:textId="01A1508F" w:rsidR="00FC1CEF" w:rsidRPr="004A30FF" w:rsidRDefault="00FC1CEF">
      <w:pPr>
        <w:pStyle w:val="FootnoteText"/>
      </w:pPr>
      <w:r w:rsidRPr="004A30FF">
        <w:rPr>
          <w:rStyle w:val="FootnoteReference"/>
        </w:rPr>
        <w:footnoteRef/>
      </w:r>
      <w:r w:rsidRPr="004A30FF">
        <w:t xml:space="preserve"> </w:t>
      </w:r>
      <w:r w:rsidRPr="004A30FF">
        <w:t xml:space="preserve">International </w:t>
      </w:r>
      <w:r w:rsidRPr="004A30FF">
        <w:t xml:space="preserve">Public Sector Accounting Standards Board. (2025). </w:t>
      </w:r>
      <w:r w:rsidRPr="004A30FF">
        <w:rPr>
          <w:i/>
          <w:iCs/>
        </w:rPr>
        <w:t>IPSAS 19: Provisions, contingent liabilities and contingent assets</w:t>
      </w:r>
      <w:r w:rsidRPr="004A30FF">
        <w:t>. International Federation of Accountants.</w:t>
      </w:r>
    </w:p>
  </w:footnote>
  <w:footnote w:id="25">
    <w:p w14:paraId="01FC4063" w14:textId="15D3D1B7" w:rsidR="00862BB9" w:rsidRPr="004A30FF" w:rsidRDefault="00862BB9">
      <w:pPr>
        <w:pStyle w:val="FootnoteText"/>
      </w:pPr>
      <w:r w:rsidRPr="004A30FF">
        <w:rPr>
          <w:rStyle w:val="FootnoteReference"/>
        </w:rPr>
        <w:footnoteRef/>
      </w:r>
      <w:r w:rsidRPr="004A30FF">
        <w:t xml:space="preserve"> </w:t>
      </w:r>
      <w:r w:rsidRPr="004A30FF">
        <w:t xml:space="preserve">International </w:t>
      </w:r>
      <w:r w:rsidRPr="004A30FF">
        <w:t xml:space="preserve">Monetary Fund. (2014). </w:t>
      </w:r>
      <w:r w:rsidRPr="004A30FF">
        <w:rPr>
          <w:i/>
          <w:iCs/>
        </w:rPr>
        <w:t>Government finance statistics manual 2014</w:t>
      </w:r>
      <w:r w:rsidRPr="004A30FF">
        <w:t>. Washington, DC: International Monetary Fund. https://www.imf.org/external/pubs/ft/gfs/manual/2014/gfsfinal.pdf</w:t>
      </w:r>
    </w:p>
  </w:footnote>
  <w:footnote w:id="26">
    <w:p w14:paraId="77CB6E68" w14:textId="077F06BF" w:rsidR="007B7E56" w:rsidRPr="004A30FF" w:rsidRDefault="007B7E56">
      <w:pPr>
        <w:pStyle w:val="FootnoteText"/>
      </w:pPr>
      <w:r w:rsidRPr="004A30FF">
        <w:rPr>
          <w:rStyle w:val="FootnoteReference"/>
        </w:rPr>
        <w:footnoteRef/>
      </w:r>
      <w:r w:rsidRPr="004A30FF">
        <w:t xml:space="preserve"> </w:t>
      </w:r>
      <w:r w:rsidRPr="004A30FF">
        <w:t xml:space="preserve">European </w:t>
      </w:r>
      <w:r w:rsidRPr="004A30FF">
        <w:t xml:space="preserve">Commission. </w:t>
      </w:r>
      <w:r w:rsidRPr="004A30FF">
        <w:rPr>
          <w:i/>
          <w:iCs/>
        </w:rPr>
        <w:t>Towards Implementing Harmonised Public Sector Accounting Standards in Member States (EPSAS)</w:t>
      </w:r>
      <w:r w:rsidRPr="004A30FF">
        <w:t>. European Commission</w:t>
      </w:r>
    </w:p>
  </w:footnote>
  <w:footnote w:id="27">
    <w:p w14:paraId="1A8431A8" w14:textId="0722A27C" w:rsidR="007B7E56" w:rsidRPr="004A30FF" w:rsidRDefault="007B7E56">
      <w:pPr>
        <w:pStyle w:val="FootnoteText"/>
      </w:pPr>
      <w:r w:rsidRPr="004A30FF">
        <w:rPr>
          <w:rStyle w:val="FootnoteReference"/>
        </w:rPr>
        <w:footnoteRef/>
      </w:r>
      <w:r w:rsidRPr="004A30FF">
        <w:t xml:space="preserve"> </w:t>
      </w:r>
      <w:r w:rsidRPr="004A30FF">
        <w:t xml:space="preserve">European </w:t>
      </w:r>
      <w:r w:rsidRPr="004A30FF">
        <w:t xml:space="preserve">Commission. </w:t>
      </w:r>
      <w:r w:rsidRPr="004A30FF">
        <w:rPr>
          <w:i/>
          <w:iCs/>
        </w:rPr>
        <w:t>Towards Implementing Harmonised Public Sector Accounting Standards in Member States (EPSAS)</w:t>
      </w:r>
      <w:r w:rsidRPr="004A30FF">
        <w:t>. European Commission</w:t>
      </w:r>
      <w:r w:rsidR="00F300C0" w:rsidRPr="004A30FF">
        <w:t>.</w:t>
      </w:r>
    </w:p>
  </w:footnote>
  <w:footnote w:id="28">
    <w:p w14:paraId="3C836229" w14:textId="056E2208" w:rsidR="0067228E" w:rsidRPr="004A30FF" w:rsidRDefault="0067228E">
      <w:pPr>
        <w:pStyle w:val="FootnoteText"/>
      </w:pPr>
      <w:r w:rsidRPr="004A30FF">
        <w:rPr>
          <w:rStyle w:val="FootnoteReference"/>
        </w:rPr>
        <w:footnoteRef/>
      </w:r>
      <w:r w:rsidRPr="004A30FF">
        <w:t xml:space="preserve"> </w:t>
      </w:r>
      <w:r w:rsidRPr="004A30FF">
        <w:t>Закон за счетоводството, в сила от 01.01.2016г, изм. И доп. ДВ.бр.105 от 19.12.2023г.</w:t>
      </w:r>
    </w:p>
  </w:footnote>
  <w:footnote w:id="29">
    <w:p w14:paraId="538B1BB8" w14:textId="68F92D30" w:rsidR="0067228E" w:rsidRPr="004A30FF" w:rsidRDefault="0067228E">
      <w:pPr>
        <w:pStyle w:val="FootnoteText"/>
      </w:pPr>
      <w:r w:rsidRPr="004A30FF">
        <w:rPr>
          <w:rStyle w:val="FootnoteReference"/>
        </w:rPr>
        <w:footnoteRef/>
      </w:r>
      <w:r w:rsidRPr="004A30FF">
        <w:t xml:space="preserve"> </w:t>
      </w:r>
      <w:r w:rsidRPr="004A30FF">
        <w:t xml:space="preserve">Закон </w:t>
      </w:r>
      <w:r w:rsidRPr="004A30FF">
        <w:t>за публичните финанси, изм. И доп. ДВ. Бр.91 от 14.11.2020г.</w:t>
      </w:r>
    </w:p>
  </w:footnote>
  <w:footnote w:id="30">
    <w:p w14:paraId="75C742C0" w14:textId="4D082E97" w:rsidR="008B1945" w:rsidRPr="004A30FF" w:rsidRDefault="008B1945">
      <w:pPr>
        <w:pStyle w:val="FootnoteText"/>
      </w:pPr>
      <w:r w:rsidRPr="004A30FF">
        <w:rPr>
          <w:rStyle w:val="FootnoteReference"/>
        </w:rPr>
        <w:footnoteRef/>
      </w:r>
      <w:r w:rsidRPr="004A30FF">
        <w:t xml:space="preserve"> </w:t>
      </w:r>
      <w:r w:rsidRPr="004A30FF">
        <w:t xml:space="preserve">Стоянов, </w:t>
      </w:r>
      <w:r w:rsidRPr="004A30FF">
        <w:t>С. И К. Савова. Обща теория на счетоводството. С., 2010, с.106</w:t>
      </w:r>
    </w:p>
  </w:footnote>
  <w:footnote w:id="31">
    <w:p w14:paraId="35EC981E" w14:textId="414C96F2" w:rsidR="008B1945" w:rsidRPr="004A30FF" w:rsidRDefault="008B1945">
      <w:pPr>
        <w:pStyle w:val="FootnoteText"/>
      </w:pPr>
      <w:r w:rsidRPr="004A30FF">
        <w:rPr>
          <w:rStyle w:val="FootnoteReference"/>
        </w:rPr>
        <w:footnoteRef/>
      </w:r>
      <w:r w:rsidRPr="004A30FF">
        <w:t xml:space="preserve"> </w:t>
      </w:r>
      <w:r w:rsidRPr="004A30FF">
        <w:t xml:space="preserve">Савова </w:t>
      </w:r>
      <w:r w:rsidRPr="004A30FF">
        <w:t>К., Счетоводна политика на предприятията в публичния сектор в България – настояще и перспективи, Научни трудове на УНСС, том 4/2020, ИК-УНСС, София, с. 41.</w:t>
      </w:r>
    </w:p>
  </w:footnote>
  <w:footnote w:id="32">
    <w:p w14:paraId="1F8743B4" w14:textId="546763A6" w:rsidR="008B1945" w:rsidRPr="004A30FF" w:rsidRDefault="008B1945">
      <w:pPr>
        <w:pStyle w:val="FootnoteText"/>
      </w:pPr>
      <w:r w:rsidRPr="004A30FF">
        <w:rPr>
          <w:rStyle w:val="FootnoteReference"/>
        </w:rPr>
        <w:footnoteRef/>
      </w:r>
      <w:r w:rsidRPr="004A30FF">
        <w:t xml:space="preserve"> </w:t>
      </w:r>
      <w:r w:rsidRPr="004A30FF">
        <w:t xml:space="preserve">Стоянов, </w:t>
      </w:r>
      <w:r w:rsidRPr="004A30FF">
        <w:t>Ст., Фесчиян, Д., Савова, К., Андасарова, Р., Счетоводство в публичния сектор, 2017, ИК-УНСС, с. 51.</w:t>
      </w:r>
    </w:p>
  </w:footnote>
  <w:footnote w:id="33">
    <w:p w14:paraId="23AF3195" w14:textId="41FA3014" w:rsidR="008B1945" w:rsidRPr="004A30FF" w:rsidRDefault="008B1945" w:rsidP="008B1945">
      <w:pPr>
        <w:pStyle w:val="FootnoteText"/>
      </w:pPr>
      <w:r w:rsidRPr="004A30FF">
        <w:rPr>
          <w:rStyle w:val="FootnoteReference"/>
        </w:rPr>
        <w:footnoteRef/>
      </w:r>
      <w:r w:rsidRPr="004A30FF">
        <w:t xml:space="preserve"> </w:t>
      </w:r>
      <w:r w:rsidRPr="004A30FF">
        <w:t xml:space="preserve">Министерство </w:t>
      </w:r>
      <w:r w:rsidRPr="004A30FF">
        <w:t>на финансите, ДДС № 10/28.12.2017г. https://www.minfin.bg/upload/36093/DDS-10-2017-stock-taking-public.pdf</w:t>
      </w:r>
    </w:p>
    <w:p w14:paraId="17643CF5" w14:textId="130DED56" w:rsidR="008B1945" w:rsidRPr="004A30FF" w:rsidRDefault="008B1945">
      <w:pPr>
        <w:pStyle w:val="FootnoteText"/>
      </w:pPr>
    </w:p>
  </w:footnote>
  <w:footnote w:id="34">
    <w:p w14:paraId="7657D549" w14:textId="77777777" w:rsidR="00096383" w:rsidRPr="004A30FF" w:rsidRDefault="00096383" w:rsidP="00096383">
      <w:pPr>
        <w:pStyle w:val="FootnoteText"/>
      </w:pPr>
      <w:r w:rsidRPr="004A30FF">
        <w:rPr>
          <w:rStyle w:val="FootnoteReference"/>
        </w:rPr>
        <w:footnoteRef/>
      </w:r>
      <w:r w:rsidRPr="004A30FF">
        <w:t xml:space="preserve"> </w:t>
      </w:r>
      <w:r w:rsidRPr="004A30FF">
        <w:t xml:space="preserve">Стоянов, </w:t>
      </w:r>
      <w:r w:rsidRPr="004A30FF">
        <w:t>Ст., Фесчиян, Д., Савова, К., Андасарова, Р., Счетоводство в публичния сектор, 2017, ИК-УНСС, София, с. 66.</w:t>
      </w:r>
    </w:p>
    <w:p w14:paraId="3E4E4753" w14:textId="229E42BD" w:rsidR="00096383" w:rsidRPr="004A30FF" w:rsidRDefault="00096383">
      <w:pPr>
        <w:pStyle w:val="FootnoteText"/>
      </w:pPr>
    </w:p>
  </w:footnote>
  <w:footnote w:id="35">
    <w:p w14:paraId="31B01491" w14:textId="77777777" w:rsidR="00B556D3" w:rsidRPr="004A30FF" w:rsidRDefault="00B556D3" w:rsidP="00B556D3">
      <w:pPr>
        <w:pStyle w:val="FootnoteText"/>
      </w:pPr>
      <w:r w:rsidRPr="004A30FF">
        <w:rPr>
          <w:rStyle w:val="FootnoteReference"/>
        </w:rPr>
        <w:footnoteRef/>
      </w:r>
      <w:r w:rsidRPr="004A30FF">
        <w:t xml:space="preserve"> </w:t>
      </w:r>
      <w:r w:rsidRPr="004A30FF">
        <w:t xml:space="preserve">Савова </w:t>
      </w:r>
      <w:r w:rsidRPr="004A30FF">
        <w:t>К., Счетоводна политика на предприятията в публичния сектор в България – настояще и перспективи, Научни трудове на УНСС, том 4/2020, ИК-УНСС, София.</w:t>
      </w:r>
    </w:p>
    <w:p w14:paraId="5D66E5AD" w14:textId="4B11BC91" w:rsidR="00B556D3" w:rsidRPr="004A30FF" w:rsidRDefault="00B556D3">
      <w:pPr>
        <w:pStyle w:val="FootnoteText"/>
      </w:pPr>
    </w:p>
  </w:footnote>
  <w:footnote w:id="36">
    <w:p w14:paraId="1DA46B6F" w14:textId="4EEA4A03" w:rsidR="00DF21FF" w:rsidRPr="004A30FF" w:rsidRDefault="00DF21FF">
      <w:pPr>
        <w:pStyle w:val="FootnoteText"/>
      </w:pPr>
      <w:r w:rsidRPr="004A30FF">
        <w:rPr>
          <w:rStyle w:val="FootnoteReference"/>
        </w:rPr>
        <w:footnoteRef/>
      </w:r>
      <w:r w:rsidRPr="004A30FF">
        <w:t xml:space="preserve"> </w:t>
      </w:r>
      <w:r w:rsidRPr="004A30FF">
        <w:t xml:space="preserve">Стоянов, </w:t>
      </w:r>
      <w:r w:rsidRPr="004A30FF">
        <w:t>Ст., Фесчиян, Д., Савова, К., Андасарова, Р., Счетоводство в публичния сектор, 2017, ИК-УНСС, с. 87,</w:t>
      </w:r>
    </w:p>
  </w:footnote>
  <w:footnote w:id="37">
    <w:p w14:paraId="4AE7B7A8" w14:textId="32D8FC40" w:rsidR="00DF21FF" w:rsidRPr="004A30FF" w:rsidRDefault="00DF21FF">
      <w:pPr>
        <w:pStyle w:val="FootnoteText"/>
      </w:pPr>
      <w:r w:rsidRPr="004A30FF">
        <w:rPr>
          <w:rStyle w:val="FootnoteReference"/>
        </w:rPr>
        <w:footnoteRef/>
      </w:r>
      <w:r w:rsidRPr="004A30FF">
        <w:t xml:space="preserve"> </w:t>
      </w:r>
      <w:r w:rsidRPr="004A30FF">
        <w:t xml:space="preserve">Стоянов, </w:t>
      </w:r>
      <w:r w:rsidRPr="004A30FF">
        <w:t>Ст., Фесчиян, Д., Савова, К., Андасарова, Р., Счетоводство в публичния сектор, 2017, ИК-УНСС, с. 91</w:t>
      </w:r>
    </w:p>
  </w:footnote>
  <w:footnote w:id="38">
    <w:p w14:paraId="64D45D03" w14:textId="77777777" w:rsidR="00B05579" w:rsidRPr="004A30FF" w:rsidRDefault="00B05579" w:rsidP="00B05579">
      <w:pPr>
        <w:pStyle w:val="FootnoteText"/>
        <w:rPr>
          <w:b/>
          <w:bCs/>
        </w:rPr>
      </w:pPr>
      <w:r w:rsidRPr="004A30FF">
        <w:rPr>
          <w:rStyle w:val="FootnoteReference"/>
        </w:rPr>
        <w:footnoteRef/>
      </w:r>
      <w:r w:rsidRPr="004A30FF">
        <w:t xml:space="preserve"> </w:t>
      </w:r>
      <w:r w:rsidRPr="004A30FF">
        <w:t xml:space="preserve">ДДС </w:t>
      </w:r>
      <w:r w:rsidRPr="004A30FF">
        <w:t>№07/2024г. Годишното счетоводно приключване и представяне на годишните отчети за касовото изпълнение, оборотните ведомости и друга отчетна информация за 2024 г., както и публикуване на годишниге финансови отчети за 2024 г. на бюджетните организации</w:t>
      </w:r>
    </w:p>
    <w:p w14:paraId="53D203B1" w14:textId="42012DAE" w:rsidR="00B05579" w:rsidRPr="00B05579" w:rsidRDefault="00B0557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B220" w14:textId="77777777" w:rsidR="008F2652" w:rsidRPr="004A30FF" w:rsidRDefault="008F2652">
    <w:pPr>
      <w:spacing w:after="63"/>
      <w:ind w:left="1949"/>
    </w:pPr>
    <w:r w:rsidRPr="004A30FF">
      <w:rPr>
        <w:rFonts w:ascii="Times New Roman" w:eastAsia="Times New Roman" w:hAnsi="Times New Roman" w:cs="Times New Roman"/>
        <w:sz w:val="20"/>
      </w:rPr>
      <w:t>Всичко обороти за периода</w:t>
    </w:r>
  </w:p>
  <w:p w14:paraId="02BF2FC6" w14:textId="77777777" w:rsidR="008F2652" w:rsidRPr="004A30FF" w:rsidRDefault="008F2652">
    <w:pPr>
      <w:spacing w:after="0"/>
      <w:ind w:left="1949"/>
    </w:pPr>
    <w:r w:rsidRPr="004A30FF">
      <w:rPr>
        <w:rFonts w:ascii="Times New Roman" w:eastAsia="Times New Roman" w:hAnsi="Times New Roman" w:cs="Times New Roman"/>
        <w:sz w:val="20"/>
      </w:rPr>
      <w:t>Крайно салдо в лева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627A"/>
    <w:multiLevelType w:val="hybridMultilevel"/>
    <w:tmpl w:val="E5685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F7815"/>
    <w:multiLevelType w:val="hybridMultilevel"/>
    <w:tmpl w:val="2BD4CE7E"/>
    <w:lvl w:ilvl="0" w:tplc="3F3A1D6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51AD4"/>
    <w:multiLevelType w:val="hybridMultilevel"/>
    <w:tmpl w:val="7EBC6D70"/>
    <w:lvl w:ilvl="0" w:tplc="82E64B5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84C65"/>
    <w:multiLevelType w:val="multilevel"/>
    <w:tmpl w:val="28046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AA0A14"/>
    <w:multiLevelType w:val="hybridMultilevel"/>
    <w:tmpl w:val="C25CF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52351E"/>
    <w:multiLevelType w:val="hybridMultilevel"/>
    <w:tmpl w:val="F1448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11C46"/>
    <w:multiLevelType w:val="hybridMultilevel"/>
    <w:tmpl w:val="C21A1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709FF"/>
    <w:multiLevelType w:val="hybridMultilevel"/>
    <w:tmpl w:val="10D89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3B2C36"/>
    <w:multiLevelType w:val="hybridMultilevel"/>
    <w:tmpl w:val="B6C671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67C3A42"/>
    <w:multiLevelType w:val="hybridMultilevel"/>
    <w:tmpl w:val="1FD69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465A2"/>
    <w:multiLevelType w:val="hybridMultilevel"/>
    <w:tmpl w:val="2BD4CE7E"/>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83433E"/>
    <w:multiLevelType w:val="hybridMultilevel"/>
    <w:tmpl w:val="C4580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6F09D5"/>
    <w:multiLevelType w:val="hybridMultilevel"/>
    <w:tmpl w:val="5336A6D4"/>
    <w:lvl w:ilvl="0" w:tplc="E59AE4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864330"/>
    <w:multiLevelType w:val="hybridMultilevel"/>
    <w:tmpl w:val="E7BA4C7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4E3B75"/>
    <w:multiLevelType w:val="hybridMultilevel"/>
    <w:tmpl w:val="D44A9CC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437C68"/>
    <w:multiLevelType w:val="multilevel"/>
    <w:tmpl w:val="03EA9E7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6C6092"/>
    <w:multiLevelType w:val="hybridMultilevel"/>
    <w:tmpl w:val="29C26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5540A4"/>
    <w:multiLevelType w:val="hybridMultilevel"/>
    <w:tmpl w:val="AFE2E22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A11602"/>
    <w:multiLevelType w:val="hybridMultilevel"/>
    <w:tmpl w:val="54584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562EB6"/>
    <w:multiLevelType w:val="hybridMultilevel"/>
    <w:tmpl w:val="D04CA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AF17FA"/>
    <w:multiLevelType w:val="hybridMultilevel"/>
    <w:tmpl w:val="73C845B2"/>
    <w:lvl w:ilvl="0" w:tplc="A0C6465A">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B5F6C77"/>
    <w:multiLevelType w:val="hybridMultilevel"/>
    <w:tmpl w:val="6ECE6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B054D"/>
    <w:multiLevelType w:val="hybridMultilevel"/>
    <w:tmpl w:val="730294B8"/>
    <w:lvl w:ilvl="0" w:tplc="5492BD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346F15"/>
    <w:multiLevelType w:val="multilevel"/>
    <w:tmpl w:val="B03429BC"/>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4" w15:restartNumberingAfterBreak="0">
    <w:nsid w:val="71A06047"/>
    <w:multiLevelType w:val="hybridMultilevel"/>
    <w:tmpl w:val="D04CA1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A334BAB"/>
    <w:multiLevelType w:val="hybridMultilevel"/>
    <w:tmpl w:val="3398DD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CF2203D"/>
    <w:multiLevelType w:val="hybridMultilevel"/>
    <w:tmpl w:val="F0FA3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F8038B"/>
    <w:multiLevelType w:val="hybridMultilevel"/>
    <w:tmpl w:val="478633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FC50BFF"/>
    <w:multiLevelType w:val="hybridMultilevel"/>
    <w:tmpl w:val="CC706194"/>
    <w:lvl w:ilvl="0" w:tplc="094E79A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516941">
    <w:abstractNumId w:val="23"/>
  </w:num>
  <w:num w:numId="2" w16cid:durableId="424765702">
    <w:abstractNumId w:val="19"/>
  </w:num>
  <w:num w:numId="3" w16cid:durableId="1619530689">
    <w:abstractNumId w:val="15"/>
  </w:num>
  <w:num w:numId="4" w16cid:durableId="574246978">
    <w:abstractNumId w:val="22"/>
  </w:num>
  <w:num w:numId="5" w16cid:durableId="742483502">
    <w:abstractNumId w:val="2"/>
  </w:num>
  <w:num w:numId="6" w16cid:durableId="86655487">
    <w:abstractNumId w:val="7"/>
  </w:num>
  <w:num w:numId="7" w16cid:durableId="1000234499">
    <w:abstractNumId w:val="11"/>
  </w:num>
  <w:num w:numId="8" w16cid:durableId="107899520">
    <w:abstractNumId w:val="1"/>
  </w:num>
  <w:num w:numId="9" w16cid:durableId="1611357132">
    <w:abstractNumId w:val="17"/>
  </w:num>
  <w:num w:numId="10" w16cid:durableId="461969115">
    <w:abstractNumId w:val="9"/>
  </w:num>
  <w:num w:numId="11" w16cid:durableId="2052221973">
    <w:abstractNumId w:val="18"/>
  </w:num>
  <w:num w:numId="12" w16cid:durableId="1803376057">
    <w:abstractNumId w:val="14"/>
  </w:num>
  <w:num w:numId="13" w16cid:durableId="1201475123">
    <w:abstractNumId w:val="13"/>
  </w:num>
  <w:num w:numId="14" w16cid:durableId="1804540845">
    <w:abstractNumId w:val="0"/>
  </w:num>
  <w:num w:numId="15" w16cid:durableId="1021475472">
    <w:abstractNumId w:val="21"/>
  </w:num>
  <w:num w:numId="16" w16cid:durableId="612633953">
    <w:abstractNumId w:val="5"/>
  </w:num>
  <w:num w:numId="17" w16cid:durableId="1314407264">
    <w:abstractNumId w:val="26"/>
  </w:num>
  <w:num w:numId="18" w16cid:durableId="2065330065">
    <w:abstractNumId w:val="6"/>
  </w:num>
  <w:num w:numId="19" w16cid:durableId="1559705933">
    <w:abstractNumId w:val="12"/>
  </w:num>
  <w:num w:numId="20" w16cid:durableId="1310474291">
    <w:abstractNumId w:val="16"/>
  </w:num>
  <w:num w:numId="21" w16cid:durableId="247661353">
    <w:abstractNumId w:val="4"/>
  </w:num>
  <w:num w:numId="22" w16cid:durableId="530267252">
    <w:abstractNumId w:val="28"/>
  </w:num>
  <w:num w:numId="23" w16cid:durableId="1637443245">
    <w:abstractNumId w:val="24"/>
  </w:num>
  <w:num w:numId="24" w16cid:durableId="1063916915">
    <w:abstractNumId w:val="10"/>
  </w:num>
  <w:num w:numId="25" w16cid:durableId="598874902">
    <w:abstractNumId w:val="3"/>
  </w:num>
  <w:num w:numId="26" w16cid:durableId="428626285">
    <w:abstractNumId w:val="25"/>
  </w:num>
  <w:num w:numId="27" w16cid:durableId="1515459816">
    <w:abstractNumId w:val="8"/>
  </w:num>
  <w:num w:numId="28" w16cid:durableId="2059012244">
    <w:abstractNumId w:val="20"/>
  </w:num>
  <w:num w:numId="29" w16cid:durableId="161605886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66"/>
    <w:rsid w:val="0000251F"/>
    <w:rsid w:val="000057A9"/>
    <w:rsid w:val="0001789A"/>
    <w:rsid w:val="000251C5"/>
    <w:rsid w:val="00025D47"/>
    <w:rsid w:val="00030043"/>
    <w:rsid w:val="00033061"/>
    <w:rsid w:val="00041EA6"/>
    <w:rsid w:val="0004675C"/>
    <w:rsid w:val="00047952"/>
    <w:rsid w:val="00054B4F"/>
    <w:rsid w:val="00055008"/>
    <w:rsid w:val="00057A1A"/>
    <w:rsid w:val="0006181C"/>
    <w:rsid w:val="00063CC0"/>
    <w:rsid w:val="00063CCF"/>
    <w:rsid w:val="000725C1"/>
    <w:rsid w:val="000740D5"/>
    <w:rsid w:val="00075741"/>
    <w:rsid w:val="000778A4"/>
    <w:rsid w:val="000846DB"/>
    <w:rsid w:val="00084EB0"/>
    <w:rsid w:val="00087061"/>
    <w:rsid w:val="00091569"/>
    <w:rsid w:val="00091813"/>
    <w:rsid w:val="000921EE"/>
    <w:rsid w:val="00093624"/>
    <w:rsid w:val="00093ED4"/>
    <w:rsid w:val="00096383"/>
    <w:rsid w:val="00097F9B"/>
    <w:rsid w:val="000A129B"/>
    <w:rsid w:val="000A41F1"/>
    <w:rsid w:val="000A6A3B"/>
    <w:rsid w:val="000B01F5"/>
    <w:rsid w:val="000B267E"/>
    <w:rsid w:val="000B6C4C"/>
    <w:rsid w:val="000C22DA"/>
    <w:rsid w:val="000C3641"/>
    <w:rsid w:val="000D0357"/>
    <w:rsid w:val="000D40AB"/>
    <w:rsid w:val="000D539E"/>
    <w:rsid w:val="000E0A0D"/>
    <w:rsid w:val="000E24F7"/>
    <w:rsid w:val="000E3D3A"/>
    <w:rsid w:val="000E77C4"/>
    <w:rsid w:val="000F0C32"/>
    <w:rsid w:val="000F1E63"/>
    <w:rsid w:val="000F51B4"/>
    <w:rsid w:val="0010028A"/>
    <w:rsid w:val="0010365C"/>
    <w:rsid w:val="0010620E"/>
    <w:rsid w:val="001069E2"/>
    <w:rsid w:val="00110879"/>
    <w:rsid w:val="00110F42"/>
    <w:rsid w:val="00111BE8"/>
    <w:rsid w:val="00112879"/>
    <w:rsid w:val="001129A9"/>
    <w:rsid w:val="00114B15"/>
    <w:rsid w:val="00116243"/>
    <w:rsid w:val="00143D5C"/>
    <w:rsid w:val="00150430"/>
    <w:rsid w:val="00152488"/>
    <w:rsid w:val="0016173B"/>
    <w:rsid w:val="00161C5A"/>
    <w:rsid w:val="00161EE3"/>
    <w:rsid w:val="00166E29"/>
    <w:rsid w:val="001733FB"/>
    <w:rsid w:val="001761C5"/>
    <w:rsid w:val="00176696"/>
    <w:rsid w:val="00176E39"/>
    <w:rsid w:val="00181513"/>
    <w:rsid w:val="001854EA"/>
    <w:rsid w:val="001857E5"/>
    <w:rsid w:val="00192C6D"/>
    <w:rsid w:val="00194273"/>
    <w:rsid w:val="001A0A47"/>
    <w:rsid w:val="001A1FB1"/>
    <w:rsid w:val="001B46B9"/>
    <w:rsid w:val="001B4BEB"/>
    <w:rsid w:val="001B7902"/>
    <w:rsid w:val="001C0DDD"/>
    <w:rsid w:val="001C10DD"/>
    <w:rsid w:val="001C61CF"/>
    <w:rsid w:val="001C669A"/>
    <w:rsid w:val="001D235C"/>
    <w:rsid w:val="001D6151"/>
    <w:rsid w:val="001D764C"/>
    <w:rsid w:val="001E44C8"/>
    <w:rsid w:val="001E45FA"/>
    <w:rsid w:val="00200C74"/>
    <w:rsid w:val="00205295"/>
    <w:rsid w:val="00205ADF"/>
    <w:rsid w:val="00210B70"/>
    <w:rsid w:val="00214AEB"/>
    <w:rsid w:val="00214F21"/>
    <w:rsid w:val="0021652F"/>
    <w:rsid w:val="002207F7"/>
    <w:rsid w:val="00222DE3"/>
    <w:rsid w:val="00223AD7"/>
    <w:rsid w:val="00223CFE"/>
    <w:rsid w:val="00233674"/>
    <w:rsid w:val="00245F7A"/>
    <w:rsid w:val="00246FB8"/>
    <w:rsid w:val="002477F8"/>
    <w:rsid w:val="0025224D"/>
    <w:rsid w:val="00252CD5"/>
    <w:rsid w:val="00267B7E"/>
    <w:rsid w:val="00270197"/>
    <w:rsid w:val="0027033C"/>
    <w:rsid w:val="002731B9"/>
    <w:rsid w:val="00285489"/>
    <w:rsid w:val="00286C49"/>
    <w:rsid w:val="0029095F"/>
    <w:rsid w:val="00290A90"/>
    <w:rsid w:val="00290C27"/>
    <w:rsid w:val="00292F4F"/>
    <w:rsid w:val="002930CC"/>
    <w:rsid w:val="002A1530"/>
    <w:rsid w:val="002A198E"/>
    <w:rsid w:val="002B6232"/>
    <w:rsid w:val="002B626C"/>
    <w:rsid w:val="002C61C5"/>
    <w:rsid w:val="002D29D0"/>
    <w:rsid w:val="002D3040"/>
    <w:rsid w:val="002D602C"/>
    <w:rsid w:val="002D6C1C"/>
    <w:rsid w:val="002E109B"/>
    <w:rsid w:val="002E649D"/>
    <w:rsid w:val="002F3534"/>
    <w:rsid w:val="002F6535"/>
    <w:rsid w:val="002F7379"/>
    <w:rsid w:val="002F794A"/>
    <w:rsid w:val="00302B81"/>
    <w:rsid w:val="00304C00"/>
    <w:rsid w:val="0030794E"/>
    <w:rsid w:val="00310CB5"/>
    <w:rsid w:val="00312664"/>
    <w:rsid w:val="00312921"/>
    <w:rsid w:val="00312A6C"/>
    <w:rsid w:val="00315CFC"/>
    <w:rsid w:val="00315F72"/>
    <w:rsid w:val="003201C5"/>
    <w:rsid w:val="0032183B"/>
    <w:rsid w:val="00326F66"/>
    <w:rsid w:val="00332859"/>
    <w:rsid w:val="003348EE"/>
    <w:rsid w:val="00336CA2"/>
    <w:rsid w:val="00336D38"/>
    <w:rsid w:val="00337E26"/>
    <w:rsid w:val="0034109C"/>
    <w:rsid w:val="00346513"/>
    <w:rsid w:val="00350FD8"/>
    <w:rsid w:val="00357E96"/>
    <w:rsid w:val="00360008"/>
    <w:rsid w:val="003610CB"/>
    <w:rsid w:val="00362E82"/>
    <w:rsid w:val="00364B9C"/>
    <w:rsid w:val="003652F2"/>
    <w:rsid w:val="003652F5"/>
    <w:rsid w:val="00375C71"/>
    <w:rsid w:val="003846D4"/>
    <w:rsid w:val="00390465"/>
    <w:rsid w:val="00390909"/>
    <w:rsid w:val="00391771"/>
    <w:rsid w:val="00393E28"/>
    <w:rsid w:val="00394E50"/>
    <w:rsid w:val="003B663F"/>
    <w:rsid w:val="003B70E3"/>
    <w:rsid w:val="003B710C"/>
    <w:rsid w:val="003C07FD"/>
    <w:rsid w:val="003C0C02"/>
    <w:rsid w:val="003C1255"/>
    <w:rsid w:val="003C1604"/>
    <w:rsid w:val="003C455B"/>
    <w:rsid w:val="003C4D8E"/>
    <w:rsid w:val="003C5619"/>
    <w:rsid w:val="003D073B"/>
    <w:rsid w:val="003D1EF6"/>
    <w:rsid w:val="003D2AE4"/>
    <w:rsid w:val="003D7F26"/>
    <w:rsid w:val="003E01C9"/>
    <w:rsid w:val="003E1EA2"/>
    <w:rsid w:val="003E4DE2"/>
    <w:rsid w:val="003E59BF"/>
    <w:rsid w:val="003E737E"/>
    <w:rsid w:val="003F5116"/>
    <w:rsid w:val="003F7555"/>
    <w:rsid w:val="00400662"/>
    <w:rsid w:val="004043E6"/>
    <w:rsid w:val="00406A61"/>
    <w:rsid w:val="00406E10"/>
    <w:rsid w:val="00407BB0"/>
    <w:rsid w:val="00414356"/>
    <w:rsid w:val="00414803"/>
    <w:rsid w:val="00420617"/>
    <w:rsid w:val="004315E7"/>
    <w:rsid w:val="004355E8"/>
    <w:rsid w:val="004420B6"/>
    <w:rsid w:val="00444C3B"/>
    <w:rsid w:val="004561BC"/>
    <w:rsid w:val="0045675F"/>
    <w:rsid w:val="00462FE6"/>
    <w:rsid w:val="00465065"/>
    <w:rsid w:val="0048169C"/>
    <w:rsid w:val="0049067C"/>
    <w:rsid w:val="0049067F"/>
    <w:rsid w:val="00490B74"/>
    <w:rsid w:val="00490CA4"/>
    <w:rsid w:val="00493060"/>
    <w:rsid w:val="00495131"/>
    <w:rsid w:val="004A30FF"/>
    <w:rsid w:val="004A42D8"/>
    <w:rsid w:val="004A6608"/>
    <w:rsid w:val="004B54CE"/>
    <w:rsid w:val="004B6140"/>
    <w:rsid w:val="004B6DF5"/>
    <w:rsid w:val="004C02AC"/>
    <w:rsid w:val="004C3D9D"/>
    <w:rsid w:val="004C448B"/>
    <w:rsid w:val="004C582F"/>
    <w:rsid w:val="004C6EEF"/>
    <w:rsid w:val="004D03BD"/>
    <w:rsid w:val="004D42F6"/>
    <w:rsid w:val="004D54D4"/>
    <w:rsid w:val="004D696B"/>
    <w:rsid w:val="004D7A3A"/>
    <w:rsid w:val="004F1060"/>
    <w:rsid w:val="004F4470"/>
    <w:rsid w:val="0050418A"/>
    <w:rsid w:val="005101AA"/>
    <w:rsid w:val="00510928"/>
    <w:rsid w:val="0051504B"/>
    <w:rsid w:val="00516A49"/>
    <w:rsid w:val="00517A5D"/>
    <w:rsid w:val="00520D87"/>
    <w:rsid w:val="00540B05"/>
    <w:rsid w:val="00551A1A"/>
    <w:rsid w:val="0055632E"/>
    <w:rsid w:val="00557603"/>
    <w:rsid w:val="0056018D"/>
    <w:rsid w:val="005602C3"/>
    <w:rsid w:val="00560A24"/>
    <w:rsid w:val="0056140B"/>
    <w:rsid w:val="0056568C"/>
    <w:rsid w:val="0057164C"/>
    <w:rsid w:val="0057383E"/>
    <w:rsid w:val="00574D2C"/>
    <w:rsid w:val="00576BB5"/>
    <w:rsid w:val="00581E4D"/>
    <w:rsid w:val="005927A7"/>
    <w:rsid w:val="005961A2"/>
    <w:rsid w:val="005A66A7"/>
    <w:rsid w:val="005B27D0"/>
    <w:rsid w:val="005B44AE"/>
    <w:rsid w:val="005B6DEC"/>
    <w:rsid w:val="005B72EA"/>
    <w:rsid w:val="005C167E"/>
    <w:rsid w:val="005C3333"/>
    <w:rsid w:val="005C524B"/>
    <w:rsid w:val="005C653E"/>
    <w:rsid w:val="005D75EC"/>
    <w:rsid w:val="005E49DC"/>
    <w:rsid w:val="005F31AB"/>
    <w:rsid w:val="005F4701"/>
    <w:rsid w:val="00606F24"/>
    <w:rsid w:val="00612EF4"/>
    <w:rsid w:val="00613F3D"/>
    <w:rsid w:val="00621722"/>
    <w:rsid w:val="00623D53"/>
    <w:rsid w:val="006308AB"/>
    <w:rsid w:val="00631447"/>
    <w:rsid w:val="006366B9"/>
    <w:rsid w:val="0064059F"/>
    <w:rsid w:val="00644FBE"/>
    <w:rsid w:val="00646D8F"/>
    <w:rsid w:val="006547A0"/>
    <w:rsid w:val="0065690F"/>
    <w:rsid w:val="006634D4"/>
    <w:rsid w:val="00665629"/>
    <w:rsid w:val="00665C74"/>
    <w:rsid w:val="0067000D"/>
    <w:rsid w:val="00670403"/>
    <w:rsid w:val="00671E6E"/>
    <w:rsid w:val="0067228E"/>
    <w:rsid w:val="00676800"/>
    <w:rsid w:val="00682A0C"/>
    <w:rsid w:val="0068325D"/>
    <w:rsid w:val="006861B8"/>
    <w:rsid w:val="00690786"/>
    <w:rsid w:val="006917FC"/>
    <w:rsid w:val="006928D1"/>
    <w:rsid w:val="00696C33"/>
    <w:rsid w:val="006A366A"/>
    <w:rsid w:val="006B21EB"/>
    <w:rsid w:val="006C4EF1"/>
    <w:rsid w:val="006D09F2"/>
    <w:rsid w:val="006E0BF6"/>
    <w:rsid w:val="006E6B87"/>
    <w:rsid w:val="006F1785"/>
    <w:rsid w:val="00700F17"/>
    <w:rsid w:val="00704976"/>
    <w:rsid w:val="0070748B"/>
    <w:rsid w:val="0071037E"/>
    <w:rsid w:val="00717975"/>
    <w:rsid w:val="0072108B"/>
    <w:rsid w:val="00723A23"/>
    <w:rsid w:val="00732C3E"/>
    <w:rsid w:val="007354B8"/>
    <w:rsid w:val="007369A2"/>
    <w:rsid w:val="007377BE"/>
    <w:rsid w:val="0074796A"/>
    <w:rsid w:val="00754F43"/>
    <w:rsid w:val="00761E0D"/>
    <w:rsid w:val="007726C6"/>
    <w:rsid w:val="00772743"/>
    <w:rsid w:val="00772DBE"/>
    <w:rsid w:val="00775A07"/>
    <w:rsid w:val="0077755F"/>
    <w:rsid w:val="00780B5B"/>
    <w:rsid w:val="00782C76"/>
    <w:rsid w:val="00783D7B"/>
    <w:rsid w:val="00787C7D"/>
    <w:rsid w:val="00787E13"/>
    <w:rsid w:val="00791E6A"/>
    <w:rsid w:val="007951B7"/>
    <w:rsid w:val="007A2B51"/>
    <w:rsid w:val="007B1706"/>
    <w:rsid w:val="007B7E56"/>
    <w:rsid w:val="007C0AF9"/>
    <w:rsid w:val="007C51EC"/>
    <w:rsid w:val="007C58A9"/>
    <w:rsid w:val="007C6D46"/>
    <w:rsid w:val="007C7DE8"/>
    <w:rsid w:val="007D1C6E"/>
    <w:rsid w:val="007D25EF"/>
    <w:rsid w:val="007D2C97"/>
    <w:rsid w:val="007E1594"/>
    <w:rsid w:val="007E4717"/>
    <w:rsid w:val="007E4F25"/>
    <w:rsid w:val="007E727B"/>
    <w:rsid w:val="007F39E1"/>
    <w:rsid w:val="007F3CC3"/>
    <w:rsid w:val="0080231B"/>
    <w:rsid w:val="008029D3"/>
    <w:rsid w:val="00805334"/>
    <w:rsid w:val="00806BD0"/>
    <w:rsid w:val="00810927"/>
    <w:rsid w:val="00814864"/>
    <w:rsid w:val="00824FAE"/>
    <w:rsid w:val="008353F2"/>
    <w:rsid w:val="00840460"/>
    <w:rsid w:val="00843CB3"/>
    <w:rsid w:val="008459D5"/>
    <w:rsid w:val="00846F8D"/>
    <w:rsid w:val="00851803"/>
    <w:rsid w:val="00851EF2"/>
    <w:rsid w:val="0085258A"/>
    <w:rsid w:val="008574CB"/>
    <w:rsid w:val="00860367"/>
    <w:rsid w:val="00862AC8"/>
    <w:rsid w:val="00862BB9"/>
    <w:rsid w:val="00863C65"/>
    <w:rsid w:val="008649AF"/>
    <w:rsid w:val="00872040"/>
    <w:rsid w:val="00875C00"/>
    <w:rsid w:val="00876CFB"/>
    <w:rsid w:val="00876FA0"/>
    <w:rsid w:val="00882740"/>
    <w:rsid w:val="00883E7E"/>
    <w:rsid w:val="00887E63"/>
    <w:rsid w:val="00891644"/>
    <w:rsid w:val="00894473"/>
    <w:rsid w:val="0089589B"/>
    <w:rsid w:val="008B1945"/>
    <w:rsid w:val="008C0E37"/>
    <w:rsid w:val="008C5C11"/>
    <w:rsid w:val="008D142B"/>
    <w:rsid w:val="008D393A"/>
    <w:rsid w:val="008E58E6"/>
    <w:rsid w:val="008E7D8F"/>
    <w:rsid w:val="008E7E7C"/>
    <w:rsid w:val="008F2652"/>
    <w:rsid w:val="009003C3"/>
    <w:rsid w:val="00900B28"/>
    <w:rsid w:val="009016A2"/>
    <w:rsid w:val="00912490"/>
    <w:rsid w:val="00912AA0"/>
    <w:rsid w:val="00912C16"/>
    <w:rsid w:val="0091411C"/>
    <w:rsid w:val="009225B9"/>
    <w:rsid w:val="0092335B"/>
    <w:rsid w:val="0092417C"/>
    <w:rsid w:val="00925303"/>
    <w:rsid w:val="00926593"/>
    <w:rsid w:val="009279D5"/>
    <w:rsid w:val="0093227F"/>
    <w:rsid w:val="00933478"/>
    <w:rsid w:val="009351E6"/>
    <w:rsid w:val="00936E43"/>
    <w:rsid w:val="00940CF0"/>
    <w:rsid w:val="0094360F"/>
    <w:rsid w:val="0094538D"/>
    <w:rsid w:val="0094717F"/>
    <w:rsid w:val="00952D98"/>
    <w:rsid w:val="0095455D"/>
    <w:rsid w:val="0096533D"/>
    <w:rsid w:val="00972BE1"/>
    <w:rsid w:val="00973B48"/>
    <w:rsid w:val="009816B6"/>
    <w:rsid w:val="0098464F"/>
    <w:rsid w:val="009928C2"/>
    <w:rsid w:val="00993685"/>
    <w:rsid w:val="009943F2"/>
    <w:rsid w:val="00996AB9"/>
    <w:rsid w:val="009A0121"/>
    <w:rsid w:val="009A12E7"/>
    <w:rsid w:val="009A2955"/>
    <w:rsid w:val="009A41FE"/>
    <w:rsid w:val="009A7992"/>
    <w:rsid w:val="009B2188"/>
    <w:rsid w:val="009C05EB"/>
    <w:rsid w:val="009C13F6"/>
    <w:rsid w:val="009C19C9"/>
    <w:rsid w:val="009C5DF8"/>
    <w:rsid w:val="009C6758"/>
    <w:rsid w:val="009D20AB"/>
    <w:rsid w:val="009D32CF"/>
    <w:rsid w:val="009D4683"/>
    <w:rsid w:val="009E03E9"/>
    <w:rsid w:val="009E0640"/>
    <w:rsid w:val="009E31E5"/>
    <w:rsid w:val="009E685A"/>
    <w:rsid w:val="009F7124"/>
    <w:rsid w:val="009F7D11"/>
    <w:rsid w:val="00A03D67"/>
    <w:rsid w:val="00A05307"/>
    <w:rsid w:val="00A1051B"/>
    <w:rsid w:val="00A141E7"/>
    <w:rsid w:val="00A14858"/>
    <w:rsid w:val="00A250BD"/>
    <w:rsid w:val="00A26D6E"/>
    <w:rsid w:val="00A3131C"/>
    <w:rsid w:val="00A40F3D"/>
    <w:rsid w:val="00A505A6"/>
    <w:rsid w:val="00A5120B"/>
    <w:rsid w:val="00A5452E"/>
    <w:rsid w:val="00A648AB"/>
    <w:rsid w:val="00A65CE2"/>
    <w:rsid w:val="00A700C2"/>
    <w:rsid w:val="00A73520"/>
    <w:rsid w:val="00A770D1"/>
    <w:rsid w:val="00A77358"/>
    <w:rsid w:val="00A8505C"/>
    <w:rsid w:val="00A86DD1"/>
    <w:rsid w:val="00A967D6"/>
    <w:rsid w:val="00AA5802"/>
    <w:rsid w:val="00AA686A"/>
    <w:rsid w:val="00AA7FF7"/>
    <w:rsid w:val="00AB165E"/>
    <w:rsid w:val="00AB1CAC"/>
    <w:rsid w:val="00AB723F"/>
    <w:rsid w:val="00AC22E5"/>
    <w:rsid w:val="00AC3CA7"/>
    <w:rsid w:val="00AC7F79"/>
    <w:rsid w:val="00AD20B5"/>
    <w:rsid w:val="00AE1036"/>
    <w:rsid w:val="00AE4FA9"/>
    <w:rsid w:val="00AE79F4"/>
    <w:rsid w:val="00AF27C8"/>
    <w:rsid w:val="00AF6F3F"/>
    <w:rsid w:val="00B05579"/>
    <w:rsid w:val="00B10A2A"/>
    <w:rsid w:val="00B25AB3"/>
    <w:rsid w:val="00B3097B"/>
    <w:rsid w:val="00B34584"/>
    <w:rsid w:val="00B40E26"/>
    <w:rsid w:val="00B415C1"/>
    <w:rsid w:val="00B556D3"/>
    <w:rsid w:val="00B57C64"/>
    <w:rsid w:val="00B609A4"/>
    <w:rsid w:val="00B66319"/>
    <w:rsid w:val="00B75AFE"/>
    <w:rsid w:val="00B7776F"/>
    <w:rsid w:val="00B836AF"/>
    <w:rsid w:val="00B841FC"/>
    <w:rsid w:val="00B85077"/>
    <w:rsid w:val="00BA1788"/>
    <w:rsid w:val="00BA4B6F"/>
    <w:rsid w:val="00BB0318"/>
    <w:rsid w:val="00BB0CF2"/>
    <w:rsid w:val="00BB5FD1"/>
    <w:rsid w:val="00BC257F"/>
    <w:rsid w:val="00BC43D5"/>
    <w:rsid w:val="00BD3642"/>
    <w:rsid w:val="00BD6F8B"/>
    <w:rsid w:val="00BE063F"/>
    <w:rsid w:val="00BE0EA1"/>
    <w:rsid w:val="00BE1EE6"/>
    <w:rsid w:val="00BE5A36"/>
    <w:rsid w:val="00BE7BFB"/>
    <w:rsid w:val="00BF0C43"/>
    <w:rsid w:val="00BF17E4"/>
    <w:rsid w:val="00BF2214"/>
    <w:rsid w:val="00C0195A"/>
    <w:rsid w:val="00C01EC7"/>
    <w:rsid w:val="00C02AE3"/>
    <w:rsid w:val="00C056CA"/>
    <w:rsid w:val="00C15187"/>
    <w:rsid w:val="00C20C9B"/>
    <w:rsid w:val="00C21518"/>
    <w:rsid w:val="00C43161"/>
    <w:rsid w:val="00C5370F"/>
    <w:rsid w:val="00C55466"/>
    <w:rsid w:val="00C56891"/>
    <w:rsid w:val="00C56A62"/>
    <w:rsid w:val="00C65345"/>
    <w:rsid w:val="00C67117"/>
    <w:rsid w:val="00C73FC9"/>
    <w:rsid w:val="00C74BFB"/>
    <w:rsid w:val="00C94975"/>
    <w:rsid w:val="00CA146A"/>
    <w:rsid w:val="00CA7A77"/>
    <w:rsid w:val="00CA7FFC"/>
    <w:rsid w:val="00CB11FD"/>
    <w:rsid w:val="00CB2D6B"/>
    <w:rsid w:val="00CC060D"/>
    <w:rsid w:val="00CE1AF9"/>
    <w:rsid w:val="00CE1EC7"/>
    <w:rsid w:val="00CE4BF1"/>
    <w:rsid w:val="00CE4C87"/>
    <w:rsid w:val="00CF1931"/>
    <w:rsid w:val="00CF5910"/>
    <w:rsid w:val="00D0010C"/>
    <w:rsid w:val="00D0398C"/>
    <w:rsid w:val="00D05AD4"/>
    <w:rsid w:val="00D17BF1"/>
    <w:rsid w:val="00D21877"/>
    <w:rsid w:val="00D246F3"/>
    <w:rsid w:val="00D25E36"/>
    <w:rsid w:val="00D2680E"/>
    <w:rsid w:val="00D26A6A"/>
    <w:rsid w:val="00D35431"/>
    <w:rsid w:val="00D40181"/>
    <w:rsid w:val="00D44F02"/>
    <w:rsid w:val="00D46395"/>
    <w:rsid w:val="00D475D5"/>
    <w:rsid w:val="00D52CBF"/>
    <w:rsid w:val="00D53FD5"/>
    <w:rsid w:val="00D62CF8"/>
    <w:rsid w:val="00D7728B"/>
    <w:rsid w:val="00D81197"/>
    <w:rsid w:val="00D90C0A"/>
    <w:rsid w:val="00D946C2"/>
    <w:rsid w:val="00D95B48"/>
    <w:rsid w:val="00DA2CD7"/>
    <w:rsid w:val="00DA337C"/>
    <w:rsid w:val="00DA58C2"/>
    <w:rsid w:val="00DB242C"/>
    <w:rsid w:val="00DC1683"/>
    <w:rsid w:val="00DC3BBF"/>
    <w:rsid w:val="00DC71D8"/>
    <w:rsid w:val="00DD4260"/>
    <w:rsid w:val="00DD48EE"/>
    <w:rsid w:val="00DD6273"/>
    <w:rsid w:val="00DD6401"/>
    <w:rsid w:val="00DD6C6F"/>
    <w:rsid w:val="00DE2D34"/>
    <w:rsid w:val="00DE3257"/>
    <w:rsid w:val="00DE4862"/>
    <w:rsid w:val="00DF068E"/>
    <w:rsid w:val="00DF17F7"/>
    <w:rsid w:val="00DF21FF"/>
    <w:rsid w:val="00DF32DA"/>
    <w:rsid w:val="00DF3BF5"/>
    <w:rsid w:val="00E07316"/>
    <w:rsid w:val="00E11CFC"/>
    <w:rsid w:val="00E1642D"/>
    <w:rsid w:val="00E228E0"/>
    <w:rsid w:val="00E27D59"/>
    <w:rsid w:val="00E30899"/>
    <w:rsid w:val="00E341A6"/>
    <w:rsid w:val="00E36022"/>
    <w:rsid w:val="00E4183E"/>
    <w:rsid w:val="00E45069"/>
    <w:rsid w:val="00E51DAC"/>
    <w:rsid w:val="00E51FA7"/>
    <w:rsid w:val="00E52001"/>
    <w:rsid w:val="00E53A6F"/>
    <w:rsid w:val="00E56496"/>
    <w:rsid w:val="00E63128"/>
    <w:rsid w:val="00E645F3"/>
    <w:rsid w:val="00E71D6F"/>
    <w:rsid w:val="00E74381"/>
    <w:rsid w:val="00E75E4F"/>
    <w:rsid w:val="00E76D42"/>
    <w:rsid w:val="00E76FEB"/>
    <w:rsid w:val="00E807B7"/>
    <w:rsid w:val="00E80F11"/>
    <w:rsid w:val="00E8519D"/>
    <w:rsid w:val="00EA26B4"/>
    <w:rsid w:val="00EB2866"/>
    <w:rsid w:val="00EC7679"/>
    <w:rsid w:val="00ED1CA0"/>
    <w:rsid w:val="00ED245E"/>
    <w:rsid w:val="00ED5A98"/>
    <w:rsid w:val="00ED6251"/>
    <w:rsid w:val="00ED6A67"/>
    <w:rsid w:val="00ED7AB8"/>
    <w:rsid w:val="00EE59FE"/>
    <w:rsid w:val="00EE62E4"/>
    <w:rsid w:val="00EE75EC"/>
    <w:rsid w:val="00EF4599"/>
    <w:rsid w:val="00EF5DBB"/>
    <w:rsid w:val="00F0132D"/>
    <w:rsid w:val="00F03AB1"/>
    <w:rsid w:val="00F10440"/>
    <w:rsid w:val="00F123F0"/>
    <w:rsid w:val="00F16906"/>
    <w:rsid w:val="00F21799"/>
    <w:rsid w:val="00F224C1"/>
    <w:rsid w:val="00F22FC7"/>
    <w:rsid w:val="00F255DB"/>
    <w:rsid w:val="00F300C0"/>
    <w:rsid w:val="00F3352B"/>
    <w:rsid w:val="00F35149"/>
    <w:rsid w:val="00F352AB"/>
    <w:rsid w:val="00F355B5"/>
    <w:rsid w:val="00F36733"/>
    <w:rsid w:val="00F421C3"/>
    <w:rsid w:val="00F459E8"/>
    <w:rsid w:val="00F45B2D"/>
    <w:rsid w:val="00F4678C"/>
    <w:rsid w:val="00F60ACD"/>
    <w:rsid w:val="00F61493"/>
    <w:rsid w:val="00F64F02"/>
    <w:rsid w:val="00F70812"/>
    <w:rsid w:val="00F70FBC"/>
    <w:rsid w:val="00F77774"/>
    <w:rsid w:val="00F818B2"/>
    <w:rsid w:val="00F81DF7"/>
    <w:rsid w:val="00F83876"/>
    <w:rsid w:val="00F85B7A"/>
    <w:rsid w:val="00F86FC2"/>
    <w:rsid w:val="00F87E6C"/>
    <w:rsid w:val="00F918FD"/>
    <w:rsid w:val="00F96834"/>
    <w:rsid w:val="00F96DC1"/>
    <w:rsid w:val="00FB0254"/>
    <w:rsid w:val="00FB3AD9"/>
    <w:rsid w:val="00FC0A44"/>
    <w:rsid w:val="00FC1CEF"/>
    <w:rsid w:val="00FC2138"/>
    <w:rsid w:val="00FD3E50"/>
    <w:rsid w:val="00FD7CB3"/>
    <w:rsid w:val="00FE5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55EF5"/>
  <w15:chartTrackingRefBased/>
  <w15:docId w15:val="{2B875FC9-01F2-4781-B8FC-A84144D5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945"/>
    <w:rPr>
      <w:lang w:val="bg-BG"/>
    </w:rPr>
  </w:style>
  <w:style w:type="paragraph" w:styleId="Heading1">
    <w:name w:val="heading 1"/>
    <w:next w:val="Normal"/>
    <w:link w:val="Heading1Char"/>
    <w:uiPriority w:val="9"/>
    <w:qFormat/>
    <w:rsid w:val="00393E28"/>
    <w:pPr>
      <w:keepNext/>
      <w:keepLines/>
      <w:spacing w:after="15"/>
      <w:jc w:val="center"/>
      <w:outlineLvl w:val="0"/>
    </w:pPr>
    <w:rPr>
      <w:rFonts w:ascii="Times New Roman" w:eastAsia="Times New Roman" w:hAnsi="Times New Roman" w:cs="Times New Roman"/>
      <w:color w:val="000000"/>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6F66"/>
    <w:rPr>
      <w:sz w:val="16"/>
      <w:szCs w:val="16"/>
    </w:rPr>
  </w:style>
  <w:style w:type="paragraph" w:styleId="CommentText">
    <w:name w:val="annotation text"/>
    <w:basedOn w:val="Normal"/>
    <w:link w:val="CommentTextChar"/>
    <w:uiPriority w:val="99"/>
    <w:semiHidden/>
    <w:unhideWhenUsed/>
    <w:rsid w:val="00326F66"/>
    <w:pPr>
      <w:spacing w:line="240" w:lineRule="auto"/>
    </w:pPr>
    <w:rPr>
      <w:sz w:val="20"/>
      <w:szCs w:val="20"/>
    </w:rPr>
  </w:style>
  <w:style w:type="character" w:customStyle="1" w:styleId="CommentTextChar">
    <w:name w:val="Comment Text Char"/>
    <w:basedOn w:val="DefaultParagraphFont"/>
    <w:link w:val="CommentText"/>
    <w:uiPriority w:val="99"/>
    <w:semiHidden/>
    <w:rsid w:val="00326F66"/>
    <w:rPr>
      <w:sz w:val="20"/>
      <w:szCs w:val="20"/>
    </w:rPr>
  </w:style>
  <w:style w:type="paragraph" w:styleId="CommentSubject">
    <w:name w:val="annotation subject"/>
    <w:basedOn w:val="CommentText"/>
    <w:next w:val="CommentText"/>
    <w:link w:val="CommentSubjectChar"/>
    <w:uiPriority w:val="99"/>
    <w:semiHidden/>
    <w:unhideWhenUsed/>
    <w:rsid w:val="00326F66"/>
    <w:rPr>
      <w:b/>
      <w:bCs/>
    </w:rPr>
  </w:style>
  <w:style w:type="character" w:customStyle="1" w:styleId="CommentSubjectChar">
    <w:name w:val="Comment Subject Char"/>
    <w:basedOn w:val="CommentTextChar"/>
    <w:link w:val="CommentSubject"/>
    <w:uiPriority w:val="99"/>
    <w:semiHidden/>
    <w:rsid w:val="00326F66"/>
    <w:rPr>
      <w:b/>
      <w:bCs/>
      <w:sz w:val="20"/>
      <w:szCs w:val="20"/>
    </w:rPr>
  </w:style>
  <w:style w:type="paragraph" w:styleId="ListParagraph">
    <w:name w:val="List Paragraph"/>
    <w:basedOn w:val="Normal"/>
    <w:uiPriority w:val="34"/>
    <w:qFormat/>
    <w:rsid w:val="006308AB"/>
    <w:pPr>
      <w:ind w:left="720"/>
      <w:contextualSpacing/>
    </w:pPr>
  </w:style>
  <w:style w:type="character" w:styleId="Hyperlink">
    <w:name w:val="Hyperlink"/>
    <w:basedOn w:val="DefaultParagraphFont"/>
    <w:uiPriority w:val="99"/>
    <w:unhideWhenUsed/>
    <w:rsid w:val="00F22FC7"/>
    <w:rPr>
      <w:color w:val="CC9900" w:themeColor="hyperlink"/>
      <w:u w:val="single"/>
    </w:rPr>
  </w:style>
  <w:style w:type="character" w:styleId="UnresolvedMention">
    <w:name w:val="Unresolved Mention"/>
    <w:basedOn w:val="DefaultParagraphFont"/>
    <w:uiPriority w:val="99"/>
    <w:semiHidden/>
    <w:unhideWhenUsed/>
    <w:rsid w:val="00F22FC7"/>
    <w:rPr>
      <w:color w:val="605E5C"/>
      <w:shd w:val="clear" w:color="auto" w:fill="E1DFDD"/>
    </w:rPr>
  </w:style>
  <w:style w:type="character" w:customStyle="1" w:styleId="Heading1Char">
    <w:name w:val="Heading 1 Char"/>
    <w:basedOn w:val="DefaultParagraphFont"/>
    <w:link w:val="Heading1"/>
    <w:rsid w:val="00393E28"/>
    <w:rPr>
      <w:rFonts w:ascii="Times New Roman" w:eastAsia="Times New Roman" w:hAnsi="Times New Roman" w:cs="Times New Roman"/>
      <w:color w:val="000000"/>
      <w:sz w:val="28"/>
      <w:szCs w:val="24"/>
    </w:rPr>
  </w:style>
  <w:style w:type="table" w:customStyle="1" w:styleId="TableGrid">
    <w:name w:val="TableGrid"/>
    <w:rsid w:val="00393E28"/>
    <w:pPr>
      <w:spacing w:after="0" w:line="240" w:lineRule="auto"/>
    </w:pPr>
    <w:rPr>
      <w:rFonts w:eastAsiaTheme="minorEastAsia"/>
      <w:sz w:val="24"/>
      <w:szCs w:val="24"/>
    </w:rPr>
    <w:tblPr>
      <w:tblCellMar>
        <w:top w:w="0" w:type="dxa"/>
        <w:left w:w="0" w:type="dxa"/>
        <w:bottom w:w="0" w:type="dxa"/>
        <w:right w:w="0" w:type="dxa"/>
      </w:tblCellMar>
    </w:tblPr>
  </w:style>
  <w:style w:type="numbering" w:customStyle="1" w:styleId="NoList1">
    <w:name w:val="No List1"/>
    <w:next w:val="NoList"/>
    <w:uiPriority w:val="99"/>
    <w:semiHidden/>
    <w:unhideWhenUsed/>
    <w:rsid w:val="002207F7"/>
  </w:style>
  <w:style w:type="table" w:styleId="TableGrid0">
    <w:name w:val="Table Grid"/>
    <w:basedOn w:val="TableNormal"/>
    <w:uiPriority w:val="39"/>
    <w:rsid w:val="004B5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C58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85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19D"/>
  </w:style>
  <w:style w:type="paragraph" w:styleId="Footer">
    <w:name w:val="footer"/>
    <w:basedOn w:val="Normal"/>
    <w:link w:val="FooterChar"/>
    <w:uiPriority w:val="99"/>
    <w:unhideWhenUsed/>
    <w:rsid w:val="00E8519D"/>
    <w:pPr>
      <w:tabs>
        <w:tab w:val="center" w:pos="4680"/>
        <w:tab w:val="right" w:pos="9360"/>
      </w:tabs>
      <w:spacing w:after="0" w:line="240" w:lineRule="auto"/>
    </w:pPr>
    <w:rPr>
      <w:rFonts w:eastAsiaTheme="minorEastAsia" w:cs="Times New Roman"/>
      <w:kern w:val="0"/>
      <w14:ligatures w14:val="none"/>
    </w:rPr>
  </w:style>
  <w:style w:type="character" w:customStyle="1" w:styleId="FooterChar">
    <w:name w:val="Footer Char"/>
    <w:basedOn w:val="DefaultParagraphFont"/>
    <w:link w:val="Footer"/>
    <w:uiPriority w:val="99"/>
    <w:rsid w:val="00E8519D"/>
    <w:rPr>
      <w:rFonts w:eastAsiaTheme="minorEastAsia" w:cs="Times New Roman"/>
      <w:kern w:val="0"/>
      <w14:ligatures w14:val="none"/>
    </w:rPr>
  </w:style>
  <w:style w:type="paragraph" w:styleId="NormalWeb">
    <w:name w:val="Normal (Web)"/>
    <w:basedOn w:val="Normal"/>
    <w:uiPriority w:val="99"/>
    <w:semiHidden/>
    <w:unhideWhenUsed/>
    <w:rsid w:val="00FC2138"/>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FC21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2138"/>
    <w:rPr>
      <w:sz w:val="20"/>
      <w:szCs w:val="20"/>
    </w:rPr>
  </w:style>
  <w:style w:type="character" w:styleId="FootnoteReference">
    <w:name w:val="footnote reference"/>
    <w:basedOn w:val="DefaultParagraphFont"/>
    <w:uiPriority w:val="99"/>
    <w:semiHidden/>
    <w:unhideWhenUsed/>
    <w:rsid w:val="00FC21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des.bg/media/1261/02-2015-daniela-feschian.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infin.bg/upload/36093/DDS-10-2017-stock-taking-public.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psasb.org/publications/2025-handbook-international-public-sector-accounting-pronouncement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psasb.org/publications/conceptual-framework-general-purpose-financial-reporting-public-sector-entities-2023"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g8mart-radomir.com/za-nas/istoriya.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psasb.org/publications/conceptual-framework-general-purpose-financial-reporting-public-sector-entities-2023?utm" TargetMode="Externa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1A2AF37340D44BB73C7567B79B1F47" ma:contentTypeVersion="5" ma:contentTypeDescription="Create a new document." ma:contentTypeScope="" ma:versionID="7c834158b51a1371b18480dc9dea3e41">
  <xsd:schema xmlns:xsd="http://www.w3.org/2001/XMLSchema" xmlns:xs="http://www.w3.org/2001/XMLSchema" xmlns:p="http://schemas.microsoft.com/office/2006/metadata/properties" xmlns:ns3="291cb466-2a72-42fa-bc06-1e4dcc242c37" targetNamespace="http://schemas.microsoft.com/office/2006/metadata/properties" ma:root="true" ma:fieldsID="afce071f0437f86a7b852c22e3ce2291" ns3:_="">
    <xsd:import namespace="291cb466-2a72-42fa-bc06-1e4dcc242c3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cb466-2a72-42fa-bc06-1e4dcc242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42B5C8-241A-4F5B-9D61-DB1E8AED8C8D}">
  <ds:schemaRefs>
    <ds:schemaRef ds:uri="http://schemas.microsoft.com/sharepoint/v3/contenttype/forms"/>
  </ds:schemaRefs>
</ds:datastoreItem>
</file>

<file path=customXml/itemProps2.xml><?xml version="1.0" encoding="utf-8"?>
<ds:datastoreItem xmlns:ds="http://schemas.openxmlformats.org/officeDocument/2006/customXml" ds:itemID="{8E51700B-5D77-489E-8786-AF55CCD41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cb466-2a72-42fa-bc06-1e4dcc242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763230-618B-4343-B8F9-69C04AED8606}">
  <ds:schemaRefs>
    <ds:schemaRef ds:uri="http://schemas.openxmlformats.org/officeDocument/2006/bibliography"/>
  </ds:schemaRefs>
</ds:datastoreItem>
</file>

<file path=customXml/itemProps4.xml><?xml version="1.0" encoding="utf-8"?>
<ds:datastoreItem xmlns:ds="http://schemas.openxmlformats.org/officeDocument/2006/customXml" ds:itemID="{E8E1F030-7FE0-479E-B204-DFEA88AB43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86</Pages>
  <Words>22876</Words>
  <Characters>130399</Characters>
  <Application>Microsoft Office Word</Application>
  <DocSecurity>0</DocSecurity>
  <Lines>1086</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Александрова</dc:creator>
  <cp:keywords/>
  <dc:description/>
  <cp:lastModifiedBy>Word User</cp:lastModifiedBy>
  <cp:revision>26</cp:revision>
  <dcterms:created xsi:type="dcterms:W3CDTF">2026-03-27T05:14:00Z</dcterms:created>
  <dcterms:modified xsi:type="dcterms:W3CDTF">2026-03-27T15:42:00Z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0x010100E61A2AF37340D44BB73C7567B79B1F47</vt:lpwstr>
  </property>
</Properties>
</file>